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A8" w:rsidRDefault="00C72AA8" w:rsidP="0092243C">
      <w:pPr>
        <w:jc w:val="both"/>
        <w:rPr>
          <w:rFonts w:ascii="Arial" w:hAnsi="Arial" w:cs="Arial"/>
        </w:rPr>
      </w:pPr>
    </w:p>
    <w:p w:rsidR="002E3983" w:rsidRDefault="002E3983" w:rsidP="002E3983">
      <w:pPr>
        <w:widowControl/>
        <w:autoSpaceDE/>
        <w:autoSpaceDN/>
        <w:jc w:val="both"/>
        <w:rPr>
          <w:rFonts w:ascii="Arial" w:eastAsia="Calibri" w:hAnsi="Arial" w:cs="Arial"/>
          <w:b/>
          <w:lang w:val="es-CL" w:eastAsia="es-CL"/>
        </w:rPr>
      </w:pPr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="Calibri" w:hAnsi="Arial" w:cs="Arial"/>
          <w:lang w:val="es-CL" w:eastAsia="es-CL"/>
        </w:rPr>
      </w:pPr>
      <w:r w:rsidRPr="00B76CE2">
        <w:rPr>
          <w:rFonts w:ascii="Arial" w:eastAsia="Calibri" w:hAnsi="Arial" w:cs="Arial"/>
          <w:b/>
          <w:lang w:val="es-CL" w:eastAsia="es-CL"/>
        </w:rPr>
        <w:t>Tribunal:</w:t>
      </w:r>
      <w:r w:rsidRPr="00B76CE2">
        <w:rPr>
          <w:rFonts w:ascii="Arial" w:eastAsia="Calibri" w:hAnsi="Arial" w:cs="Arial"/>
          <w:lang w:val="es-CL" w:eastAsia="es-CL"/>
        </w:rPr>
        <w:t xml:space="preserve"> Corte de Apelaciones de San Miguel.</w:t>
      </w:r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="Calibri" w:hAnsi="Arial" w:cs="Arial"/>
          <w:b/>
          <w:lang w:val="es-CL" w:eastAsia="es-CL"/>
        </w:rPr>
      </w:pPr>
    </w:p>
    <w:p w:rsidR="002E3983" w:rsidRPr="0092243C" w:rsidRDefault="002E3983" w:rsidP="002E3983">
      <w:pPr>
        <w:jc w:val="both"/>
        <w:rPr>
          <w:rFonts w:ascii="Arial" w:hAnsi="Arial" w:cs="Arial"/>
        </w:rPr>
      </w:pPr>
      <w:r w:rsidRPr="00B76CE2">
        <w:rPr>
          <w:rFonts w:ascii="Arial" w:eastAsia="Calibri" w:hAnsi="Arial" w:cs="Arial"/>
          <w:b/>
          <w:lang w:val="es-CL" w:eastAsia="es-CL"/>
        </w:rPr>
        <w:t>Rit:</w:t>
      </w:r>
      <w:r w:rsidRPr="00B76CE2">
        <w:rPr>
          <w:rFonts w:ascii="Arial" w:eastAsiaTheme="minorHAnsi" w:hAnsi="Arial" w:cs="Arial"/>
          <w:lang w:val="es-CL"/>
        </w:rPr>
        <w:t xml:space="preserve"> </w:t>
      </w:r>
      <w:r w:rsidR="006373E6">
        <w:rPr>
          <w:rFonts w:ascii="Arial" w:hAnsi="Arial" w:cs="Arial"/>
        </w:rPr>
        <w:t>13641-2021</w:t>
      </w:r>
      <w:r w:rsidR="006373E6">
        <w:rPr>
          <w:rFonts w:ascii="Arial" w:hAnsi="Arial" w:cs="Arial"/>
        </w:rPr>
        <w:t>.</w:t>
      </w:r>
      <w:bookmarkStart w:id="0" w:name="_GoBack"/>
      <w:bookmarkEnd w:id="0"/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Theme="minorEastAsia" w:hAnsi="Arial" w:cs="Arial"/>
          <w:lang w:val="es-CL" w:eastAsia="es-CL"/>
        </w:rPr>
      </w:pPr>
    </w:p>
    <w:p w:rsidR="002E3983" w:rsidRPr="0092243C" w:rsidRDefault="002E3983" w:rsidP="002E3983">
      <w:pPr>
        <w:jc w:val="both"/>
        <w:rPr>
          <w:rFonts w:ascii="Arial" w:hAnsi="Arial" w:cs="Arial"/>
        </w:rPr>
      </w:pPr>
      <w:r w:rsidRPr="00B76CE2">
        <w:rPr>
          <w:rFonts w:ascii="Arial" w:eastAsia="Calibri" w:hAnsi="Arial" w:cs="Arial"/>
          <w:b/>
          <w:lang w:val="es-CL" w:eastAsia="es-CL"/>
        </w:rPr>
        <w:t>Ruc:</w:t>
      </w:r>
      <w:r w:rsidRPr="00092623">
        <w:rPr>
          <w:rFonts w:ascii="Arial" w:hAnsi="Arial" w:cs="Arial"/>
          <w:lang w:val="es-MX"/>
        </w:rPr>
        <w:t xml:space="preserve"> </w:t>
      </w:r>
      <w:r w:rsidRPr="0092243C">
        <w:rPr>
          <w:rFonts w:ascii="Arial" w:hAnsi="Arial" w:cs="Arial"/>
        </w:rPr>
        <w:t>2110059635-8</w:t>
      </w:r>
      <w:r>
        <w:rPr>
          <w:rFonts w:ascii="Arial" w:hAnsi="Arial" w:cs="Arial"/>
        </w:rPr>
        <w:t>.</w:t>
      </w:r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Theme="minorEastAsia" w:hAnsi="Arial" w:cs="Arial"/>
          <w:lang w:val="es-CL" w:eastAsia="es-CL"/>
        </w:rPr>
      </w:pPr>
      <w:r w:rsidRPr="00B76CE2">
        <w:rPr>
          <w:rFonts w:ascii="Arial" w:hAnsi="Arial" w:cs="Arial"/>
        </w:rPr>
        <w:t xml:space="preserve">  </w:t>
      </w:r>
    </w:p>
    <w:p w:rsidR="002E3983" w:rsidRPr="00B76CE2" w:rsidRDefault="002E3983" w:rsidP="002E3983">
      <w:pPr>
        <w:widowControl/>
        <w:adjustRightInd w:val="0"/>
        <w:jc w:val="both"/>
        <w:rPr>
          <w:rFonts w:ascii="Arial" w:eastAsiaTheme="minorHAnsi" w:hAnsi="Arial" w:cs="Arial"/>
        </w:rPr>
      </w:pPr>
      <w:r w:rsidRPr="00B76CE2">
        <w:rPr>
          <w:rFonts w:ascii="Arial" w:eastAsia="Calibri" w:hAnsi="Arial" w:cs="Arial"/>
          <w:b/>
          <w:lang w:val="es-CL" w:eastAsia="es-CL"/>
        </w:rPr>
        <w:t>Delito:</w:t>
      </w:r>
      <w:r w:rsidRPr="00B76CE2">
        <w:rPr>
          <w:rFonts w:ascii="Arial" w:eastAsia="Arial" w:hAnsi="Arial" w:cs="Arial"/>
          <w:bCs/>
          <w:lang w:val="es-CL"/>
        </w:rPr>
        <w:t xml:space="preserve"> </w:t>
      </w:r>
      <w:r>
        <w:rPr>
          <w:rFonts w:ascii="Arial" w:eastAsiaTheme="minorEastAsia" w:hAnsi="Arial" w:cs="Arial"/>
          <w:lang w:val="es-CL" w:eastAsia="es-CL"/>
        </w:rPr>
        <w:t>Apropiación indebida</w:t>
      </w:r>
      <w:r>
        <w:rPr>
          <w:rFonts w:ascii="Arial" w:eastAsiaTheme="minorEastAsia" w:hAnsi="Arial" w:cs="Arial"/>
          <w:lang w:val="es-CL" w:eastAsia="es-CL"/>
        </w:rPr>
        <w:t>.</w:t>
      </w:r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="Calibri" w:hAnsi="Arial" w:cs="Arial"/>
          <w:lang w:val="es-CL" w:eastAsia="es-CL"/>
        </w:rPr>
      </w:pPr>
      <w:r w:rsidRPr="00B76CE2">
        <w:rPr>
          <w:rFonts w:ascii="Arial" w:eastAsia="Calibri" w:hAnsi="Arial" w:cs="Arial"/>
          <w:lang w:val="es-CL" w:eastAsia="es-CL"/>
        </w:rPr>
        <w:t xml:space="preserve"> </w:t>
      </w:r>
    </w:p>
    <w:p w:rsidR="002E3983" w:rsidRPr="00B76CE2" w:rsidRDefault="002E3983" w:rsidP="002E3983">
      <w:pPr>
        <w:widowControl/>
        <w:autoSpaceDE/>
        <w:autoSpaceDN/>
        <w:jc w:val="both"/>
        <w:rPr>
          <w:rFonts w:ascii="Arial" w:eastAsiaTheme="minorEastAsia" w:hAnsi="Arial" w:cs="Arial"/>
          <w:lang w:val="es-CL" w:eastAsia="es-CL"/>
        </w:rPr>
      </w:pPr>
      <w:r w:rsidRPr="00B76CE2">
        <w:rPr>
          <w:rFonts w:ascii="Arial" w:eastAsia="Calibri" w:hAnsi="Arial" w:cs="Arial"/>
          <w:b/>
          <w:lang w:val="es-CL" w:eastAsia="es-CL"/>
        </w:rPr>
        <w:t xml:space="preserve">Defensor: </w:t>
      </w:r>
      <w:r>
        <w:rPr>
          <w:rFonts w:ascii="Arial" w:eastAsia="Calibri" w:hAnsi="Arial" w:cs="Arial"/>
          <w:lang w:val="es-CL" w:eastAsia="es-CL"/>
        </w:rPr>
        <w:t>Marcela Orellana</w:t>
      </w:r>
      <w:r w:rsidRPr="00092623">
        <w:rPr>
          <w:rFonts w:ascii="Arial" w:eastAsia="Calibri" w:hAnsi="Arial" w:cs="Arial"/>
          <w:lang w:val="es-CL" w:eastAsia="es-CL"/>
        </w:rPr>
        <w:t>.</w:t>
      </w:r>
    </w:p>
    <w:p w:rsidR="002E3983" w:rsidRPr="0092243C" w:rsidRDefault="002E3983" w:rsidP="0092243C">
      <w:pPr>
        <w:jc w:val="both"/>
        <w:rPr>
          <w:rFonts w:ascii="Arial" w:hAnsi="Arial" w:cs="Arial"/>
        </w:rPr>
      </w:pPr>
    </w:p>
    <w:p w:rsid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b/>
          <w:lang w:val="es-CL" w:eastAsia="es-CL"/>
        </w:rPr>
      </w:pPr>
    </w:p>
    <w:p w:rsidR="0092243C" w:rsidRP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b/>
          <w:lang w:val="en-US" w:eastAsia="es-CL"/>
        </w:rPr>
      </w:pPr>
      <w:r w:rsidRPr="0092243C">
        <w:rPr>
          <w:rFonts w:ascii="Arial" w:eastAsiaTheme="minorEastAsia" w:hAnsi="Arial" w:cs="Arial"/>
          <w:b/>
          <w:lang w:val="es-CL" w:eastAsia="es-CL"/>
        </w:rPr>
        <w:t xml:space="preserve">Acoge incidencia y declara inadmisible recurso de apelación contra resolución que </w:t>
      </w:r>
      <w:r w:rsidR="006E30C8">
        <w:rPr>
          <w:rFonts w:ascii="Arial" w:eastAsiaTheme="minorEastAsia" w:hAnsi="Arial" w:cs="Arial"/>
          <w:b/>
          <w:lang w:val="es-CL" w:eastAsia="es-CL"/>
        </w:rPr>
        <w:t>comunica decisión de no perseverar t</w:t>
      </w:r>
      <w:r w:rsidRPr="0092243C">
        <w:rPr>
          <w:rFonts w:ascii="Arial" w:eastAsiaTheme="minorEastAsia" w:hAnsi="Arial" w:cs="Arial"/>
          <w:b/>
          <w:lang w:val="es-CL" w:eastAsia="es-CL"/>
        </w:rPr>
        <w:t>oda vez que</w:t>
      </w:r>
      <w:r w:rsidR="006E30C8">
        <w:rPr>
          <w:rFonts w:ascii="Arial" w:eastAsiaTheme="minorEastAsia" w:hAnsi="Arial" w:cs="Arial"/>
          <w:b/>
          <w:lang w:val="es-CL" w:eastAsia="es-CL"/>
        </w:rPr>
        <w:t xml:space="preserve"> es de naturaleza administrativa y</w:t>
      </w:r>
      <w:r w:rsidRPr="0092243C">
        <w:rPr>
          <w:rFonts w:ascii="Arial" w:eastAsiaTheme="minorEastAsia" w:hAnsi="Arial" w:cs="Arial"/>
          <w:b/>
          <w:lang w:val="es-CL" w:eastAsia="es-CL"/>
        </w:rPr>
        <w:t xml:space="preserve"> no se encuentra en </w:t>
      </w:r>
      <w:r w:rsidR="006E30C8">
        <w:rPr>
          <w:rFonts w:ascii="Arial" w:eastAsiaTheme="minorEastAsia" w:hAnsi="Arial" w:cs="Arial"/>
          <w:b/>
          <w:lang w:val="es-CL" w:eastAsia="es-CL"/>
        </w:rPr>
        <w:t>e</w:t>
      </w:r>
      <w:r w:rsidRPr="0092243C">
        <w:rPr>
          <w:rFonts w:ascii="Arial" w:eastAsiaTheme="minorEastAsia" w:hAnsi="Arial" w:cs="Arial"/>
          <w:b/>
          <w:lang w:val="es-CL" w:eastAsia="es-CL"/>
        </w:rPr>
        <w:t>l artículo 370 del CPP.</w:t>
      </w:r>
      <w:r w:rsidRPr="0092243C">
        <w:rPr>
          <w:rFonts w:ascii="Arial" w:eastAsiaTheme="minorEastAsia" w:hAnsi="Arial" w:cs="Arial"/>
          <w:b/>
          <w:lang w:eastAsia="es-CL"/>
        </w:rPr>
        <w:t xml:space="preserve"> </w:t>
      </w:r>
      <w:r w:rsidRPr="0092243C">
        <w:rPr>
          <w:rFonts w:ascii="Arial" w:eastAsiaTheme="minorEastAsia" w:hAnsi="Arial" w:cs="Arial"/>
          <w:b/>
          <w:lang w:val="en-US" w:eastAsia="es-CL"/>
        </w:rPr>
        <w:t xml:space="preserve">(CA San Miguel </w:t>
      </w:r>
      <w:r>
        <w:rPr>
          <w:rFonts w:ascii="Arial" w:eastAsiaTheme="minorEastAsia" w:hAnsi="Arial" w:cs="Arial"/>
          <w:b/>
          <w:lang w:val="en-US" w:eastAsia="es-CL"/>
        </w:rPr>
        <w:t>10</w:t>
      </w:r>
      <w:r w:rsidRPr="0092243C">
        <w:rPr>
          <w:rFonts w:ascii="Arial" w:eastAsiaTheme="minorEastAsia" w:hAnsi="Arial" w:cs="Arial"/>
          <w:b/>
          <w:lang w:val="en-US" w:eastAsia="es-CL"/>
        </w:rPr>
        <w:t>.0</w:t>
      </w:r>
      <w:r>
        <w:rPr>
          <w:rFonts w:ascii="Arial" w:eastAsiaTheme="minorEastAsia" w:hAnsi="Arial" w:cs="Arial"/>
          <w:b/>
          <w:lang w:val="en-US" w:eastAsia="es-CL"/>
        </w:rPr>
        <w:t>4</w:t>
      </w:r>
      <w:r w:rsidRPr="0092243C">
        <w:rPr>
          <w:rFonts w:ascii="Arial" w:eastAsiaTheme="minorEastAsia" w:hAnsi="Arial" w:cs="Arial"/>
          <w:b/>
          <w:lang w:val="en-US" w:eastAsia="es-CL"/>
        </w:rPr>
        <w:t>.202</w:t>
      </w:r>
      <w:r>
        <w:rPr>
          <w:rFonts w:ascii="Arial" w:eastAsiaTheme="minorEastAsia" w:hAnsi="Arial" w:cs="Arial"/>
          <w:b/>
          <w:lang w:val="en-US" w:eastAsia="es-CL"/>
        </w:rPr>
        <w:t>4</w:t>
      </w:r>
      <w:r w:rsidRPr="0092243C">
        <w:rPr>
          <w:rFonts w:ascii="Arial" w:eastAsiaTheme="minorEastAsia" w:hAnsi="Arial" w:cs="Arial"/>
          <w:b/>
          <w:lang w:val="en-US" w:eastAsia="es-CL"/>
        </w:rPr>
        <w:t xml:space="preserve"> rol 66</w:t>
      </w:r>
      <w:r>
        <w:rPr>
          <w:rFonts w:ascii="Arial" w:eastAsiaTheme="minorEastAsia" w:hAnsi="Arial" w:cs="Arial"/>
          <w:b/>
          <w:lang w:val="en-US" w:eastAsia="es-CL"/>
        </w:rPr>
        <w:t>0</w:t>
      </w:r>
      <w:r w:rsidRPr="0092243C">
        <w:rPr>
          <w:rFonts w:ascii="Arial" w:eastAsiaTheme="minorEastAsia" w:hAnsi="Arial" w:cs="Arial"/>
          <w:b/>
          <w:lang w:val="en-US" w:eastAsia="es-CL"/>
        </w:rPr>
        <w:t>-202</w:t>
      </w:r>
      <w:r>
        <w:rPr>
          <w:rFonts w:ascii="Arial" w:eastAsiaTheme="minorEastAsia" w:hAnsi="Arial" w:cs="Arial"/>
          <w:b/>
          <w:lang w:val="en-US" w:eastAsia="es-CL"/>
        </w:rPr>
        <w:t>4</w:t>
      </w:r>
      <w:r w:rsidRPr="0092243C">
        <w:rPr>
          <w:rFonts w:ascii="Arial" w:eastAsiaTheme="minorEastAsia" w:hAnsi="Arial" w:cs="Arial"/>
          <w:b/>
          <w:lang w:val="en-US" w:eastAsia="es-CL"/>
        </w:rPr>
        <w:t>)</w:t>
      </w:r>
    </w:p>
    <w:p w:rsidR="0092243C" w:rsidRPr="0092243C" w:rsidRDefault="0092243C" w:rsidP="0092243C">
      <w:pPr>
        <w:widowControl/>
        <w:autoSpaceDE/>
        <w:autoSpaceDN/>
        <w:ind w:firstLine="708"/>
        <w:jc w:val="both"/>
        <w:rPr>
          <w:rFonts w:ascii="Arial" w:eastAsiaTheme="minorEastAsia" w:hAnsi="Arial" w:cs="Arial"/>
          <w:lang w:val="en-US" w:eastAsia="es-CL"/>
        </w:rPr>
      </w:pPr>
    </w:p>
    <w:p w:rsidR="0092243C" w:rsidRP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b/>
          <w:lang w:val="en-US" w:eastAsia="es-CL"/>
        </w:rPr>
      </w:pPr>
      <w:r w:rsidRPr="0092243C">
        <w:rPr>
          <w:rFonts w:ascii="Arial" w:eastAsiaTheme="minorEastAsia" w:hAnsi="Arial" w:cs="Arial"/>
          <w:b/>
          <w:lang w:val="en-US" w:eastAsia="es-CL"/>
        </w:rPr>
        <w:t xml:space="preserve">Norma asociada: </w:t>
      </w:r>
      <w:r w:rsidRPr="0092243C">
        <w:rPr>
          <w:rFonts w:ascii="Arial" w:eastAsiaTheme="minorEastAsia" w:hAnsi="Arial" w:cs="Arial"/>
          <w:lang w:val="en-US" w:eastAsia="es-CL"/>
        </w:rPr>
        <w:t>CP ART.</w:t>
      </w:r>
      <w:r w:rsidR="005871D3">
        <w:rPr>
          <w:rFonts w:ascii="Arial" w:eastAsiaTheme="minorEastAsia" w:hAnsi="Arial" w:cs="Arial"/>
          <w:lang w:val="en-US" w:eastAsia="es-CL"/>
        </w:rPr>
        <w:t>47</w:t>
      </w:r>
      <w:r w:rsidRPr="0092243C">
        <w:rPr>
          <w:rFonts w:ascii="Arial" w:eastAsiaTheme="minorEastAsia" w:hAnsi="Arial" w:cs="Arial"/>
          <w:lang w:val="en-US" w:eastAsia="es-CL"/>
        </w:rPr>
        <w:t>0</w:t>
      </w:r>
      <w:r w:rsidR="005871D3">
        <w:rPr>
          <w:rFonts w:ascii="Arial" w:eastAsiaTheme="minorEastAsia" w:hAnsi="Arial" w:cs="Arial"/>
          <w:lang w:val="en-US" w:eastAsia="es-CL"/>
        </w:rPr>
        <w:t xml:space="preserve"> N°1</w:t>
      </w:r>
      <w:r w:rsidRPr="0092243C">
        <w:rPr>
          <w:rFonts w:ascii="Arial" w:eastAsiaTheme="minorEastAsia" w:hAnsi="Arial" w:cs="Arial"/>
          <w:lang w:val="en-US" w:eastAsia="es-CL"/>
        </w:rPr>
        <w:t xml:space="preserve">; </w:t>
      </w:r>
      <w:r w:rsidR="005871D3">
        <w:rPr>
          <w:rFonts w:ascii="Arial" w:eastAsiaTheme="minorEastAsia" w:hAnsi="Arial" w:cs="Arial"/>
          <w:lang w:val="en-US" w:eastAsia="es-CL"/>
        </w:rPr>
        <w:t xml:space="preserve">CPP ART.248, </w:t>
      </w:r>
      <w:r w:rsidRPr="0092243C">
        <w:rPr>
          <w:rFonts w:ascii="Arial" w:eastAsiaTheme="minorEastAsia" w:hAnsi="Arial" w:cs="Arial"/>
          <w:lang w:val="en-US" w:eastAsia="es-CL"/>
        </w:rPr>
        <w:t>CPP ART.370.</w:t>
      </w:r>
    </w:p>
    <w:p w:rsidR="0092243C" w:rsidRP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lang w:val="en-US" w:eastAsia="es-CL"/>
        </w:rPr>
      </w:pPr>
    </w:p>
    <w:p w:rsidR="0092243C" w:rsidRP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lang w:val="es-CL" w:eastAsia="es-CL"/>
        </w:rPr>
      </w:pPr>
      <w:r w:rsidRPr="0092243C">
        <w:rPr>
          <w:rFonts w:ascii="Arial" w:eastAsiaTheme="minorEastAsia" w:hAnsi="Arial" w:cs="Arial"/>
          <w:b/>
          <w:lang w:val="es-CL" w:eastAsia="es-CL"/>
        </w:rPr>
        <w:t xml:space="preserve">Términos: </w:t>
      </w:r>
      <w:r w:rsidRPr="0092243C">
        <w:rPr>
          <w:rFonts w:ascii="Arial" w:eastAsiaTheme="minorEastAsia" w:hAnsi="Arial" w:cs="Arial"/>
          <w:lang w:val="es-CL" w:eastAsia="es-CL"/>
        </w:rPr>
        <w:t xml:space="preserve">Apremios ilegítimos, reapertura de la investigación, recurso de apelación, incidencias, inadmisibilidad.    </w:t>
      </w:r>
    </w:p>
    <w:p w:rsidR="0092243C" w:rsidRPr="0092243C" w:rsidRDefault="0092243C" w:rsidP="0092243C">
      <w:pPr>
        <w:widowControl/>
        <w:autoSpaceDE/>
        <w:autoSpaceDN/>
        <w:jc w:val="both"/>
        <w:rPr>
          <w:rFonts w:ascii="Arial" w:eastAsiaTheme="minorEastAsia" w:hAnsi="Arial" w:cs="Arial"/>
          <w:b/>
          <w:lang w:val="es-CL" w:eastAsia="es-CL"/>
        </w:rPr>
      </w:pPr>
    </w:p>
    <w:p w:rsidR="0092243C" w:rsidRDefault="0092243C" w:rsidP="0092243C">
      <w:pPr>
        <w:jc w:val="both"/>
        <w:rPr>
          <w:rFonts w:ascii="Arial" w:eastAsiaTheme="minorHAnsi" w:hAnsi="Arial" w:cs="Arial"/>
          <w:b/>
          <w:lang w:val="es-CL"/>
        </w:rPr>
      </w:pPr>
      <w:r w:rsidRPr="0092243C">
        <w:rPr>
          <w:rFonts w:ascii="Arial" w:eastAsiaTheme="minorHAnsi" w:hAnsi="Arial" w:cs="Arial"/>
          <w:b/>
          <w:lang w:val="es-CL"/>
        </w:rPr>
        <w:t xml:space="preserve">SINTESIS: </w:t>
      </w:r>
      <w:r w:rsidRPr="0092243C">
        <w:rPr>
          <w:rFonts w:ascii="Arial" w:eastAsiaTheme="minorHAnsi" w:hAnsi="Arial" w:cs="Arial"/>
          <w:lang w:val="es-CL"/>
        </w:rPr>
        <w:t xml:space="preserve">Corte acoge incidencia de la defensoría y </w:t>
      </w:r>
      <w:r w:rsidRPr="0092243C">
        <w:rPr>
          <w:rFonts w:ascii="Arial" w:eastAsiaTheme="minorHAnsi" w:hAnsi="Arial" w:cs="Arial"/>
          <w:bCs/>
          <w:lang w:val="es-CL"/>
        </w:rPr>
        <w:t xml:space="preserve">declara </w:t>
      </w:r>
      <w:r w:rsidRPr="0092243C">
        <w:rPr>
          <w:rFonts w:ascii="Arial" w:eastAsiaTheme="minorEastAsia" w:hAnsi="Arial" w:cs="Arial"/>
          <w:bCs/>
          <w:spacing w:val="-1"/>
          <w:lang w:val="es-CL" w:eastAsia="es-CL"/>
        </w:rPr>
        <w:t>in</w:t>
      </w:r>
      <w:r w:rsidRPr="0092243C">
        <w:rPr>
          <w:rFonts w:ascii="Arial" w:eastAsiaTheme="minorEastAsia" w:hAnsi="Arial" w:cs="Arial"/>
          <w:bCs/>
          <w:lang w:val="es-CL" w:eastAsia="es-CL"/>
        </w:rPr>
        <w:t>a</w:t>
      </w:r>
      <w:r w:rsidRPr="0092243C">
        <w:rPr>
          <w:rFonts w:ascii="Arial" w:eastAsiaTheme="minorEastAsia" w:hAnsi="Arial" w:cs="Arial"/>
          <w:bCs/>
          <w:spacing w:val="-1"/>
          <w:lang w:val="es-CL" w:eastAsia="es-CL"/>
        </w:rPr>
        <w:t>d</w:t>
      </w:r>
      <w:r w:rsidRPr="0092243C">
        <w:rPr>
          <w:rFonts w:ascii="Arial" w:eastAsiaTheme="minorEastAsia" w:hAnsi="Arial" w:cs="Arial"/>
          <w:bCs/>
          <w:lang w:val="es-CL" w:eastAsia="es-CL"/>
        </w:rPr>
        <w:t>m</w:t>
      </w:r>
      <w:r w:rsidRPr="0092243C">
        <w:rPr>
          <w:rFonts w:ascii="Arial" w:eastAsiaTheme="minorEastAsia" w:hAnsi="Arial" w:cs="Arial"/>
          <w:bCs/>
          <w:spacing w:val="-1"/>
          <w:lang w:val="es-CL" w:eastAsia="es-CL"/>
        </w:rPr>
        <w:t>i</w:t>
      </w:r>
      <w:r w:rsidRPr="0092243C">
        <w:rPr>
          <w:rFonts w:ascii="Arial" w:eastAsiaTheme="minorEastAsia" w:hAnsi="Arial" w:cs="Arial"/>
          <w:bCs/>
          <w:lang w:val="es-CL" w:eastAsia="es-CL"/>
        </w:rPr>
        <w:t>s</w:t>
      </w:r>
      <w:r w:rsidRPr="0092243C">
        <w:rPr>
          <w:rFonts w:ascii="Arial" w:eastAsiaTheme="minorEastAsia" w:hAnsi="Arial" w:cs="Arial"/>
          <w:bCs/>
          <w:spacing w:val="-1"/>
          <w:lang w:val="es-CL" w:eastAsia="es-CL"/>
        </w:rPr>
        <w:t>ibl</w:t>
      </w:r>
      <w:r w:rsidRPr="0092243C">
        <w:rPr>
          <w:rFonts w:ascii="Arial" w:eastAsiaTheme="minorEastAsia" w:hAnsi="Arial" w:cs="Arial"/>
          <w:bCs/>
          <w:lang w:val="es-CL" w:eastAsia="es-CL"/>
        </w:rPr>
        <w:t>e</w:t>
      </w:r>
      <w:r w:rsidRPr="0092243C">
        <w:rPr>
          <w:rFonts w:ascii="Arial" w:eastAsiaTheme="minorEastAsia" w:hAnsi="Arial" w:cs="Arial"/>
          <w:bCs/>
          <w:spacing w:val="1"/>
          <w:lang w:val="es-CL" w:eastAsia="es-CL"/>
        </w:rPr>
        <w:t xml:space="preserve"> </w:t>
      </w:r>
      <w:r w:rsidRPr="0092243C">
        <w:rPr>
          <w:rFonts w:ascii="Arial" w:eastAsiaTheme="minorEastAsia" w:hAnsi="Arial" w:cs="Arial"/>
          <w:lang w:val="es-CL" w:eastAsia="es-CL"/>
        </w:rPr>
        <w:t>el</w:t>
      </w:r>
      <w:r w:rsidRPr="0092243C">
        <w:rPr>
          <w:rFonts w:ascii="Arial" w:eastAsiaTheme="minorEastAsia" w:hAnsi="Arial" w:cs="Arial"/>
          <w:spacing w:val="1"/>
          <w:lang w:val="es-CL" w:eastAsia="es-CL"/>
        </w:rPr>
        <w:t xml:space="preserve"> </w:t>
      </w:r>
      <w:r w:rsidRPr="0092243C">
        <w:rPr>
          <w:rFonts w:ascii="Arial" w:eastAsiaTheme="minorEastAsia" w:hAnsi="Arial" w:cs="Arial"/>
          <w:lang w:val="es-CL" w:eastAsia="es-CL"/>
        </w:rPr>
        <w:t>re</w:t>
      </w:r>
      <w:r w:rsidRPr="0092243C">
        <w:rPr>
          <w:rFonts w:ascii="Arial" w:eastAsiaTheme="minorEastAsia" w:hAnsi="Arial" w:cs="Arial"/>
          <w:spacing w:val="-2"/>
          <w:lang w:val="es-CL" w:eastAsia="es-CL"/>
        </w:rPr>
        <w:t>c</w:t>
      </w:r>
      <w:r w:rsidRPr="0092243C">
        <w:rPr>
          <w:rFonts w:ascii="Arial" w:eastAsiaTheme="minorEastAsia" w:hAnsi="Arial" w:cs="Arial"/>
          <w:lang w:val="es-CL" w:eastAsia="es-CL"/>
        </w:rPr>
        <w:t>urso</w:t>
      </w:r>
      <w:r w:rsidRPr="0092243C">
        <w:rPr>
          <w:rFonts w:ascii="Arial" w:eastAsiaTheme="minorEastAsia" w:hAnsi="Arial" w:cs="Arial"/>
          <w:spacing w:val="1"/>
          <w:lang w:val="es-CL" w:eastAsia="es-CL"/>
        </w:rPr>
        <w:t xml:space="preserve"> </w:t>
      </w:r>
      <w:r w:rsidRPr="0092243C">
        <w:rPr>
          <w:rFonts w:ascii="Arial" w:eastAsiaTheme="minorEastAsia" w:hAnsi="Arial" w:cs="Arial"/>
          <w:lang w:val="es-CL" w:eastAsia="es-CL"/>
        </w:rPr>
        <w:t>de</w:t>
      </w:r>
      <w:r w:rsidRPr="0092243C">
        <w:rPr>
          <w:rFonts w:ascii="Arial" w:eastAsiaTheme="minorEastAsia" w:hAnsi="Arial" w:cs="Arial"/>
          <w:spacing w:val="1"/>
          <w:lang w:val="es-CL" w:eastAsia="es-CL"/>
        </w:rPr>
        <w:t xml:space="preserve"> </w:t>
      </w:r>
      <w:r w:rsidRPr="0092243C">
        <w:rPr>
          <w:rFonts w:ascii="Arial" w:eastAsiaTheme="minorEastAsia" w:hAnsi="Arial" w:cs="Arial"/>
          <w:lang w:val="es-CL" w:eastAsia="es-CL"/>
        </w:rPr>
        <w:t>ap</w:t>
      </w:r>
      <w:r w:rsidRPr="0092243C">
        <w:rPr>
          <w:rFonts w:ascii="Arial" w:eastAsiaTheme="minorEastAsia" w:hAnsi="Arial" w:cs="Arial"/>
          <w:spacing w:val="-1"/>
          <w:lang w:val="es-CL" w:eastAsia="es-CL"/>
        </w:rPr>
        <w:t>e</w:t>
      </w:r>
      <w:r w:rsidRPr="0092243C">
        <w:rPr>
          <w:rFonts w:ascii="Arial" w:eastAsiaTheme="minorEastAsia" w:hAnsi="Arial" w:cs="Arial"/>
          <w:lang w:val="es-CL" w:eastAsia="es-CL"/>
        </w:rPr>
        <w:t>lac</w:t>
      </w:r>
      <w:r w:rsidRPr="0092243C">
        <w:rPr>
          <w:rFonts w:ascii="Arial" w:eastAsiaTheme="minorEastAsia" w:hAnsi="Arial" w:cs="Arial"/>
          <w:spacing w:val="-1"/>
          <w:lang w:val="es-CL" w:eastAsia="es-CL"/>
        </w:rPr>
        <w:t>i</w:t>
      </w:r>
      <w:r w:rsidRPr="0092243C">
        <w:rPr>
          <w:rFonts w:ascii="Arial" w:eastAsiaTheme="minorEastAsia" w:hAnsi="Arial" w:cs="Arial"/>
          <w:lang w:val="es-CL" w:eastAsia="es-CL"/>
        </w:rPr>
        <w:t xml:space="preserve">ón </w:t>
      </w:r>
      <w:r w:rsidRPr="0092243C">
        <w:rPr>
          <w:rFonts w:ascii="Arial" w:eastAsiaTheme="minorEastAsia" w:hAnsi="Arial" w:cs="Arial"/>
          <w:spacing w:val="-1"/>
          <w:lang w:val="es-CL" w:eastAsia="es-CL"/>
        </w:rPr>
        <w:t>i</w:t>
      </w:r>
      <w:r w:rsidRPr="0092243C">
        <w:rPr>
          <w:rFonts w:ascii="Arial" w:eastAsiaTheme="minorEastAsia" w:hAnsi="Arial" w:cs="Arial"/>
          <w:lang w:val="es-CL" w:eastAsia="es-CL"/>
        </w:rPr>
        <w:t>n</w:t>
      </w:r>
      <w:r w:rsidRPr="0092243C">
        <w:rPr>
          <w:rFonts w:ascii="Arial" w:eastAsiaTheme="minorEastAsia" w:hAnsi="Arial" w:cs="Arial"/>
          <w:spacing w:val="-1"/>
          <w:lang w:val="es-CL" w:eastAsia="es-CL"/>
        </w:rPr>
        <w:t>t</w:t>
      </w:r>
      <w:r w:rsidRPr="0092243C">
        <w:rPr>
          <w:rFonts w:ascii="Arial" w:eastAsiaTheme="minorEastAsia" w:hAnsi="Arial" w:cs="Arial"/>
          <w:lang w:val="es-CL" w:eastAsia="es-CL"/>
        </w:rPr>
        <w:t>erpues</w:t>
      </w:r>
      <w:r w:rsidRPr="0092243C">
        <w:rPr>
          <w:rFonts w:ascii="Arial" w:eastAsiaTheme="minorEastAsia" w:hAnsi="Arial" w:cs="Arial"/>
          <w:spacing w:val="-1"/>
          <w:lang w:val="es-CL" w:eastAsia="es-CL"/>
        </w:rPr>
        <w:t>t</w:t>
      </w:r>
      <w:r w:rsidRPr="0092243C">
        <w:rPr>
          <w:rFonts w:ascii="Arial" w:eastAsiaTheme="minorEastAsia" w:hAnsi="Arial" w:cs="Arial"/>
          <w:lang w:val="es-CL" w:eastAsia="es-CL"/>
        </w:rPr>
        <w:t>o</w:t>
      </w:r>
      <w:r w:rsidRPr="0092243C">
        <w:rPr>
          <w:rFonts w:ascii="Arial" w:eastAsiaTheme="minorEastAsia" w:hAnsi="Arial" w:cs="Arial"/>
          <w:spacing w:val="1"/>
          <w:lang w:val="es-CL" w:eastAsia="es-CL"/>
        </w:rPr>
        <w:t xml:space="preserve"> </w:t>
      </w:r>
      <w:r w:rsidRPr="0092243C">
        <w:rPr>
          <w:rFonts w:ascii="Arial" w:eastAsiaTheme="minorHAnsi" w:hAnsi="Arial" w:cs="Arial"/>
          <w:bCs/>
        </w:rPr>
        <w:t xml:space="preserve">en contra de la resolución </w:t>
      </w:r>
      <w:r>
        <w:rPr>
          <w:rFonts w:ascii="Arial" w:hAnsi="Arial" w:cs="Arial"/>
        </w:rPr>
        <w:t xml:space="preserve">dictada por </w:t>
      </w:r>
      <w:r w:rsidRPr="0092243C">
        <w:rPr>
          <w:rFonts w:ascii="Arial" w:hAnsi="Arial" w:cs="Arial"/>
        </w:rPr>
        <w:t xml:space="preserve">el Juzgado de Garantía de San Bernardo, </w:t>
      </w:r>
      <w:r>
        <w:rPr>
          <w:rFonts w:ascii="Arial" w:hAnsi="Arial" w:cs="Arial"/>
        </w:rPr>
        <w:t xml:space="preserve">que </w:t>
      </w:r>
      <w:r w:rsidRPr="0092243C">
        <w:rPr>
          <w:rFonts w:ascii="Arial" w:hAnsi="Arial" w:cs="Arial"/>
        </w:rPr>
        <w:t>comunicó la decisión del ente persecutor de no perseverar.</w:t>
      </w:r>
      <w:r>
        <w:rPr>
          <w:rFonts w:ascii="Arial" w:hAnsi="Arial" w:cs="Arial"/>
        </w:rPr>
        <w:t xml:space="preserve"> Señala que antes</w:t>
      </w:r>
      <w:r w:rsidRPr="0092243C">
        <w:rPr>
          <w:rFonts w:ascii="Arial" w:hAnsi="Arial" w:cs="Arial"/>
        </w:rPr>
        <w:t xml:space="preserve"> de comenzar los </w:t>
      </w:r>
      <w:r>
        <w:rPr>
          <w:rFonts w:ascii="Arial" w:hAnsi="Arial" w:cs="Arial"/>
        </w:rPr>
        <w:t xml:space="preserve">alegatos, el Ministerio Público </w:t>
      </w:r>
      <w:r w:rsidRPr="0092243C">
        <w:rPr>
          <w:rFonts w:ascii="Arial" w:hAnsi="Arial" w:cs="Arial"/>
        </w:rPr>
        <w:t>interpuso incidencia de inadmisibilidad del recurso</w:t>
      </w:r>
      <w:r>
        <w:rPr>
          <w:rFonts w:ascii="Arial" w:hAnsi="Arial" w:cs="Arial"/>
        </w:rPr>
        <w:t>,</w:t>
      </w:r>
      <w:r w:rsidRPr="0092243C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 xml:space="preserve">bre la base de que la apelación </w:t>
      </w:r>
      <w:r w:rsidRPr="0092243C">
        <w:rPr>
          <w:rFonts w:ascii="Arial" w:hAnsi="Arial" w:cs="Arial"/>
        </w:rPr>
        <w:t>no cumple con los requisitos formales que exige el a</w:t>
      </w:r>
      <w:r>
        <w:rPr>
          <w:rFonts w:ascii="Arial" w:hAnsi="Arial" w:cs="Arial"/>
        </w:rPr>
        <w:t xml:space="preserve">rtículo 370 del Código Procesal </w:t>
      </w:r>
      <w:r w:rsidRPr="0092243C">
        <w:rPr>
          <w:rFonts w:ascii="Arial" w:hAnsi="Arial" w:cs="Arial"/>
        </w:rPr>
        <w:t xml:space="preserve">Penal. Explica que la resolución apelada no es de </w:t>
      </w:r>
      <w:r>
        <w:rPr>
          <w:rFonts w:ascii="Arial" w:hAnsi="Arial" w:cs="Arial"/>
        </w:rPr>
        <w:t xml:space="preserve">aquellas que hacen imposible la </w:t>
      </w:r>
      <w:r w:rsidRPr="0092243C">
        <w:rPr>
          <w:rFonts w:ascii="Arial" w:hAnsi="Arial" w:cs="Arial"/>
        </w:rPr>
        <w:t>prosecución del procedimiento ni tampoco exist</w:t>
      </w:r>
      <w:r>
        <w:rPr>
          <w:rFonts w:ascii="Arial" w:hAnsi="Arial" w:cs="Arial"/>
        </w:rPr>
        <w:t xml:space="preserve">e una ley que la contemple a su respecto. </w:t>
      </w:r>
      <w:r w:rsidRPr="0092243C">
        <w:rPr>
          <w:rFonts w:ascii="Arial" w:hAnsi="Arial" w:cs="Arial"/>
        </w:rPr>
        <w:t>Que se confirió traslado a las part</w:t>
      </w:r>
      <w:r>
        <w:rPr>
          <w:rFonts w:ascii="Arial" w:hAnsi="Arial" w:cs="Arial"/>
        </w:rPr>
        <w:t xml:space="preserve">es querellante y de la defensa. </w:t>
      </w:r>
      <w:r w:rsidRPr="0092243C">
        <w:rPr>
          <w:rFonts w:ascii="Arial" w:hAnsi="Arial" w:cs="Arial"/>
        </w:rPr>
        <w:t>Ambas estuvieron de acuerdo con los ar</w:t>
      </w:r>
      <w:r>
        <w:rPr>
          <w:rFonts w:ascii="Arial" w:hAnsi="Arial" w:cs="Arial"/>
        </w:rPr>
        <w:t>gumentos esgrimidos por el ente persecutor. Tiene</w:t>
      </w:r>
      <w:r w:rsidRPr="0092243C">
        <w:rPr>
          <w:rFonts w:ascii="Arial" w:hAnsi="Arial" w:cs="Arial"/>
        </w:rPr>
        <w:t xml:space="preserve"> presente que la reso</w:t>
      </w:r>
      <w:r>
        <w:rPr>
          <w:rFonts w:ascii="Arial" w:hAnsi="Arial" w:cs="Arial"/>
        </w:rPr>
        <w:t xml:space="preserve">lución que comunica la decisión </w:t>
      </w:r>
      <w:r w:rsidRPr="0092243C">
        <w:rPr>
          <w:rFonts w:ascii="Arial" w:hAnsi="Arial" w:cs="Arial"/>
        </w:rPr>
        <w:t>de no perseverar del ente persecutor</w:t>
      </w:r>
      <w:r>
        <w:rPr>
          <w:rFonts w:ascii="Arial" w:hAnsi="Arial" w:cs="Arial"/>
        </w:rPr>
        <w:t>,</w:t>
      </w:r>
      <w:r w:rsidRPr="0092243C">
        <w:rPr>
          <w:rFonts w:ascii="Arial" w:hAnsi="Arial" w:cs="Arial"/>
        </w:rPr>
        <w:t xml:space="preserve"> es de naturalez</w:t>
      </w:r>
      <w:r>
        <w:rPr>
          <w:rFonts w:ascii="Arial" w:hAnsi="Arial" w:cs="Arial"/>
        </w:rPr>
        <w:t xml:space="preserve">a administrativa y por lo mismo </w:t>
      </w:r>
      <w:r w:rsidRPr="0092243C">
        <w:rPr>
          <w:rFonts w:ascii="Arial" w:hAnsi="Arial" w:cs="Arial"/>
        </w:rPr>
        <w:t>no se encuentra dentro de aquellas previstas en el a</w:t>
      </w:r>
      <w:r>
        <w:rPr>
          <w:rFonts w:ascii="Arial" w:hAnsi="Arial" w:cs="Arial"/>
        </w:rPr>
        <w:t xml:space="preserve">rtículo 370 del citado código. </w:t>
      </w:r>
      <w:r w:rsidRPr="0092243C">
        <w:rPr>
          <w:rFonts w:ascii="Arial" w:eastAsiaTheme="minorHAnsi" w:hAnsi="Arial" w:cs="Arial"/>
          <w:b/>
          <w:lang w:val="es-CL"/>
        </w:rPr>
        <w:t>(Considerandos: 1, 2</w:t>
      </w:r>
      <w:r>
        <w:rPr>
          <w:rFonts w:ascii="Arial" w:eastAsiaTheme="minorHAnsi" w:hAnsi="Arial" w:cs="Arial"/>
          <w:b/>
          <w:lang w:val="es-CL"/>
        </w:rPr>
        <w:t>, 3</w:t>
      </w:r>
      <w:r w:rsidRPr="0092243C">
        <w:rPr>
          <w:rFonts w:ascii="Arial" w:eastAsiaTheme="minorHAnsi" w:hAnsi="Arial" w:cs="Arial"/>
          <w:b/>
          <w:lang w:val="es-CL"/>
        </w:rPr>
        <w:t>)</w:t>
      </w:r>
    </w:p>
    <w:p w:rsidR="0092243C" w:rsidRDefault="0092243C" w:rsidP="0092243C">
      <w:pPr>
        <w:jc w:val="both"/>
        <w:rPr>
          <w:rFonts w:ascii="Arial" w:eastAsiaTheme="minorHAnsi" w:hAnsi="Arial" w:cs="Arial"/>
          <w:b/>
          <w:lang w:val="es-CL"/>
        </w:rPr>
      </w:pPr>
    </w:p>
    <w:p w:rsidR="0092243C" w:rsidRDefault="0092243C" w:rsidP="0092243C">
      <w:pPr>
        <w:jc w:val="both"/>
        <w:rPr>
          <w:rFonts w:ascii="Arial" w:eastAsiaTheme="minorHAnsi" w:hAnsi="Arial" w:cs="Arial"/>
          <w:b/>
          <w:lang w:val="es-CL"/>
        </w:rPr>
      </w:pPr>
    </w:p>
    <w:p w:rsidR="0092243C" w:rsidRPr="0092243C" w:rsidRDefault="0092243C" w:rsidP="0092243C">
      <w:pPr>
        <w:jc w:val="both"/>
        <w:rPr>
          <w:rFonts w:ascii="Arial" w:eastAsiaTheme="minorHAnsi" w:hAnsi="Arial" w:cs="Arial"/>
          <w:b/>
          <w:lang w:val="es-CL"/>
        </w:rPr>
      </w:pPr>
      <w:r>
        <w:rPr>
          <w:rFonts w:ascii="Arial" w:eastAsiaTheme="minorHAnsi" w:hAnsi="Arial" w:cs="Arial"/>
          <w:b/>
          <w:lang w:val="es-CL"/>
        </w:rPr>
        <w:t>T</w:t>
      </w:r>
      <w:r w:rsidRPr="0092243C">
        <w:rPr>
          <w:rFonts w:ascii="Arial" w:eastAsiaTheme="minorHAnsi" w:hAnsi="Arial" w:cs="Arial"/>
          <w:b/>
          <w:lang w:val="es-CL"/>
        </w:rPr>
        <w:t>EXTO COMPLETO:</w:t>
      </w:r>
    </w:p>
    <w:p w:rsidR="003442F2" w:rsidRDefault="003442F2" w:rsidP="0092243C">
      <w:pPr>
        <w:jc w:val="both"/>
        <w:rPr>
          <w:rFonts w:ascii="Arial" w:hAnsi="Arial" w:cs="Arial"/>
        </w:rPr>
      </w:pP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San Miguel, diez de abril de dos mil veinticuatro.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Vistos y teniendo presente: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 xml:space="preserve">Primero: Que, antes de comenzar los </w:t>
      </w:r>
      <w:r w:rsidR="0092243C">
        <w:rPr>
          <w:rFonts w:ascii="Arial" w:hAnsi="Arial" w:cs="Arial"/>
        </w:rPr>
        <w:t xml:space="preserve">alegatos, el Ministerio Público </w:t>
      </w:r>
      <w:r w:rsidRPr="0092243C">
        <w:rPr>
          <w:rFonts w:ascii="Arial" w:hAnsi="Arial" w:cs="Arial"/>
        </w:rPr>
        <w:t>interpuso incidencia de inadmisibilidad del recurso so</w:t>
      </w:r>
      <w:r w:rsidR="0092243C">
        <w:rPr>
          <w:rFonts w:ascii="Arial" w:hAnsi="Arial" w:cs="Arial"/>
        </w:rPr>
        <w:t xml:space="preserve">bre la base de que la apelación </w:t>
      </w:r>
      <w:r w:rsidRPr="0092243C">
        <w:rPr>
          <w:rFonts w:ascii="Arial" w:hAnsi="Arial" w:cs="Arial"/>
        </w:rPr>
        <w:t>no cumple con los requisitos formales que exige el a</w:t>
      </w:r>
      <w:r w:rsidR="0092243C">
        <w:rPr>
          <w:rFonts w:ascii="Arial" w:hAnsi="Arial" w:cs="Arial"/>
        </w:rPr>
        <w:t xml:space="preserve">rtículo 370 del Código Procesal </w:t>
      </w:r>
      <w:r w:rsidRPr="0092243C">
        <w:rPr>
          <w:rFonts w:ascii="Arial" w:hAnsi="Arial" w:cs="Arial"/>
        </w:rPr>
        <w:t xml:space="preserve">Penal. Explica que la resolución apelada no es de </w:t>
      </w:r>
      <w:r w:rsidR="0092243C">
        <w:rPr>
          <w:rFonts w:ascii="Arial" w:hAnsi="Arial" w:cs="Arial"/>
        </w:rPr>
        <w:t xml:space="preserve">aquellas que hacen imposible la </w:t>
      </w:r>
      <w:r w:rsidRPr="0092243C">
        <w:rPr>
          <w:rFonts w:ascii="Arial" w:hAnsi="Arial" w:cs="Arial"/>
        </w:rPr>
        <w:t>prosecución del procedimiento ni tampoco exist</w:t>
      </w:r>
      <w:r w:rsidR="0092243C">
        <w:rPr>
          <w:rFonts w:ascii="Arial" w:hAnsi="Arial" w:cs="Arial"/>
        </w:rPr>
        <w:t xml:space="preserve">e una ley que la contemple a su </w:t>
      </w:r>
      <w:r w:rsidRPr="0092243C">
        <w:rPr>
          <w:rFonts w:ascii="Arial" w:hAnsi="Arial" w:cs="Arial"/>
        </w:rPr>
        <w:t>respecto.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Segundo: Que se confirió traslado a las partes querellante y de la defensa.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Ambas estuvieron de acuerdo con los ar</w:t>
      </w:r>
      <w:r w:rsidR="0092243C">
        <w:rPr>
          <w:rFonts w:ascii="Arial" w:hAnsi="Arial" w:cs="Arial"/>
        </w:rPr>
        <w:t xml:space="preserve">gumentos esgrimidos por el ente </w:t>
      </w:r>
      <w:r w:rsidRPr="0092243C">
        <w:rPr>
          <w:rFonts w:ascii="Arial" w:hAnsi="Arial" w:cs="Arial"/>
        </w:rPr>
        <w:t>persecutor.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Tercero: Que, se tiene presente que la reso</w:t>
      </w:r>
      <w:r w:rsidR="0092243C">
        <w:rPr>
          <w:rFonts w:ascii="Arial" w:hAnsi="Arial" w:cs="Arial"/>
        </w:rPr>
        <w:t xml:space="preserve">lución que comunica la decisión </w:t>
      </w:r>
      <w:r w:rsidRPr="0092243C">
        <w:rPr>
          <w:rFonts w:ascii="Arial" w:hAnsi="Arial" w:cs="Arial"/>
        </w:rPr>
        <w:t>de no perseverar del ente persecutor es de naturalez</w:t>
      </w:r>
      <w:r w:rsidR="0092243C">
        <w:rPr>
          <w:rFonts w:ascii="Arial" w:hAnsi="Arial" w:cs="Arial"/>
        </w:rPr>
        <w:t xml:space="preserve">a administrativa y por lo mismo </w:t>
      </w:r>
      <w:r w:rsidRPr="0092243C">
        <w:rPr>
          <w:rFonts w:ascii="Arial" w:hAnsi="Arial" w:cs="Arial"/>
        </w:rPr>
        <w:t>no se encuentra dentro de aquellas previstas en el a</w:t>
      </w:r>
      <w:r w:rsidR="0092243C">
        <w:rPr>
          <w:rFonts w:ascii="Arial" w:hAnsi="Arial" w:cs="Arial"/>
        </w:rPr>
        <w:t xml:space="preserve">rtículo 370 del Código Procesal </w:t>
      </w:r>
      <w:r w:rsidRPr="0092243C">
        <w:rPr>
          <w:rFonts w:ascii="Arial" w:hAnsi="Arial" w:cs="Arial"/>
        </w:rPr>
        <w:t>Penal.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lastRenderedPageBreak/>
        <w:t>Y de conformidad, además, con lo dispuesto</w:t>
      </w:r>
      <w:r w:rsidR="0092243C">
        <w:rPr>
          <w:rFonts w:ascii="Arial" w:hAnsi="Arial" w:cs="Arial"/>
        </w:rPr>
        <w:t xml:space="preserve"> en los artículos 352 y 370 del </w:t>
      </w:r>
      <w:r w:rsidRPr="0092243C">
        <w:rPr>
          <w:rFonts w:ascii="Arial" w:hAnsi="Arial" w:cs="Arial"/>
        </w:rPr>
        <w:t>Código Procesal Penal, se declara inadmisible el r</w:t>
      </w:r>
      <w:r w:rsidR="0092243C">
        <w:rPr>
          <w:rFonts w:ascii="Arial" w:hAnsi="Arial" w:cs="Arial"/>
        </w:rPr>
        <w:t xml:space="preserve">ecurso de apelación interpuesto </w:t>
      </w:r>
      <w:r w:rsidRPr="0092243C">
        <w:rPr>
          <w:rFonts w:ascii="Arial" w:hAnsi="Arial" w:cs="Arial"/>
        </w:rPr>
        <w:t>en contra de la resolución de primero de marzo de do</w:t>
      </w:r>
      <w:r w:rsidR="0092243C">
        <w:rPr>
          <w:rFonts w:ascii="Arial" w:hAnsi="Arial" w:cs="Arial"/>
        </w:rPr>
        <w:t xml:space="preserve">s mil veinticuatro, dictada por </w:t>
      </w:r>
      <w:r w:rsidRPr="0092243C">
        <w:rPr>
          <w:rFonts w:ascii="Arial" w:hAnsi="Arial" w:cs="Arial"/>
        </w:rPr>
        <w:t xml:space="preserve">el Juzgado de Garantía de San Bernardo, </w:t>
      </w:r>
      <w:r w:rsidR="0092243C">
        <w:rPr>
          <w:rFonts w:ascii="Arial" w:hAnsi="Arial" w:cs="Arial"/>
        </w:rPr>
        <w:t xml:space="preserve">en los autos RIT 13641-2021 que </w:t>
      </w:r>
      <w:r w:rsidRPr="0092243C">
        <w:rPr>
          <w:rFonts w:ascii="Arial" w:hAnsi="Arial" w:cs="Arial"/>
        </w:rPr>
        <w:t>comunicó la decisión del ente persecutor de no perseverar.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Devuélvase vía interconexión.</w:t>
      </w:r>
    </w:p>
    <w:p w:rsidR="003442F2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N°660 – 2024 Penal</w:t>
      </w:r>
    </w:p>
    <w:p w:rsidR="0092243C" w:rsidRPr="0092243C" w:rsidRDefault="0092243C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Ruc: 2110059635-8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Pronunciado por la Quinta Sala de la C.A. de San Miguel integra</w:t>
      </w:r>
      <w:r w:rsidR="0092243C">
        <w:rPr>
          <w:rFonts w:ascii="Arial" w:hAnsi="Arial" w:cs="Arial"/>
        </w:rPr>
        <w:t xml:space="preserve">da por los Ministros (as) María </w:t>
      </w:r>
      <w:r w:rsidRPr="0092243C">
        <w:rPr>
          <w:rFonts w:ascii="Arial" w:hAnsi="Arial" w:cs="Arial"/>
        </w:rPr>
        <w:t xml:space="preserve">Carolina U. Catepillan L., Carlos </w:t>
      </w:r>
      <w:r w:rsidR="0092243C" w:rsidRPr="0092243C">
        <w:rPr>
          <w:rFonts w:ascii="Arial" w:hAnsi="Arial" w:cs="Arial"/>
        </w:rPr>
        <w:t>Cristóbal</w:t>
      </w:r>
      <w:r w:rsidRPr="0092243C">
        <w:rPr>
          <w:rFonts w:ascii="Arial" w:hAnsi="Arial" w:cs="Arial"/>
        </w:rPr>
        <w:t xml:space="preserve"> </w:t>
      </w:r>
      <w:r w:rsidR="0092243C" w:rsidRPr="0092243C">
        <w:rPr>
          <w:rFonts w:ascii="Arial" w:hAnsi="Arial" w:cs="Arial"/>
        </w:rPr>
        <w:t>Farías</w:t>
      </w:r>
      <w:r w:rsidRPr="0092243C">
        <w:rPr>
          <w:rFonts w:ascii="Arial" w:hAnsi="Arial" w:cs="Arial"/>
        </w:rPr>
        <w:t xml:space="preserve"> P. y Abogado Integ</w:t>
      </w:r>
      <w:r w:rsidR="0092243C">
        <w:rPr>
          <w:rFonts w:ascii="Arial" w:hAnsi="Arial" w:cs="Arial"/>
        </w:rPr>
        <w:t xml:space="preserve">rante Juan Reyes T. San Miguel, </w:t>
      </w:r>
      <w:r w:rsidRPr="0092243C">
        <w:rPr>
          <w:rFonts w:ascii="Arial" w:hAnsi="Arial" w:cs="Arial"/>
        </w:rPr>
        <w:t>diez de abril de dos mil veinticuatro.</w:t>
      </w:r>
    </w:p>
    <w:p w:rsidR="003442F2" w:rsidRPr="0092243C" w:rsidRDefault="003442F2" w:rsidP="0092243C">
      <w:pPr>
        <w:jc w:val="both"/>
        <w:rPr>
          <w:rFonts w:ascii="Arial" w:hAnsi="Arial" w:cs="Arial"/>
        </w:rPr>
      </w:pPr>
      <w:r w:rsidRPr="0092243C">
        <w:rPr>
          <w:rFonts w:ascii="Arial" w:hAnsi="Arial" w:cs="Arial"/>
        </w:rPr>
        <w:t>En San Miguel, a diez de abril de dos mil veinticuatro, notifiqué en Sec</w:t>
      </w:r>
      <w:r w:rsidR="0092243C">
        <w:rPr>
          <w:rFonts w:ascii="Arial" w:hAnsi="Arial" w:cs="Arial"/>
        </w:rPr>
        <w:t xml:space="preserve">retaría por el Estado Diario la </w:t>
      </w:r>
      <w:r w:rsidRPr="0092243C">
        <w:rPr>
          <w:rFonts w:ascii="Arial" w:hAnsi="Arial" w:cs="Arial"/>
        </w:rPr>
        <w:t>resolución precedente.</w:t>
      </w:r>
    </w:p>
    <w:sectPr w:rsidR="003442F2" w:rsidRPr="00922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EC" w:rsidRDefault="006418EC" w:rsidP="007701FC">
      <w:r>
        <w:separator/>
      </w:r>
    </w:p>
  </w:endnote>
  <w:endnote w:type="continuationSeparator" w:id="0">
    <w:p w:rsidR="006418EC" w:rsidRDefault="006418EC" w:rsidP="0077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EC" w:rsidRDefault="006418EC" w:rsidP="007701FC">
      <w:r>
        <w:separator/>
      </w:r>
    </w:p>
  </w:footnote>
  <w:footnote w:type="continuationSeparator" w:id="0">
    <w:p w:rsidR="006418EC" w:rsidRDefault="006418EC" w:rsidP="0077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6418E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1" o:spid="_x0000_s2053" type="#_x0000_t75" style="position:absolute;margin-left:0;margin-top:0;width:441.85pt;height:176.5pt;z-index:-251657216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6418E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2" o:spid="_x0000_s2054" type="#_x0000_t75" style="position:absolute;margin-left:0;margin-top:0;width:441.85pt;height:176.5pt;z-index:-251656192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  <w:r w:rsidR="007701FC">
      <w:rPr>
        <w:noProof/>
        <w:lang w:eastAsia="es-CL"/>
      </w:rPr>
      <w:drawing>
        <wp:inline distT="0" distB="0" distL="0" distR="0">
          <wp:extent cx="1543138" cy="616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575" cy="61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6418E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0" o:spid="_x0000_s2052" type="#_x0000_t75" style="position:absolute;margin-left:0;margin-top:0;width:441.85pt;height:176.5pt;z-index:-251658240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C"/>
    <w:rsid w:val="000137ED"/>
    <w:rsid w:val="00026827"/>
    <w:rsid w:val="00180908"/>
    <w:rsid w:val="001C6D15"/>
    <w:rsid w:val="001D7D29"/>
    <w:rsid w:val="002618D8"/>
    <w:rsid w:val="002A16E9"/>
    <w:rsid w:val="002E3983"/>
    <w:rsid w:val="002F03B6"/>
    <w:rsid w:val="003442F2"/>
    <w:rsid w:val="003902BD"/>
    <w:rsid w:val="003B136A"/>
    <w:rsid w:val="003B47DB"/>
    <w:rsid w:val="003B58B9"/>
    <w:rsid w:val="003B6442"/>
    <w:rsid w:val="003C714D"/>
    <w:rsid w:val="003E7174"/>
    <w:rsid w:val="00405D03"/>
    <w:rsid w:val="004407B0"/>
    <w:rsid w:val="004D5144"/>
    <w:rsid w:val="004E1BE4"/>
    <w:rsid w:val="0050463B"/>
    <w:rsid w:val="0050568A"/>
    <w:rsid w:val="005062BE"/>
    <w:rsid w:val="005436F8"/>
    <w:rsid w:val="005871D3"/>
    <w:rsid w:val="005A6ADE"/>
    <w:rsid w:val="006373E6"/>
    <w:rsid w:val="006418EC"/>
    <w:rsid w:val="006E30C8"/>
    <w:rsid w:val="007701FC"/>
    <w:rsid w:val="0077496A"/>
    <w:rsid w:val="00777052"/>
    <w:rsid w:val="007B23EA"/>
    <w:rsid w:val="008569D0"/>
    <w:rsid w:val="00896FE2"/>
    <w:rsid w:val="008D0D6A"/>
    <w:rsid w:val="0092243C"/>
    <w:rsid w:val="00937545"/>
    <w:rsid w:val="009B159F"/>
    <w:rsid w:val="009B503D"/>
    <w:rsid w:val="009F5C27"/>
    <w:rsid w:val="00A43338"/>
    <w:rsid w:val="00A55E9C"/>
    <w:rsid w:val="00B161A8"/>
    <w:rsid w:val="00B41AE3"/>
    <w:rsid w:val="00B64027"/>
    <w:rsid w:val="00BC13F8"/>
    <w:rsid w:val="00BF074B"/>
    <w:rsid w:val="00BF62E4"/>
    <w:rsid w:val="00C032A9"/>
    <w:rsid w:val="00C20150"/>
    <w:rsid w:val="00C25D03"/>
    <w:rsid w:val="00C72AA8"/>
    <w:rsid w:val="00CB5205"/>
    <w:rsid w:val="00D206D1"/>
    <w:rsid w:val="00D512B6"/>
    <w:rsid w:val="00D65C20"/>
    <w:rsid w:val="00D74255"/>
    <w:rsid w:val="00D96752"/>
    <w:rsid w:val="00E5214D"/>
    <w:rsid w:val="00E569F2"/>
    <w:rsid w:val="00EC4B8B"/>
    <w:rsid w:val="00F36D7A"/>
    <w:rsid w:val="00F46E7E"/>
    <w:rsid w:val="00F7718A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4562E7"/>
  <w15:chartTrackingRefBased/>
  <w15:docId w15:val="{5CDADC1D-8872-4347-9BD2-AED235E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5C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5C20"/>
    <w:pPr>
      <w:spacing w:before="1"/>
      <w:ind w:left="87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1F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7701FC"/>
  </w:style>
  <w:style w:type="paragraph" w:styleId="Piedepgina">
    <w:name w:val="footer"/>
    <w:basedOn w:val="Normal"/>
    <w:link w:val="PiedepginaCar"/>
    <w:uiPriority w:val="99"/>
    <w:unhideWhenUsed/>
    <w:rsid w:val="007701F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01FC"/>
  </w:style>
  <w:style w:type="paragraph" w:styleId="Sinespaciado">
    <w:name w:val="No Spacing"/>
    <w:uiPriority w:val="1"/>
    <w:qFormat/>
    <w:rsid w:val="003C714D"/>
    <w:pPr>
      <w:spacing w:after="0" w:line="240" w:lineRule="auto"/>
    </w:pPr>
    <w:rPr>
      <w:rFonts w:eastAsiaTheme="minorEastAsia"/>
      <w:lang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B5205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5205"/>
  </w:style>
  <w:style w:type="character" w:customStyle="1" w:styleId="Ttulo1Car">
    <w:name w:val="Título 1 Car"/>
    <w:basedOn w:val="Fuentedeprrafopredeter"/>
    <w:link w:val="Ttulo1"/>
    <w:uiPriority w:val="1"/>
    <w:rsid w:val="00D65C20"/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">
    <w:name w:val="Table Normal"/>
    <w:uiPriority w:val="2"/>
    <w:semiHidden/>
    <w:unhideWhenUsed/>
    <w:qFormat/>
    <w:rsid w:val="00D65C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D65C20"/>
  </w:style>
  <w:style w:type="paragraph" w:customStyle="1" w:styleId="TableParagraph">
    <w:name w:val="Table Paragraph"/>
    <w:basedOn w:val="Normal"/>
    <w:uiPriority w:val="1"/>
    <w:qFormat/>
    <w:rsid w:val="00D6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Antonieta Ubillo Venegas</dc:creator>
  <cp:keywords/>
  <dc:description/>
  <cp:lastModifiedBy>Pedro Narvaez</cp:lastModifiedBy>
  <cp:revision>8</cp:revision>
  <dcterms:created xsi:type="dcterms:W3CDTF">2024-04-22T18:36:00Z</dcterms:created>
  <dcterms:modified xsi:type="dcterms:W3CDTF">2024-04-22T18:55:00Z</dcterms:modified>
</cp:coreProperties>
</file>