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E1B87" w14:textId="5E02583E" w:rsidR="009B6AC9" w:rsidRPr="008816F9" w:rsidRDefault="002B7035" w:rsidP="008816F9">
      <w:pPr>
        <w:spacing w:line="240" w:lineRule="auto"/>
        <w:ind w:left="1080" w:hanging="720"/>
        <w:jc w:val="both"/>
        <w:rPr>
          <w:rFonts w:ascii="Gill Sans MT" w:hAnsi="Gill Sans MT"/>
        </w:rPr>
      </w:pPr>
      <w:r>
        <w:rPr>
          <w:noProof/>
          <w:lang w:eastAsia="es-CL"/>
        </w:rPr>
        <mc:AlternateContent>
          <mc:Choice Requires="wps">
            <w:drawing>
              <wp:anchor distT="0" distB="0" distL="114300" distR="114300" simplePos="0" relativeHeight="251675648" behindDoc="0" locked="0" layoutInCell="1" allowOverlap="1" wp14:anchorId="1B00213C" wp14:editId="4A7C6996">
                <wp:simplePos x="0" y="0"/>
                <wp:positionH relativeFrom="margin">
                  <wp:align>center</wp:align>
                </wp:positionH>
                <wp:positionV relativeFrom="margin">
                  <wp:align>top</wp:align>
                </wp:positionV>
                <wp:extent cx="1828800" cy="1828800"/>
                <wp:effectExtent l="0" t="0" r="13335" b="9525"/>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C746D3F" w14:textId="77777777" w:rsidR="002B7035" w:rsidRPr="002B7035" w:rsidRDefault="002B7035" w:rsidP="008816F9">
                            <w:pPr>
                              <w:spacing w:line="240" w:lineRule="auto"/>
                              <w:jc w:val="center"/>
                              <w:rPr>
                                <w:rFonts w:ascii="Gill Sans MT" w:hAnsi="Gill Sans MT" w:cs="Times New Roman (Body CS)"/>
                                <w:b/>
                                <w:bCs/>
                                <w:smallCaps/>
                              </w:rPr>
                            </w:pPr>
                            <w:bookmarkStart w:id="0" w:name="_GoBack"/>
                            <w:r w:rsidRPr="002B7035">
                              <w:rPr>
                                <w:rFonts w:ascii="Gill Sans MT" w:hAnsi="Gill Sans MT" w:cs="Times New Roman (Body CS)"/>
                                <w:b/>
                                <w:bCs/>
                                <w:smallCaps/>
                              </w:rPr>
                              <w:t>Minuta Técnica Unidad de Derechos Humanos | Defensoría Nacional</w:t>
                            </w:r>
                          </w:p>
                          <w:p w14:paraId="198FFF14" w14:textId="77777777" w:rsidR="002B7035" w:rsidRPr="002B7035" w:rsidRDefault="002B7035" w:rsidP="008816F9">
                            <w:pPr>
                              <w:spacing w:line="240" w:lineRule="auto"/>
                              <w:jc w:val="center"/>
                              <w:rPr>
                                <w:rFonts w:ascii="Gill Sans MT" w:hAnsi="Gill Sans MT" w:cs="Times New Roman (Body CS)"/>
                                <w:b/>
                                <w:bCs/>
                                <w:smallCaps/>
                              </w:rPr>
                            </w:pPr>
                            <w:r w:rsidRPr="002B7035">
                              <w:rPr>
                                <w:rFonts w:ascii="Gill Sans MT" w:hAnsi="Gill Sans MT" w:cs="Times New Roman (Body CS)"/>
                                <w:b/>
                                <w:bCs/>
                                <w:smallCaps/>
                              </w:rPr>
                              <w:t xml:space="preserve">La prisión preventiva en el derecho internacional de los derechos humanos </w:t>
                            </w:r>
                          </w:p>
                          <w:p w14:paraId="4439590A" w14:textId="77777777" w:rsidR="002B7035" w:rsidRPr="002B7035" w:rsidRDefault="002B7035" w:rsidP="00291D22">
                            <w:pPr>
                              <w:pBdr>
                                <w:bottom w:val="single" w:sz="6" w:space="1" w:color="auto"/>
                              </w:pBdr>
                              <w:jc w:val="center"/>
                              <w:rPr>
                                <w:rFonts w:ascii="Gill Sans MT" w:hAnsi="Gill Sans MT" w:cs="Times New Roman (Body CS)"/>
                                <w:b/>
                                <w:bCs/>
                                <w:smallCaps/>
                              </w:rPr>
                            </w:pPr>
                            <w:r w:rsidRPr="002B7035">
                              <w:rPr>
                                <w:rFonts w:ascii="Gill Sans MT" w:hAnsi="Gill Sans MT" w:cs="Times New Roman (Body CS)"/>
                                <w:b/>
                                <w:bCs/>
                                <w:smallCaps/>
                              </w:rPr>
                              <w:t>TP/23.06.2021</w:t>
                            </w:r>
                            <w:bookmarkEnd w:id="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00213C" id="_x0000_t202" coordsize="21600,21600" o:spt="202" path="m,l,21600r21600,l21600,xe">
                <v:stroke joinstyle="miter"/>
                <v:path gradientshapeok="t" o:connecttype="rect"/>
              </v:shapetype>
              <v:shape id="Text Box 13" o:spid="_x0000_s102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" fillcolor="white [3201]" strokecolor="#4472c4 [3204]" strokeweight="1pt">
                <v:textbox style="mso-fit-shape-to-text:t">
                  <w:txbxContent>
                    <w:p w14:paraId="7C746D3F" w14:textId="77777777" w:rsidR="002B7035" w:rsidRPr="002B7035" w:rsidRDefault="002B7035" w:rsidP="008816F9">
                      <w:pPr>
                        <w:spacing w:line="240" w:lineRule="auto"/>
                        <w:jc w:val="center"/>
                        <w:rPr>
                          <w:rFonts w:ascii="Gill Sans MT" w:hAnsi="Gill Sans MT" w:cs="Times New Roman (Body CS)"/>
                          <w:b/>
                          <w:bCs/>
                          <w:smallCaps/>
                        </w:rPr>
                      </w:pPr>
                      <w:r w:rsidRPr="002B7035">
                        <w:rPr>
                          <w:rFonts w:ascii="Gill Sans MT" w:hAnsi="Gill Sans MT" w:cs="Times New Roman (Body CS)"/>
                          <w:b/>
                          <w:bCs/>
                          <w:smallCaps/>
                        </w:rPr>
                        <w:t>Minuta Técnica Unidad de Derechos Humanos | Defensoría Nacional</w:t>
                      </w:r>
                    </w:p>
                    <w:p w14:paraId="198FFF14" w14:textId="77777777" w:rsidR="002B7035" w:rsidRPr="002B7035" w:rsidRDefault="002B7035" w:rsidP="008816F9">
                      <w:pPr>
                        <w:spacing w:line="240" w:lineRule="auto"/>
                        <w:jc w:val="center"/>
                        <w:rPr>
                          <w:rFonts w:ascii="Gill Sans MT" w:hAnsi="Gill Sans MT" w:cs="Times New Roman (Body CS)"/>
                          <w:b/>
                          <w:bCs/>
                          <w:smallCaps/>
                        </w:rPr>
                      </w:pPr>
                      <w:r w:rsidRPr="002B7035">
                        <w:rPr>
                          <w:rFonts w:ascii="Gill Sans MT" w:hAnsi="Gill Sans MT" w:cs="Times New Roman (Body CS)"/>
                          <w:b/>
                          <w:bCs/>
                          <w:smallCaps/>
                        </w:rPr>
                        <w:t xml:space="preserve">La prisión preventiva en el derecho internacional de los derechos humanos </w:t>
                      </w:r>
                    </w:p>
                    <w:p w14:paraId="4439590A" w14:textId="77777777" w:rsidR="002B7035" w:rsidRPr="002B7035" w:rsidRDefault="002B7035" w:rsidP="00291D22">
                      <w:pPr>
                        <w:pBdr>
                          <w:bottom w:val="single" w:sz="6" w:space="1" w:color="auto"/>
                        </w:pBdr>
                        <w:jc w:val="center"/>
                        <w:rPr>
                          <w:rFonts w:ascii="Gill Sans MT" w:hAnsi="Gill Sans MT" w:cs="Times New Roman (Body CS)"/>
                          <w:b/>
                          <w:bCs/>
                          <w:smallCaps/>
                        </w:rPr>
                      </w:pPr>
                      <w:r w:rsidRPr="002B7035">
                        <w:rPr>
                          <w:rFonts w:ascii="Gill Sans MT" w:hAnsi="Gill Sans MT" w:cs="Times New Roman (Body CS)"/>
                          <w:b/>
                          <w:bCs/>
                          <w:smallCaps/>
                        </w:rPr>
                        <w:t>TP/23.06.2021</w:t>
                      </w:r>
                    </w:p>
                  </w:txbxContent>
                </v:textbox>
                <w10:wrap type="square" anchorx="margin" anchory="margin"/>
              </v:shape>
            </w:pict>
          </mc:Fallback>
        </mc:AlternateContent>
      </w:r>
    </w:p>
    <w:p w14:paraId="1FD7284F" w14:textId="635D6A90" w:rsidR="009B6AC9" w:rsidRPr="002B7035" w:rsidRDefault="009B6AC9" w:rsidP="002B7035">
      <w:pPr>
        <w:pStyle w:val="Prrafodelista"/>
        <w:numPr>
          <w:ilvl w:val="0"/>
          <w:numId w:val="1"/>
        </w:numPr>
        <w:spacing w:line="240" w:lineRule="auto"/>
        <w:jc w:val="both"/>
        <w:rPr>
          <w:rFonts w:ascii="Gill Sans MT" w:hAnsi="Gill Sans MT" w:cs="Times New Roman"/>
          <w:b/>
        </w:rPr>
      </w:pPr>
      <w:r w:rsidRPr="002B7035">
        <w:rPr>
          <w:rFonts w:ascii="Gill Sans MT" w:hAnsi="Gill Sans MT" w:cs="Times New Roman"/>
          <w:b/>
        </w:rPr>
        <w:t xml:space="preserve">Marco jurídico internacional. </w:t>
      </w:r>
    </w:p>
    <w:p w14:paraId="5EDC2813" w14:textId="77777777" w:rsidR="009B6AC9" w:rsidRPr="008816F9" w:rsidRDefault="009B6AC9" w:rsidP="008816F9">
      <w:pPr>
        <w:pStyle w:val="Sinespaciado"/>
        <w:jc w:val="both"/>
        <w:rPr>
          <w:rFonts w:ascii="Gill Sans MT" w:hAnsi="Gill Sans MT" w:cs="Times New Roman"/>
        </w:rPr>
      </w:pPr>
      <w:r w:rsidRPr="008816F9">
        <w:rPr>
          <w:rFonts w:ascii="Gill Sans MT" w:hAnsi="Gill Sans MT" w:cs="Times New Roman"/>
        </w:rPr>
        <w:t xml:space="preserve">De la lectura del artículo 7.5 parte final y 8.2 de la Convención Americana sobre Derechos Humanos, se desprende que la libertad de una persona en el marco del proceso podrá estar condicionada a garantías que aseguren su comparecencia en juicio, teniendo presente la presunción de inocencia que descansa sobre esta. Lo mismo se sigue de lo establecido en el artículo 9.3 del Pacto Internacional de Derechos Civiles y Políticos, el cual hace expresa referencia a la prisión preventiva y los supuestos que habilitan su aplicación. Es importante destacar que ni la Convención ni el Pacto hacen referencia a la seguridad del ofendido, la sociedad o situaciones de índole personal de la persona sometida a esta medida. Finalmente, el Convenio Europeo de Derechos Humanos, en su artículo 5.3 también condiciona la libertad del imputado a situaciones de índole procesal.  </w:t>
      </w:r>
    </w:p>
    <w:p w14:paraId="2A37E2B6" w14:textId="77777777" w:rsidR="009B6AC9" w:rsidRPr="008816F9" w:rsidRDefault="009B6AC9" w:rsidP="008816F9">
      <w:pPr>
        <w:spacing w:line="240" w:lineRule="auto"/>
        <w:jc w:val="both"/>
        <w:rPr>
          <w:rFonts w:ascii="Gill Sans MT" w:hAnsi="Gill Sans MT" w:cs="Times New Roman"/>
          <w:b/>
        </w:rPr>
      </w:pPr>
    </w:p>
    <w:p w14:paraId="7E8E6F22" w14:textId="76B28479" w:rsidR="00B22460" w:rsidRPr="008816F9" w:rsidRDefault="00B22460" w:rsidP="008816F9">
      <w:pPr>
        <w:pStyle w:val="Prrafodelista"/>
        <w:numPr>
          <w:ilvl w:val="0"/>
          <w:numId w:val="1"/>
        </w:numPr>
        <w:spacing w:line="240" w:lineRule="auto"/>
        <w:jc w:val="both"/>
        <w:rPr>
          <w:rFonts w:ascii="Gill Sans MT" w:hAnsi="Gill Sans MT" w:cs="Times New Roman"/>
          <w:b/>
          <w:iCs/>
        </w:rPr>
      </w:pPr>
      <w:r w:rsidRPr="008816F9">
        <w:rPr>
          <w:rFonts w:ascii="Gill Sans MT" w:hAnsi="Gill Sans MT" w:cs="Times New Roman"/>
          <w:b/>
          <w:iCs/>
        </w:rPr>
        <w:t>Carácter excepcional de la prisión preventiva</w:t>
      </w:r>
      <w:r w:rsidR="008816F9">
        <w:rPr>
          <w:rFonts w:ascii="Gill Sans MT" w:hAnsi="Gill Sans MT" w:cs="Times New Roman"/>
          <w:b/>
          <w:iCs/>
        </w:rPr>
        <w:t>.</w:t>
      </w:r>
    </w:p>
    <w:p w14:paraId="0F1E8FF6" w14:textId="25F8984E" w:rsidR="008816F9" w:rsidRDefault="004E193D" w:rsidP="008816F9">
      <w:pPr>
        <w:spacing w:line="240" w:lineRule="auto"/>
        <w:jc w:val="both"/>
        <w:rPr>
          <w:rFonts w:ascii="Gill Sans MT" w:hAnsi="Gill Sans MT" w:cs="Times New Roman"/>
        </w:rPr>
      </w:pPr>
      <w:r>
        <w:rPr>
          <w:noProof/>
          <w:lang w:eastAsia="es-CL"/>
        </w:rPr>
        <mc:AlternateContent>
          <mc:Choice Requires="wps">
            <w:drawing>
              <wp:anchor distT="0" distB="0" distL="114300" distR="114300" simplePos="0" relativeHeight="251661312" behindDoc="0" locked="0" layoutInCell="1" allowOverlap="1" wp14:anchorId="13F3421B" wp14:editId="5603DF7D">
                <wp:simplePos x="0" y="0"/>
                <wp:positionH relativeFrom="column">
                  <wp:posOffset>3364865</wp:posOffset>
                </wp:positionH>
                <wp:positionV relativeFrom="paragraph">
                  <wp:posOffset>751205</wp:posOffset>
                </wp:positionV>
                <wp:extent cx="2584450" cy="1378585"/>
                <wp:effectExtent l="0" t="0" r="19050" b="18415"/>
                <wp:wrapSquare wrapText="bothSides"/>
                <wp:docPr id="1" name="Text Box 1"/>
                <wp:cNvGraphicFramePr/>
                <a:graphic xmlns:a="http://schemas.openxmlformats.org/drawingml/2006/main">
                  <a:graphicData uri="http://schemas.microsoft.com/office/word/2010/wordprocessingShape">
                    <wps:wsp>
                      <wps:cNvSpPr txBox="1"/>
                      <wps:spPr>
                        <a:xfrm>
                          <a:off x="0" y="0"/>
                          <a:ext cx="2584450" cy="137858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6F45413" w14:textId="77777777" w:rsidR="004E193D" w:rsidRPr="00461456" w:rsidRDefault="004E193D" w:rsidP="00461456">
                            <w:pPr>
                              <w:jc w:val="both"/>
                              <w:rPr>
                                <w:noProof/>
                              </w:rPr>
                            </w:pPr>
                            <w:r>
                              <w:rPr>
                                <w:rFonts w:ascii="Gill Sans MT" w:hAnsi="Gill Sans MT" w:cs="Times New Roman"/>
                              </w:rPr>
                              <w:t>“Cualquier restricción a la libertad que no contenga una motivación suficiente que permita evaluar si se ajusta a las condiciones señaladas será arbitraria y, por tanto, violará el artículo 7.3 de la Convención.”</w:t>
                            </w:r>
                            <w:r w:rsidRPr="008816F9">
                              <w:rPr>
                                <w:rFonts w:ascii="Times New Roman" w:eastAsia="Calibri" w:hAnsi="Times New Roman" w:cs="Times New Roman"/>
                                <w:sz w:val="18"/>
                                <w:szCs w:val="18"/>
                                <w:lang w:val="es-ES" w:eastAsia="es-ES"/>
                              </w:rPr>
                              <w:t xml:space="preserve"> </w:t>
                            </w:r>
                            <w:r>
                              <w:rPr>
                                <w:rFonts w:ascii="Times New Roman" w:eastAsia="Calibri" w:hAnsi="Times New Roman" w:cs="Times New Roman"/>
                                <w:sz w:val="18"/>
                                <w:szCs w:val="18"/>
                                <w:lang w:val="es-ES" w:eastAsia="es-ES"/>
                              </w:rPr>
                              <w:t>(</w:t>
                            </w:r>
                            <w:r w:rsidRPr="008816F9">
                              <w:rPr>
                                <w:rFonts w:ascii="Gill Sans MT" w:hAnsi="Gill Sans MT" w:cs="Times New Roman"/>
                                <w:lang w:val="es-ES"/>
                              </w:rPr>
                              <w:t xml:space="preserve">Corte IDH. </w:t>
                            </w:r>
                            <w:r w:rsidRPr="008816F9">
                              <w:rPr>
                                <w:rFonts w:ascii="Gill Sans MT" w:hAnsi="Gill Sans MT" w:cs="Times New Roman"/>
                                <w:i/>
                                <w:iCs/>
                                <w:lang w:val="es-ES"/>
                              </w:rPr>
                              <w:t>Caso J vs. Perú</w:t>
                            </w:r>
                            <w:r w:rsidRPr="008816F9">
                              <w:rPr>
                                <w:rFonts w:ascii="Gill Sans MT" w:hAnsi="Gill Sans MT" w:cs="Times New Roman"/>
                                <w:lang w:val="es-ES"/>
                              </w:rPr>
                              <w:t>, § 158</w:t>
                            </w:r>
                            <w:r>
                              <w:rPr>
                                <w:rFonts w:ascii="Gill Sans MT" w:hAnsi="Gill Sans MT" w:cs="Times New Roman"/>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F3421B" id="Text Box 1" o:spid="_x0000_s1027" type="#_x0000_t202" style="position:absolute;left:0;text-align:left;margin-left:264.95pt;margin-top:59.15pt;width:203.5pt;height:10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" fillcolor="#82a0d7 [2164]" strokecolor="#4472c4 [3204]" strokeweight=".5pt">
                <v:fill color2="#678ccf [2612]" rotate="t" colors="0 #a8b7df;.5 #9aabd9;1 #879ed7" focus="100%" type="gradient">
                  <o:fill v:ext="view" type="gradientUnscaled"/>
                </v:fill>
                <v:textbox>
                  <w:txbxContent>
                    <w:p w14:paraId="06F45413" w14:textId="77777777" w:rsidR="004E193D" w:rsidRPr="00461456" w:rsidRDefault="004E193D" w:rsidP="00461456">
                      <w:pPr>
                        <w:jc w:val="both"/>
                        <w:rPr>
                          <w:noProof/>
                        </w:rPr>
                      </w:pPr>
                      <w:r>
                        <w:rPr>
                          <w:rFonts w:ascii="Gill Sans MT" w:hAnsi="Gill Sans MT" w:cs="Times New Roman"/>
                        </w:rPr>
                        <w:t>“Cualquier restricción a la libertad que no contenga una motivación suficiente que permita evaluar si se ajusta a las condiciones señaladas será arbitraria y, por tanto, violará el artículo 7.3 de la Convención.”</w:t>
                      </w:r>
                      <w:r w:rsidRPr="008816F9">
                        <w:rPr>
                          <w:rFonts w:ascii="Times New Roman" w:eastAsia="Calibri" w:hAnsi="Times New Roman" w:cs="Times New Roman"/>
                          <w:sz w:val="18"/>
                          <w:szCs w:val="18"/>
                          <w:lang w:val="es-ES" w:eastAsia="es-ES"/>
                        </w:rPr>
                        <w:t xml:space="preserve"> </w:t>
                      </w:r>
                      <w:r>
                        <w:rPr>
                          <w:rFonts w:ascii="Times New Roman" w:eastAsia="Calibri" w:hAnsi="Times New Roman" w:cs="Times New Roman"/>
                          <w:sz w:val="18"/>
                          <w:szCs w:val="18"/>
                          <w:lang w:val="es-ES" w:eastAsia="es-ES"/>
                        </w:rPr>
                        <w:t>(</w:t>
                      </w:r>
                      <w:r w:rsidRPr="008816F9">
                        <w:rPr>
                          <w:rFonts w:ascii="Gill Sans MT" w:hAnsi="Gill Sans MT" w:cs="Times New Roman"/>
                          <w:lang w:val="es-ES"/>
                        </w:rPr>
                        <w:t xml:space="preserve">Corte IDH. </w:t>
                      </w:r>
                      <w:r w:rsidRPr="008816F9">
                        <w:rPr>
                          <w:rFonts w:ascii="Gill Sans MT" w:hAnsi="Gill Sans MT" w:cs="Times New Roman"/>
                          <w:i/>
                          <w:iCs/>
                          <w:lang w:val="es-ES"/>
                        </w:rPr>
                        <w:t>Caso J vs. Perú</w:t>
                      </w:r>
                      <w:r w:rsidRPr="008816F9">
                        <w:rPr>
                          <w:rFonts w:ascii="Gill Sans MT" w:hAnsi="Gill Sans MT" w:cs="Times New Roman"/>
                          <w:lang w:val="es-ES"/>
                        </w:rPr>
                        <w:t>, § 158</w:t>
                      </w:r>
                      <w:r>
                        <w:rPr>
                          <w:rFonts w:ascii="Gill Sans MT" w:hAnsi="Gill Sans MT" w:cs="Times New Roman"/>
                          <w:lang w:val="es-ES"/>
                        </w:rPr>
                        <w:t>)</w:t>
                      </w:r>
                    </w:p>
                  </w:txbxContent>
                </v:textbox>
                <w10:wrap type="square"/>
              </v:shape>
            </w:pict>
          </mc:Fallback>
        </mc:AlternateContent>
      </w:r>
      <w:r>
        <w:rPr>
          <w:noProof/>
          <w:lang w:eastAsia="es-CL"/>
        </w:rPr>
        <mc:AlternateContent>
          <mc:Choice Requires="wps">
            <w:drawing>
              <wp:anchor distT="0" distB="0" distL="114300" distR="114300" simplePos="0" relativeHeight="251662336" behindDoc="0" locked="0" layoutInCell="1" allowOverlap="1" wp14:anchorId="6EC3DA38" wp14:editId="4CF7B5BD">
                <wp:simplePos x="0" y="0"/>
                <wp:positionH relativeFrom="column">
                  <wp:posOffset>0</wp:posOffset>
                </wp:positionH>
                <wp:positionV relativeFrom="paragraph">
                  <wp:posOffset>751205</wp:posOffset>
                </wp:positionV>
                <wp:extent cx="3200400" cy="1701165"/>
                <wp:effectExtent l="0" t="0" r="12700" b="13335"/>
                <wp:wrapSquare wrapText="bothSides"/>
                <wp:docPr id="2" name="Text Box 2"/>
                <wp:cNvGraphicFramePr/>
                <a:graphic xmlns:a="http://schemas.openxmlformats.org/drawingml/2006/main">
                  <a:graphicData uri="http://schemas.microsoft.com/office/word/2010/wordprocessingShape">
                    <wps:wsp>
                      <wps:cNvSpPr txBox="1"/>
                      <wps:spPr>
                        <a:xfrm>
                          <a:off x="0" y="0"/>
                          <a:ext cx="3200400" cy="1701165"/>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64A20DC" w14:textId="77777777" w:rsidR="004E193D" w:rsidRPr="001A4E95" w:rsidRDefault="004E193D" w:rsidP="001A4E95">
                            <w:pPr>
                              <w:jc w:val="both"/>
                              <w:rPr>
                                <w:rFonts w:ascii="Gill Sans MT" w:hAnsi="Gill Sans MT" w:cs="Times New Roman"/>
                              </w:rPr>
                            </w:pPr>
                            <w:r w:rsidRPr="008816F9">
                              <w:rPr>
                                <w:rFonts w:ascii="Gill Sans MT" w:hAnsi="Gill Sans MT" w:cs="Times New Roman"/>
                              </w:rPr>
                              <w:t>“La prisión preventiva es la medida más severa que se le puede aplicar al imputado de un delito, motivo por el cual su aplicación debe tener un carácter excepcional, en virtud de que se encuentra limitada por el derecho a la presunción de inocencia, así como por los principios de necesidad y proporcionalidad, indispensables en una sociedad democrática.” (</w:t>
                            </w:r>
                            <w:r>
                              <w:rPr>
                                <w:rFonts w:ascii="Gill Sans MT" w:hAnsi="Gill Sans MT" w:cs="Times New Roman"/>
                              </w:rPr>
                              <w:t xml:space="preserve">Corte IDH. </w:t>
                            </w:r>
                            <w:r w:rsidRPr="008816F9">
                              <w:rPr>
                                <w:rFonts w:ascii="Gill Sans MT" w:hAnsi="Gill Sans MT" w:cs="Times New Roman"/>
                                <w:i/>
                                <w:iCs/>
                              </w:rPr>
                              <w:t>Caso Instituto de Reeducación del Menor v. Paraguay</w:t>
                            </w:r>
                            <w:r w:rsidRPr="008816F9">
                              <w:rPr>
                                <w:rFonts w:ascii="Gill Sans MT" w:hAnsi="Gill Sans MT"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C3DA38" id="Text Box 2" o:spid="_x0000_s1028" type="#_x0000_t202" style="position:absolute;left:0;text-align:left;margin-left:0;margin-top:59.15pt;width:252pt;height:13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" fillcolor="#f3a875 [2165]" strokecolor="#ed7d31 [3205]" strokeweight=".5pt">
                <v:fill color2="#f09558 [2613]" rotate="t" colors="0 #f7bda4;.5 #f5b195;1 #f8a581" focus="100%" type="gradient">
                  <o:fill v:ext="view" type="gradientUnscaled"/>
                </v:fill>
                <v:textbox>
                  <w:txbxContent>
                    <w:p w14:paraId="664A20DC" w14:textId="77777777" w:rsidR="004E193D" w:rsidRPr="001A4E95" w:rsidRDefault="004E193D" w:rsidP="001A4E95">
                      <w:pPr>
                        <w:jc w:val="both"/>
                        <w:rPr>
                          <w:rFonts w:ascii="Gill Sans MT" w:hAnsi="Gill Sans MT" w:cs="Times New Roman"/>
                        </w:rPr>
                      </w:pPr>
                      <w:r w:rsidRPr="008816F9">
                        <w:rPr>
                          <w:rFonts w:ascii="Gill Sans MT" w:hAnsi="Gill Sans MT" w:cs="Times New Roman"/>
                        </w:rPr>
                        <w:t>“La prisión preventiva es la medida más severa que se le puede aplicar al imputado de un delito, motivo por el cual su aplicación debe tener un carácter excepcional, en virtud de que se encuentra limitada por el derecho a la presunción de inocencia, así como por los principios de necesidad y proporcionalidad, indispensables en una sociedad democrática.” (</w:t>
                      </w:r>
                      <w:r>
                        <w:rPr>
                          <w:rFonts w:ascii="Gill Sans MT" w:hAnsi="Gill Sans MT" w:cs="Times New Roman"/>
                        </w:rPr>
                        <w:t xml:space="preserve">Corte IDH. </w:t>
                      </w:r>
                      <w:r w:rsidRPr="008816F9">
                        <w:rPr>
                          <w:rFonts w:ascii="Gill Sans MT" w:hAnsi="Gill Sans MT" w:cs="Times New Roman"/>
                          <w:i/>
                          <w:iCs/>
                        </w:rPr>
                        <w:t>Caso Instituto de Reeducación del Menor v. Paraguay</w:t>
                      </w:r>
                      <w:r w:rsidRPr="008816F9">
                        <w:rPr>
                          <w:rFonts w:ascii="Gill Sans MT" w:hAnsi="Gill Sans MT" w:cs="Times New Roman"/>
                        </w:rPr>
                        <w:t xml:space="preserve">) </w:t>
                      </w:r>
                    </w:p>
                  </w:txbxContent>
                </v:textbox>
                <w10:wrap type="square"/>
              </v:shape>
            </w:pict>
          </mc:Fallback>
        </mc:AlternateContent>
      </w:r>
      <w:r w:rsidR="008816F9" w:rsidRPr="008816F9">
        <w:rPr>
          <w:rFonts w:ascii="Gill Sans MT" w:hAnsi="Gill Sans MT" w:cs="Times New Roman"/>
        </w:rPr>
        <w:t>El DIDH ha sido claro en sostener que la prisión preventiva es la medida más severa que puede aplicarse al imputado de un delito. Esto explica su carácter excepcional y las exigencias que debe cumplir para satisfacer los principios de legalidad, presunción de inocencia, necesidad y proporcionalidad, indispensables en una sociedad democrática</w:t>
      </w:r>
      <w:r w:rsidR="008816F9" w:rsidRPr="008816F9">
        <w:rPr>
          <w:rFonts w:ascii="Gill Sans MT" w:hAnsi="Gill Sans MT" w:cs="Times New Roman"/>
          <w:vertAlign w:val="superscript"/>
        </w:rPr>
        <w:footnoteReference w:id="1"/>
      </w:r>
      <w:r w:rsidR="008816F9" w:rsidRPr="008816F9">
        <w:rPr>
          <w:rFonts w:ascii="Gill Sans MT" w:hAnsi="Gill Sans MT" w:cs="Times New Roman"/>
        </w:rPr>
        <w:t xml:space="preserve">. </w:t>
      </w:r>
    </w:p>
    <w:p w14:paraId="17D7B04B" w14:textId="21CDB50F" w:rsidR="008816F9" w:rsidRPr="008816F9" w:rsidRDefault="008816F9" w:rsidP="008816F9">
      <w:pPr>
        <w:spacing w:line="240" w:lineRule="auto"/>
        <w:jc w:val="both"/>
        <w:rPr>
          <w:rFonts w:ascii="Gill Sans MT" w:hAnsi="Gill Sans MT" w:cs="Times New Roman"/>
        </w:rPr>
      </w:pPr>
      <w:r>
        <w:rPr>
          <w:rFonts w:ascii="Gill Sans MT" w:hAnsi="Gill Sans MT" w:cs="Times New Roman"/>
        </w:rPr>
        <w:t xml:space="preserve"> </w:t>
      </w:r>
    </w:p>
    <w:p w14:paraId="3EDB61F3" w14:textId="77777777" w:rsidR="008816F9" w:rsidRPr="008816F9" w:rsidRDefault="008816F9" w:rsidP="008816F9">
      <w:pPr>
        <w:pStyle w:val="Prrafodelista"/>
        <w:spacing w:line="240" w:lineRule="auto"/>
        <w:ind w:left="1080"/>
        <w:jc w:val="both"/>
        <w:rPr>
          <w:rFonts w:ascii="Gill Sans MT" w:hAnsi="Gill Sans MT" w:cs="Times New Roman"/>
          <w:b/>
          <w:iCs/>
        </w:rPr>
      </w:pPr>
    </w:p>
    <w:p w14:paraId="4BE31F2D" w14:textId="77777777" w:rsidR="008816F9" w:rsidRDefault="00B22460" w:rsidP="008816F9">
      <w:pPr>
        <w:pStyle w:val="Prrafodelista"/>
        <w:numPr>
          <w:ilvl w:val="0"/>
          <w:numId w:val="1"/>
        </w:numPr>
        <w:spacing w:line="240" w:lineRule="auto"/>
        <w:jc w:val="both"/>
        <w:rPr>
          <w:rFonts w:ascii="Gill Sans MT" w:hAnsi="Gill Sans MT" w:cs="Times New Roman"/>
          <w:b/>
          <w:iCs/>
        </w:rPr>
      </w:pPr>
      <w:r w:rsidRPr="008816F9">
        <w:rPr>
          <w:rFonts w:ascii="Gill Sans MT" w:hAnsi="Gill Sans MT" w:cs="Times New Roman"/>
          <w:b/>
          <w:iCs/>
        </w:rPr>
        <w:t xml:space="preserve">Presupuestos </w:t>
      </w:r>
      <w:r w:rsidR="008816F9" w:rsidRPr="008816F9">
        <w:rPr>
          <w:rFonts w:ascii="Gill Sans MT" w:hAnsi="Gill Sans MT" w:cs="Times New Roman"/>
          <w:b/>
          <w:iCs/>
        </w:rPr>
        <w:t>para su aplicación</w:t>
      </w:r>
      <w:r w:rsidR="008816F9">
        <w:rPr>
          <w:rFonts w:ascii="Gill Sans MT" w:hAnsi="Gill Sans MT" w:cs="Times New Roman"/>
          <w:b/>
          <w:iCs/>
        </w:rPr>
        <w:t>.</w:t>
      </w:r>
    </w:p>
    <w:p w14:paraId="4177140B" w14:textId="76A35169" w:rsidR="008816F9" w:rsidRDefault="008816F9" w:rsidP="008816F9">
      <w:pPr>
        <w:spacing w:line="240" w:lineRule="auto"/>
        <w:jc w:val="both"/>
        <w:rPr>
          <w:rFonts w:ascii="Gill Sans MT" w:hAnsi="Gill Sans MT" w:cs="Times New Roman"/>
          <w:bCs/>
          <w:iCs/>
        </w:rPr>
      </w:pPr>
      <w:r w:rsidRPr="008816F9">
        <w:rPr>
          <w:rFonts w:ascii="Gill Sans MT" w:hAnsi="Gill Sans MT" w:cs="Times New Roman"/>
          <w:bCs/>
          <w:iCs/>
        </w:rPr>
        <w:t>Su procedencia, debe estar orientada a “evitar situaciones que pongan en peligro la consecución de los fines del proceso, esto es, para asegurar que el procesado no impedirá el desarrollo eficiente de las investigaciones ni eludirá la acción de la justicia”</w:t>
      </w:r>
      <w:r w:rsidRPr="008816F9">
        <w:rPr>
          <w:rFonts w:ascii="Gill Sans MT" w:hAnsi="Gill Sans MT" w:cs="Times New Roman"/>
          <w:bCs/>
          <w:iCs/>
          <w:vertAlign w:val="superscript"/>
        </w:rPr>
        <w:footnoteReference w:id="2"/>
      </w:r>
      <w:r w:rsidRPr="008816F9">
        <w:rPr>
          <w:rFonts w:ascii="Gill Sans MT" w:hAnsi="Gill Sans MT" w:cs="Times New Roman"/>
          <w:bCs/>
          <w:iCs/>
        </w:rPr>
        <w:t>. Por lo mismo, el Tribunal Interamericano ha señalado que el carácter cautelar de la prisión preventiva como medida excepcional, nunca puede tener fines punitivos o de pena anticipada.</w:t>
      </w:r>
    </w:p>
    <w:p w14:paraId="0F1B9374" w14:textId="2EF0988D" w:rsidR="004754CB" w:rsidRPr="004754CB" w:rsidRDefault="004754CB" w:rsidP="004754CB">
      <w:pPr>
        <w:spacing w:line="240" w:lineRule="auto"/>
        <w:jc w:val="both"/>
        <w:rPr>
          <w:rFonts w:ascii="Gill Sans MT" w:hAnsi="Gill Sans MT" w:cs="Times New Roman"/>
          <w:bCs/>
          <w:iCs/>
        </w:rPr>
      </w:pPr>
      <w:r>
        <w:rPr>
          <w:rFonts w:ascii="Gill Sans MT" w:hAnsi="Gill Sans MT" w:cs="Times New Roman"/>
          <w:bCs/>
          <w:iCs/>
        </w:rPr>
        <w:t>L</w:t>
      </w:r>
      <w:r w:rsidRPr="004754CB">
        <w:rPr>
          <w:rFonts w:ascii="Gill Sans MT" w:hAnsi="Gill Sans MT" w:cs="Times New Roman"/>
          <w:bCs/>
          <w:iCs/>
        </w:rPr>
        <w:t xml:space="preserve">a necesidad de la medida exige que esta sea indispensable para conseguir el fin deseado, y que no exista una medida menos gravosa que pueda cumplir con el mismo propósito cautelar. Por lo tanto, aun cuando </w:t>
      </w:r>
      <w:r w:rsidRPr="004754CB">
        <w:rPr>
          <w:rFonts w:ascii="Gill Sans MT" w:hAnsi="Gill Sans MT" w:cs="Times New Roman"/>
          <w:bCs/>
          <w:iCs/>
        </w:rPr>
        <w:lastRenderedPageBreak/>
        <w:t>concurran los presupuestos materiales, la privación de libertad no está justificada si hay otra medida que asegure que el acusado no impedirá los fines procesales</w:t>
      </w:r>
      <w:r w:rsidRPr="004754CB">
        <w:rPr>
          <w:rFonts w:ascii="Gill Sans MT" w:hAnsi="Gill Sans MT" w:cs="Times New Roman"/>
          <w:bCs/>
          <w:iCs/>
          <w:vertAlign w:val="superscript"/>
        </w:rPr>
        <w:footnoteReference w:id="3"/>
      </w:r>
      <w:r w:rsidRPr="004754CB">
        <w:rPr>
          <w:rFonts w:ascii="Gill Sans MT" w:hAnsi="Gill Sans MT" w:cs="Times New Roman"/>
          <w:bCs/>
          <w:iCs/>
        </w:rPr>
        <w:t xml:space="preserve">. </w:t>
      </w:r>
    </w:p>
    <w:p w14:paraId="3D64EC55" w14:textId="6D5DEAD6" w:rsidR="008816F9" w:rsidRDefault="004E193D" w:rsidP="008816F9">
      <w:pPr>
        <w:pStyle w:val="Prrafodelista"/>
        <w:numPr>
          <w:ilvl w:val="1"/>
          <w:numId w:val="1"/>
        </w:numPr>
        <w:spacing w:line="240" w:lineRule="auto"/>
        <w:jc w:val="both"/>
        <w:rPr>
          <w:rFonts w:ascii="Gill Sans MT" w:hAnsi="Gill Sans MT" w:cs="Times New Roman"/>
          <w:b/>
          <w:i/>
        </w:rPr>
      </w:pPr>
      <w:r>
        <w:rPr>
          <w:noProof/>
          <w:lang w:eastAsia="es-CL"/>
        </w:rPr>
        <mc:AlternateContent>
          <mc:Choice Requires="wps">
            <w:drawing>
              <wp:anchor distT="0" distB="0" distL="114300" distR="114300" simplePos="0" relativeHeight="251664384" behindDoc="0" locked="0" layoutInCell="1" allowOverlap="1" wp14:anchorId="1CE00566" wp14:editId="739DF337">
                <wp:simplePos x="0" y="0"/>
                <wp:positionH relativeFrom="column">
                  <wp:posOffset>3335020</wp:posOffset>
                </wp:positionH>
                <wp:positionV relativeFrom="paragraph">
                  <wp:posOffset>248920</wp:posOffset>
                </wp:positionV>
                <wp:extent cx="2540635" cy="2292985"/>
                <wp:effectExtent l="0" t="0" r="12065" b="18415"/>
                <wp:wrapSquare wrapText="bothSides"/>
                <wp:docPr id="3" name="Text Box 3"/>
                <wp:cNvGraphicFramePr/>
                <a:graphic xmlns:a="http://schemas.openxmlformats.org/drawingml/2006/main">
                  <a:graphicData uri="http://schemas.microsoft.com/office/word/2010/wordprocessingShape">
                    <wps:wsp>
                      <wps:cNvSpPr txBox="1"/>
                      <wps:spPr>
                        <a:xfrm>
                          <a:off x="0" y="0"/>
                          <a:ext cx="2540635" cy="2292985"/>
                        </a:xfrm>
                        <a:prstGeom prst="rect">
                          <a:avLst/>
                        </a:prstGeom>
                        <a:ln/>
                        <a:effectLst>
                          <a:softEdge rad="31750"/>
                        </a:effectLst>
                      </wps:spPr>
                      <wps:style>
                        <a:lnRef idx="1">
                          <a:schemeClr val="accent6"/>
                        </a:lnRef>
                        <a:fillRef idx="2">
                          <a:schemeClr val="accent6"/>
                        </a:fillRef>
                        <a:effectRef idx="1">
                          <a:schemeClr val="accent6"/>
                        </a:effectRef>
                        <a:fontRef idx="minor">
                          <a:schemeClr val="dk1"/>
                        </a:fontRef>
                      </wps:style>
                      <wps:txbx>
                        <w:txbxContent>
                          <w:p w14:paraId="63FDEF9C" w14:textId="77777777" w:rsidR="004E193D" w:rsidRPr="008816F9" w:rsidRDefault="004E193D" w:rsidP="004E193D">
                            <w:pPr>
                              <w:pStyle w:val="Prrafodelista"/>
                              <w:numPr>
                                <w:ilvl w:val="0"/>
                                <w:numId w:val="3"/>
                              </w:numPr>
                              <w:spacing w:line="240" w:lineRule="auto"/>
                              <w:ind w:left="426"/>
                              <w:jc w:val="both"/>
                              <w:rPr>
                                <w:rFonts w:ascii="Gill Sans MT" w:hAnsi="Gill Sans MT" w:cs="Times New Roman"/>
                              </w:rPr>
                            </w:pPr>
                            <w:r w:rsidRPr="008816F9">
                              <w:rPr>
                                <w:rFonts w:ascii="Gill Sans MT" w:hAnsi="Gill Sans MT" w:cs="Times New Roman"/>
                              </w:rPr>
                              <w:t>Deben existir indicios suficientes que permitan suponer razonablemente la culpabilidad del imputado”. (Caso Ricardo Canese)</w:t>
                            </w:r>
                          </w:p>
                          <w:p w14:paraId="1FDE3167" w14:textId="77777777" w:rsidR="004E193D" w:rsidRPr="008816F9" w:rsidRDefault="004E193D" w:rsidP="004E193D">
                            <w:pPr>
                              <w:pStyle w:val="Prrafodelista"/>
                              <w:numPr>
                                <w:ilvl w:val="0"/>
                                <w:numId w:val="3"/>
                              </w:numPr>
                              <w:spacing w:line="240" w:lineRule="auto"/>
                              <w:ind w:left="426"/>
                              <w:jc w:val="both"/>
                              <w:rPr>
                                <w:rFonts w:ascii="Gill Sans MT" w:hAnsi="Gill Sans MT" w:cs="Times New Roman"/>
                              </w:rPr>
                            </w:pPr>
                            <w:r w:rsidRPr="008816F9">
                              <w:rPr>
                                <w:rFonts w:ascii="Gill Sans MT" w:hAnsi="Gill Sans MT" w:cs="Times New Roman"/>
                              </w:rPr>
                              <w:t>Supone un grado razonable de imputabilidad de la conducta típica al imputado”. (Caso Palamara Iribarne)</w:t>
                            </w:r>
                          </w:p>
                          <w:p w14:paraId="2A1A0E51" w14:textId="77777777" w:rsidR="004E193D" w:rsidRPr="00424522" w:rsidRDefault="004E193D" w:rsidP="004E193D">
                            <w:pPr>
                              <w:pStyle w:val="Prrafodelista"/>
                              <w:numPr>
                                <w:ilvl w:val="0"/>
                                <w:numId w:val="3"/>
                              </w:numPr>
                              <w:ind w:left="426"/>
                              <w:jc w:val="both"/>
                              <w:rPr>
                                <w:rFonts w:ascii="Gill Sans MT" w:hAnsi="Gill Sans MT" w:cs="Times New Roman"/>
                              </w:rPr>
                            </w:pPr>
                            <w:r w:rsidRPr="008816F9">
                              <w:rPr>
                                <w:rFonts w:ascii="Gill Sans MT" w:hAnsi="Gill Sans MT" w:cs="Times New Roman"/>
                              </w:rPr>
                              <w:t>El peligro procesal no se presume, sino que debe realizarse la verificación del mismo en cada caso, fundado en circunstancias objetivas y ciertas del caso concreto”. (Caso J v. Perú)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E00566" id="Text Box 3" o:spid="_x0000_s1029" type="#_x0000_t202" style="position:absolute;left:0;text-align:left;margin-left:262.6pt;margin-top:19.6pt;width:200.05pt;height:18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" fillcolor="#9ecb81 [2169]" strokecolor="#70ad47 [3209]" strokeweight=".5pt">
                <v:fill color2="#8ac066 [2617]" rotate="t" colors="0 #b5d5a7;.5 #aace99;1 #9cca86" focus="100%" type="gradient">
                  <o:fill v:ext="view" type="gradientUnscaled"/>
                </v:fill>
                <v:textbox>
                  <w:txbxContent>
                    <w:p w14:paraId="63FDEF9C" w14:textId="77777777" w:rsidR="004E193D" w:rsidRPr="008816F9" w:rsidRDefault="004E193D" w:rsidP="004E193D">
                      <w:pPr>
                        <w:pStyle w:val="ListParagraph"/>
                        <w:numPr>
                          <w:ilvl w:val="0"/>
                          <w:numId w:val="3"/>
                        </w:numPr>
                        <w:spacing w:line="240" w:lineRule="auto"/>
                        <w:ind w:left="426"/>
                        <w:jc w:val="both"/>
                        <w:rPr>
                          <w:rFonts w:ascii="Gill Sans MT" w:hAnsi="Gill Sans MT" w:cs="Times New Roman"/>
                        </w:rPr>
                      </w:pPr>
                      <w:r w:rsidRPr="008816F9">
                        <w:rPr>
                          <w:rFonts w:ascii="Gill Sans MT" w:hAnsi="Gill Sans MT" w:cs="Times New Roman"/>
                        </w:rPr>
                        <w:t>Deben existir indicios suficientes que permitan suponer razonablemente la culpabilidad del imputado”. (Caso Ricardo Canese)</w:t>
                      </w:r>
                    </w:p>
                    <w:p w14:paraId="1FDE3167" w14:textId="77777777" w:rsidR="004E193D" w:rsidRPr="008816F9" w:rsidRDefault="004E193D" w:rsidP="004E193D">
                      <w:pPr>
                        <w:pStyle w:val="ListParagraph"/>
                        <w:numPr>
                          <w:ilvl w:val="0"/>
                          <w:numId w:val="3"/>
                        </w:numPr>
                        <w:spacing w:line="240" w:lineRule="auto"/>
                        <w:ind w:left="426"/>
                        <w:jc w:val="both"/>
                        <w:rPr>
                          <w:rFonts w:ascii="Gill Sans MT" w:hAnsi="Gill Sans MT" w:cs="Times New Roman"/>
                        </w:rPr>
                      </w:pPr>
                      <w:r w:rsidRPr="008816F9">
                        <w:rPr>
                          <w:rFonts w:ascii="Gill Sans MT" w:hAnsi="Gill Sans MT" w:cs="Times New Roman"/>
                        </w:rPr>
                        <w:t>Supone un grado razonable de imputabilidad de la conducta típica al imputado”. (Caso Palamara Iribarne)</w:t>
                      </w:r>
                    </w:p>
                    <w:p w14:paraId="2A1A0E51" w14:textId="77777777" w:rsidR="004E193D" w:rsidRPr="00424522" w:rsidRDefault="004E193D" w:rsidP="004E193D">
                      <w:pPr>
                        <w:pStyle w:val="ListParagraph"/>
                        <w:numPr>
                          <w:ilvl w:val="0"/>
                          <w:numId w:val="3"/>
                        </w:numPr>
                        <w:ind w:left="426"/>
                        <w:jc w:val="both"/>
                        <w:rPr>
                          <w:rFonts w:ascii="Gill Sans MT" w:hAnsi="Gill Sans MT" w:cs="Times New Roman"/>
                        </w:rPr>
                      </w:pPr>
                      <w:r w:rsidRPr="008816F9">
                        <w:rPr>
                          <w:rFonts w:ascii="Gill Sans MT" w:hAnsi="Gill Sans MT" w:cs="Times New Roman"/>
                        </w:rPr>
                        <w:t>El peligro procesal no se presume, sino que debe realizarse la verificación del mismo en cada caso, fundado en circunstancias objetivas y ciertas del caso concreto”. (Caso J v. Perú)</w:t>
                      </w:r>
                    </w:p>
                  </w:txbxContent>
                </v:textbox>
                <w10:wrap type="square"/>
              </v:shape>
            </w:pict>
          </mc:Fallback>
        </mc:AlternateContent>
      </w:r>
      <w:r w:rsidR="008816F9" w:rsidRPr="008816F9">
        <w:rPr>
          <w:rFonts w:ascii="Gill Sans MT" w:hAnsi="Gill Sans MT" w:cs="Times New Roman"/>
          <w:b/>
          <w:i/>
        </w:rPr>
        <w:t xml:space="preserve">Presupuestos materiales: </w:t>
      </w:r>
    </w:p>
    <w:p w14:paraId="2D0486E6" w14:textId="5AE6F8EA" w:rsidR="008816F9" w:rsidRPr="008816F9" w:rsidRDefault="008816F9" w:rsidP="008816F9">
      <w:pPr>
        <w:pStyle w:val="Sinespaciado"/>
        <w:jc w:val="both"/>
        <w:rPr>
          <w:rFonts w:ascii="Gill Sans MT" w:hAnsi="Gill Sans MT" w:cs="Times New Roman"/>
        </w:rPr>
      </w:pPr>
      <w:r w:rsidRPr="008816F9">
        <w:rPr>
          <w:rFonts w:ascii="Gill Sans MT" w:hAnsi="Gill Sans MT" w:cs="Times New Roman"/>
        </w:rPr>
        <w:t xml:space="preserve">El Tribunal Interamericano ha exigido que existan </w:t>
      </w:r>
      <w:r>
        <w:rPr>
          <w:rFonts w:ascii="Gill Sans MT" w:hAnsi="Gill Sans MT" w:cs="Times New Roman"/>
        </w:rPr>
        <w:t>indicios</w:t>
      </w:r>
      <w:r w:rsidRPr="008816F9">
        <w:rPr>
          <w:rFonts w:ascii="Gill Sans MT" w:hAnsi="Gill Sans MT" w:cs="Times New Roman"/>
        </w:rPr>
        <w:t xml:space="preserve"> suficientes que permitan suponer razonablemente que la persona sometida a proceso haya participado en el ilícito que se investiga</w:t>
      </w:r>
      <w:r w:rsidRPr="008816F9">
        <w:rPr>
          <w:rStyle w:val="Refdenotaalpie"/>
          <w:rFonts w:ascii="Gill Sans MT" w:hAnsi="Gill Sans MT" w:cs="Times New Roman"/>
        </w:rPr>
        <w:footnoteReference w:id="4"/>
      </w:r>
      <w:r w:rsidRPr="008816F9">
        <w:rPr>
          <w:rFonts w:ascii="Gill Sans MT" w:hAnsi="Gill Sans MT" w:cs="Times New Roman"/>
        </w:rPr>
        <w:t xml:space="preserve">. Esto último fue referido expresamente por la Corte IDH en el </w:t>
      </w:r>
      <w:r w:rsidRPr="008816F9">
        <w:rPr>
          <w:rFonts w:ascii="Gill Sans MT" w:hAnsi="Gill Sans MT" w:cs="Times New Roman"/>
          <w:i/>
          <w:iCs/>
        </w:rPr>
        <w:t>Caso Palamara vs. Chile</w:t>
      </w:r>
      <w:r w:rsidRPr="008816F9">
        <w:rPr>
          <w:rStyle w:val="Refdenotaalpie"/>
          <w:rFonts w:ascii="Gill Sans MT" w:hAnsi="Gill Sans MT" w:cs="Times New Roman"/>
        </w:rPr>
        <w:footnoteReference w:id="5"/>
      </w:r>
      <w:r w:rsidRPr="008816F9">
        <w:rPr>
          <w:rFonts w:ascii="Gill Sans MT" w:hAnsi="Gill Sans MT" w:cs="Times New Roman"/>
        </w:rPr>
        <w:t xml:space="preserve">. </w:t>
      </w:r>
      <w:r w:rsidR="004754CB" w:rsidRPr="004754CB">
        <w:rPr>
          <w:rFonts w:ascii="Gill Sans MT" w:hAnsi="Gill Sans MT" w:cs="Times New Roman"/>
        </w:rPr>
        <w:t>Además, para que estos hechos y la vinculación del supuesto autor esté justificada, debe tratarse de una sospecha o indicios que estén fundados y expresados con base en hechos específicos y no en meras conjeturas o intuiciones abstractas. De aquí se deriva la idea de que el Estado no puede detener para luego investigar</w:t>
      </w:r>
      <w:r w:rsidR="004754CB" w:rsidRPr="004754CB">
        <w:rPr>
          <w:rFonts w:ascii="Gill Sans MT" w:hAnsi="Gill Sans MT" w:cs="Times New Roman"/>
          <w:vertAlign w:val="superscript"/>
        </w:rPr>
        <w:footnoteReference w:id="6"/>
      </w:r>
      <w:r w:rsidR="004754CB" w:rsidRPr="004754CB">
        <w:rPr>
          <w:rFonts w:ascii="Gill Sans MT" w:hAnsi="Gill Sans MT" w:cs="Times New Roman"/>
        </w:rPr>
        <w:t xml:space="preserve">. </w:t>
      </w:r>
      <w:r w:rsidR="004754CB">
        <w:rPr>
          <w:rFonts w:ascii="Gill Sans MT" w:hAnsi="Gill Sans MT" w:cs="Times New Roman"/>
        </w:rPr>
        <w:t xml:space="preserve">Sin embargo, </w:t>
      </w:r>
      <w:r w:rsidR="004754CB">
        <w:rPr>
          <w:rFonts w:ascii="Gill Sans MT" w:hAnsi="Gill Sans MT" w:cs="Times New Roman"/>
          <w:bCs/>
          <w:iCs/>
        </w:rPr>
        <w:t>l</w:t>
      </w:r>
      <w:r w:rsidR="004754CB" w:rsidRPr="008816F9">
        <w:rPr>
          <w:rFonts w:ascii="Gill Sans MT" w:hAnsi="Gill Sans MT" w:cs="Times New Roman"/>
          <w:bCs/>
          <w:iCs/>
        </w:rPr>
        <w:t xml:space="preserve">a Corte IDH ha sostenido que </w:t>
      </w:r>
      <w:r w:rsidR="004754CB" w:rsidRPr="008816F9">
        <w:rPr>
          <w:rFonts w:ascii="Gill Sans MT" w:hAnsi="Gill Sans MT" w:cs="Times New Roman"/>
          <w:b/>
          <w:iCs/>
        </w:rPr>
        <w:t>los presupuestos materiales del hecho ilícito y la vinculación del imputado, no son en sí mismos, una finalidad legítima</w:t>
      </w:r>
      <w:r w:rsidR="004754CB" w:rsidRPr="008816F9">
        <w:rPr>
          <w:rFonts w:ascii="Gill Sans MT" w:hAnsi="Gill Sans MT" w:cs="Times New Roman"/>
          <w:bCs/>
          <w:iCs/>
        </w:rPr>
        <w:t xml:space="preserve"> para aplicar la medida cautelar de prisión preventiva. En cambio, debe ser considerado junto con los demás elementos que hacen procedente su uso.</w:t>
      </w:r>
    </w:p>
    <w:p w14:paraId="2B9EEDCF" w14:textId="7F0A83CD" w:rsidR="008816F9" w:rsidRPr="008816F9" w:rsidRDefault="008816F9" w:rsidP="008816F9">
      <w:pPr>
        <w:pStyle w:val="Prrafodelista"/>
        <w:spacing w:line="240" w:lineRule="auto"/>
        <w:ind w:left="1440"/>
        <w:jc w:val="both"/>
        <w:rPr>
          <w:rFonts w:ascii="Gill Sans MT" w:hAnsi="Gill Sans MT" w:cs="Times New Roman"/>
          <w:b/>
          <w:i/>
        </w:rPr>
      </w:pPr>
    </w:p>
    <w:p w14:paraId="714B9371" w14:textId="1CECA725" w:rsidR="00B22460" w:rsidRDefault="00B22460" w:rsidP="008816F9">
      <w:pPr>
        <w:pStyle w:val="Prrafodelista"/>
        <w:numPr>
          <w:ilvl w:val="1"/>
          <w:numId w:val="1"/>
        </w:numPr>
        <w:spacing w:line="240" w:lineRule="auto"/>
        <w:jc w:val="both"/>
        <w:rPr>
          <w:rFonts w:ascii="Gill Sans MT" w:hAnsi="Gill Sans MT" w:cs="Times New Roman"/>
          <w:b/>
          <w:i/>
        </w:rPr>
      </w:pPr>
      <w:r w:rsidRPr="008816F9">
        <w:rPr>
          <w:rFonts w:ascii="Gill Sans MT" w:hAnsi="Gill Sans MT" w:cs="Times New Roman"/>
          <w:b/>
          <w:i/>
        </w:rPr>
        <w:t>Necesidad de cautela</w:t>
      </w:r>
      <w:r w:rsidR="008816F9">
        <w:rPr>
          <w:rFonts w:ascii="Gill Sans MT" w:hAnsi="Gill Sans MT" w:cs="Times New Roman"/>
          <w:b/>
          <w:i/>
        </w:rPr>
        <w:t>:</w:t>
      </w:r>
    </w:p>
    <w:p w14:paraId="16040160" w14:textId="3DD509C3" w:rsidR="008816F9" w:rsidRPr="008816F9" w:rsidRDefault="004E193D" w:rsidP="008816F9">
      <w:pPr>
        <w:spacing w:line="240" w:lineRule="auto"/>
        <w:jc w:val="both"/>
        <w:rPr>
          <w:rFonts w:ascii="Gill Sans MT" w:hAnsi="Gill Sans MT" w:cs="Times New Roman"/>
          <w:bCs/>
          <w:iCs/>
        </w:rPr>
      </w:pPr>
      <w:r>
        <w:rPr>
          <w:noProof/>
          <w:lang w:eastAsia="es-CL"/>
        </w:rPr>
        <mc:AlternateContent>
          <mc:Choice Requires="wps">
            <w:drawing>
              <wp:anchor distT="0" distB="0" distL="114300" distR="114300" simplePos="0" relativeHeight="251666432" behindDoc="0" locked="0" layoutInCell="1" allowOverlap="1" wp14:anchorId="3AF9DEC8" wp14:editId="2C778B5E">
                <wp:simplePos x="0" y="0"/>
                <wp:positionH relativeFrom="column">
                  <wp:posOffset>0</wp:posOffset>
                </wp:positionH>
                <wp:positionV relativeFrom="paragraph">
                  <wp:posOffset>43201</wp:posOffset>
                </wp:positionV>
                <wp:extent cx="2675255" cy="2952750"/>
                <wp:effectExtent l="88900" t="88900" r="42545" b="44450"/>
                <wp:wrapSquare wrapText="bothSides"/>
                <wp:docPr id="4" name="Text Box 4"/>
                <wp:cNvGraphicFramePr/>
                <a:graphic xmlns:a="http://schemas.openxmlformats.org/drawingml/2006/main">
                  <a:graphicData uri="http://schemas.microsoft.com/office/word/2010/wordprocessingShape">
                    <wps:wsp>
                      <wps:cNvSpPr txBox="1"/>
                      <wps:spPr>
                        <a:xfrm>
                          <a:off x="0" y="0"/>
                          <a:ext cx="2675255" cy="2952750"/>
                        </a:xfrm>
                        <a:prstGeom prst="rect">
                          <a:avLst/>
                        </a:prstGeom>
                        <a:ln/>
                        <a:effectLst>
                          <a:outerShdw blurRad="50800" dist="38100" dir="13500000" algn="br" rotWithShape="0">
                            <a:prstClr val="black">
                              <a:alpha val="40000"/>
                            </a:prstClr>
                          </a:outerShdw>
                        </a:effectLst>
                      </wps:spPr>
                      <wps:style>
                        <a:lnRef idx="1">
                          <a:schemeClr val="accent4"/>
                        </a:lnRef>
                        <a:fillRef idx="2">
                          <a:schemeClr val="accent4"/>
                        </a:fillRef>
                        <a:effectRef idx="1">
                          <a:schemeClr val="accent4"/>
                        </a:effectRef>
                        <a:fontRef idx="minor">
                          <a:schemeClr val="dk1"/>
                        </a:fontRef>
                      </wps:style>
                      <wps:txbx>
                        <w:txbxContent>
                          <w:p w14:paraId="263A75E1" w14:textId="77777777" w:rsidR="004E193D" w:rsidRPr="008816F9" w:rsidRDefault="004E193D" w:rsidP="004E193D">
                            <w:pPr>
                              <w:pStyle w:val="Prrafodelista"/>
                              <w:numPr>
                                <w:ilvl w:val="0"/>
                                <w:numId w:val="3"/>
                              </w:numPr>
                              <w:spacing w:line="240" w:lineRule="auto"/>
                              <w:ind w:left="426"/>
                              <w:jc w:val="both"/>
                              <w:rPr>
                                <w:rFonts w:ascii="Gill Sans MT" w:hAnsi="Gill Sans MT" w:cs="Times New Roman"/>
                              </w:rPr>
                            </w:pPr>
                            <w:r w:rsidRPr="008816F9">
                              <w:rPr>
                                <w:rFonts w:ascii="Gill Sans MT" w:hAnsi="Gill Sans MT" w:cs="Times New Roman"/>
                              </w:rPr>
                              <w:t>“estrictamente necesaria para asegurar que el acusado no impida el desarrollo eficiente de la investigación ni eluda la acción de la justicia”. (Caso Palamara Iribarne)</w:t>
                            </w:r>
                          </w:p>
                          <w:p w14:paraId="2BC8F43C" w14:textId="77777777" w:rsidR="004E193D" w:rsidRPr="008816F9" w:rsidRDefault="004E193D" w:rsidP="004E193D">
                            <w:pPr>
                              <w:pStyle w:val="Prrafodelista"/>
                              <w:numPr>
                                <w:ilvl w:val="0"/>
                                <w:numId w:val="3"/>
                              </w:numPr>
                              <w:spacing w:line="240" w:lineRule="auto"/>
                              <w:ind w:left="426"/>
                              <w:jc w:val="both"/>
                              <w:rPr>
                                <w:rFonts w:ascii="Gill Sans MT" w:hAnsi="Gill Sans MT" w:cs="Times New Roman"/>
                              </w:rPr>
                            </w:pPr>
                            <w:r w:rsidRPr="008816F9">
                              <w:rPr>
                                <w:rFonts w:ascii="Gill Sans MT" w:hAnsi="Gill Sans MT" w:cs="Times New Roman"/>
                              </w:rPr>
                              <w:t>“evitar un daño al proceso que pueda ser ocasionado por el procesado”. (Palamara Iribarne)</w:t>
                            </w:r>
                          </w:p>
                          <w:p w14:paraId="574E5DD0" w14:textId="77777777" w:rsidR="004E193D" w:rsidRPr="008816F9" w:rsidRDefault="004E193D" w:rsidP="004E193D">
                            <w:pPr>
                              <w:pStyle w:val="Prrafodelista"/>
                              <w:numPr>
                                <w:ilvl w:val="0"/>
                                <w:numId w:val="3"/>
                              </w:numPr>
                              <w:spacing w:line="240" w:lineRule="auto"/>
                              <w:ind w:left="426"/>
                              <w:jc w:val="both"/>
                              <w:rPr>
                                <w:rFonts w:ascii="Gill Sans MT" w:hAnsi="Gill Sans MT" w:cs="Times New Roman"/>
                              </w:rPr>
                            </w:pPr>
                            <w:r w:rsidRPr="008816F9">
                              <w:rPr>
                                <w:rFonts w:ascii="Gill Sans MT" w:hAnsi="Gill Sans MT" w:cs="Times New Roman"/>
                              </w:rPr>
                              <w:t xml:space="preserve">“único medio que permita asegurar los fines del proceso, tras demostrarse que otras medidas cautelares menos lesivas resultarían infructuosas a esos fines”. </w:t>
                            </w:r>
                          </w:p>
                          <w:p w14:paraId="7471E15B" w14:textId="77777777" w:rsidR="004E193D" w:rsidRPr="005D6AE2" w:rsidRDefault="004E193D" w:rsidP="004E193D">
                            <w:pPr>
                              <w:pStyle w:val="Prrafodelista"/>
                              <w:numPr>
                                <w:ilvl w:val="0"/>
                                <w:numId w:val="3"/>
                              </w:numPr>
                              <w:ind w:left="426"/>
                              <w:jc w:val="both"/>
                              <w:rPr>
                                <w:rFonts w:ascii="Gill Sans MT" w:hAnsi="Gill Sans MT" w:cs="Times New Roman"/>
                              </w:rPr>
                            </w:pPr>
                            <w:r w:rsidRPr="008816F9">
                              <w:rPr>
                                <w:rFonts w:ascii="Gill Sans MT" w:hAnsi="Gill Sans MT" w:cs="Times New Roman"/>
                              </w:rPr>
                              <w:t>“Las características personales del supuesto autor y la gravedad del delito que se le imputa no son, por sí mismos, justificación suficiente de la prisión preventiva”. (Caso J v. Perú)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F9DEC8" id="Text Box 4" o:spid="_x0000_s1030" type="#_x0000_t202" style="position:absolute;left:0;text-align:left;margin-left:0;margin-top:3.4pt;width:210.6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" fillcolor="#ffd555 [2167]" strokecolor="#ffc000 [3207]" strokeweight=".5pt">
                <v:fill color2="#ffcc31 [2615]" rotate="t" colors="0 #ffdd9c;.5 #ffd78e;1 #ffd479" focus="100%" type="gradient">
                  <o:fill v:ext="view" type="gradientUnscaled"/>
                </v:fill>
                <v:shadow on="t" color="black" opacity="26214f" origin=".5,.5" offset="-.74836mm,-.74836mm"/>
                <v:textbox>
                  <w:txbxContent>
                    <w:p w14:paraId="263A75E1" w14:textId="77777777" w:rsidR="004E193D" w:rsidRPr="008816F9" w:rsidRDefault="004E193D" w:rsidP="004E193D">
                      <w:pPr>
                        <w:pStyle w:val="ListParagraph"/>
                        <w:numPr>
                          <w:ilvl w:val="0"/>
                          <w:numId w:val="3"/>
                        </w:numPr>
                        <w:spacing w:line="240" w:lineRule="auto"/>
                        <w:ind w:left="426"/>
                        <w:jc w:val="both"/>
                        <w:rPr>
                          <w:rFonts w:ascii="Gill Sans MT" w:hAnsi="Gill Sans MT" w:cs="Times New Roman"/>
                        </w:rPr>
                      </w:pPr>
                      <w:r w:rsidRPr="008816F9">
                        <w:rPr>
                          <w:rFonts w:ascii="Gill Sans MT" w:hAnsi="Gill Sans MT" w:cs="Times New Roman"/>
                        </w:rPr>
                        <w:t>“estrictamente necesaria para asegurar que el acusado no impida el desarrollo eficiente de la investigación ni eluda la acción de la justicia”. (Caso Palamara Iribarne)</w:t>
                      </w:r>
                    </w:p>
                    <w:p w14:paraId="2BC8F43C" w14:textId="77777777" w:rsidR="004E193D" w:rsidRPr="008816F9" w:rsidRDefault="004E193D" w:rsidP="004E193D">
                      <w:pPr>
                        <w:pStyle w:val="ListParagraph"/>
                        <w:numPr>
                          <w:ilvl w:val="0"/>
                          <w:numId w:val="3"/>
                        </w:numPr>
                        <w:spacing w:line="240" w:lineRule="auto"/>
                        <w:ind w:left="426"/>
                        <w:jc w:val="both"/>
                        <w:rPr>
                          <w:rFonts w:ascii="Gill Sans MT" w:hAnsi="Gill Sans MT" w:cs="Times New Roman"/>
                        </w:rPr>
                      </w:pPr>
                      <w:r w:rsidRPr="008816F9">
                        <w:rPr>
                          <w:rFonts w:ascii="Gill Sans MT" w:hAnsi="Gill Sans MT" w:cs="Times New Roman"/>
                        </w:rPr>
                        <w:t>“evitar un daño al proceso que pueda ser ocasionado por el procesado”. (Palamara Iribarne)</w:t>
                      </w:r>
                    </w:p>
                    <w:p w14:paraId="574E5DD0" w14:textId="77777777" w:rsidR="004E193D" w:rsidRPr="008816F9" w:rsidRDefault="004E193D" w:rsidP="004E193D">
                      <w:pPr>
                        <w:pStyle w:val="ListParagraph"/>
                        <w:numPr>
                          <w:ilvl w:val="0"/>
                          <w:numId w:val="3"/>
                        </w:numPr>
                        <w:spacing w:line="240" w:lineRule="auto"/>
                        <w:ind w:left="426"/>
                        <w:jc w:val="both"/>
                        <w:rPr>
                          <w:rFonts w:ascii="Gill Sans MT" w:hAnsi="Gill Sans MT" w:cs="Times New Roman"/>
                        </w:rPr>
                      </w:pPr>
                      <w:r w:rsidRPr="008816F9">
                        <w:rPr>
                          <w:rFonts w:ascii="Gill Sans MT" w:hAnsi="Gill Sans MT" w:cs="Times New Roman"/>
                        </w:rPr>
                        <w:t xml:space="preserve">“único medio que permita asegurar los fines del proceso, tras demostrarse que otras medidas cautelares menos lesivas resultarían infructuosas a esos fines”. </w:t>
                      </w:r>
                    </w:p>
                    <w:p w14:paraId="7471E15B" w14:textId="77777777" w:rsidR="004E193D" w:rsidRPr="005D6AE2" w:rsidRDefault="004E193D" w:rsidP="004E193D">
                      <w:pPr>
                        <w:pStyle w:val="ListParagraph"/>
                        <w:numPr>
                          <w:ilvl w:val="0"/>
                          <w:numId w:val="3"/>
                        </w:numPr>
                        <w:ind w:left="426"/>
                        <w:jc w:val="both"/>
                        <w:rPr>
                          <w:rFonts w:ascii="Gill Sans MT" w:hAnsi="Gill Sans MT" w:cs="Times New Roman"/>
                        </w:rPr>
                      </w:pPr>
                      <w:r w:rsidRPr="008816F9">
                        <w:rPr>
                          <w:rFonts w:ascii="Gill Sans MT" w:hAnsi="Gill Sans MT" w:cs="Times New Roman"/>
                        </w:rPr>
                        <w:t>“Las características personales del supuesto autor y la gravedad del delito que se le imputa no son, por sí mismos, justificación suficiente de la prisión preventiva”. (Caso J v. Perú)</w:t>
                      </w:r>
                    </w:p>
                  </w:txbxContent>
                </v:textbox>
                <w10:wrap type="square"/>
              </v:shape>
            </w:pict>
          </mc:Fallback>
        </mc:AlternateContent>
      </w:r>
      <w:r w:rsidR="008816F9" w:rsidRPr="008816F9">
        <w:rPr>
          <w:rFonts w:ascii="Gill Sans MT" w:hAnsi="Gill Sans MT" w:cs="Times New Roman"/>
          <w:bCs/>
          <w:iCs/>
        </w:rPr>
        <w:t>Los motivos procesales a que se refiere la Corte IDH están vinculados a asegurar la comparecencia del imputado (evitar la fuga), y que no atente contra la evidencia en el proceso. En este sentido, el TEDH ha entregado algunas pautas que pueden ser útiles para la aplicación de una prisión preventiva. La Corte Europea ha señalado que el peligro de fuga no puede descansar únicamente en la severidad de la pena que arriesga. En cambio, debe evaluarse con otros factores que resulten relevantes y que puedan confirmar la existencia de un peligro de fuga. Para esta evaluación el TEDH ha señalado que deberá analizarse la personalidad de imputado; su comportamiento moral o ético; su situación familiar; la profesión u oficio que detenta; vínculos familiares y arraigo social en el país donde es imputado. En este sentido, el Tribunal Europeo ha sostenido que la mera ausencia de una residencia fija en el país, no da lugar a un riesgo de huida</w:t>
      </w:r>
      <w:r w:rsidR="008816F9" w:rsidRPr="008816F9">
        <w:rPr>
          <w:rFonts w:ascii="Gill Sans MT" w:hAnsi="Gill Sans MT" w:cs="Times New Roman"/>
          <w:bCs/>
          <w:iCs/>
          <w:vertAlign w:val="superscript"/>
        </w:rPr>
        <w:footnoteReference w:id="7"/>
      </w:r>
      <w:r w:rsidR="008816F9" w:rsidRPr="008816F9">
        <w:rPr>
          <w:rFonts w:ascii="Gill Sans MT" w:hAnsi="Gill Sans MT" w:cs="Times New Roman"/>
          <w:bCs/>
          <w:iCs/>
        </w:rPr>
        <w:t>. En relación con la obstrucción del proceso, el TEDH ha sostenido que esto no puede ser analizado en abstracto, sino que con evidencia concreta que la haga posible</w:t>
      </w:r>
      <w:r w:rsidR="008816F9" w:rsidRPr="008816F9">
        <w:rPr>
          <w:rFonts w:ascii="Gill Sans MT" w:hAnsi="Gill Sans MT" w:cs="Times New Roman"/>
          <w:bCs/>
          <w:iCs/>
          <w:vertAlign w:val="superscript"/>
        </w:rPr>
        <w:footnoteReference w:id="8"/>
      </w:r>
      <w:r w:rsidR="008816F9" w:rsidRPr="008816F9">
        <w:rPr>
          <w:rFonts w:ascii="Gill Sans MT" w:hAnsi="Gill Sans MT" w:cs="Times New Roman"/>
          <w:bCs/>
          <w:iCs/>
        </w:rPr>
        <w:t>.</w:t>
      </w:r>
    </w:p>
    <w:p w14:paraId="21492534" w14:textId="5125EAA6" w:rsidR="004754CB" w:rsidRDefault="004754CB" w:rsidP="004754CB">
      <w:pPr>
        <w:pStyle w:val="Prrafodelista"/>
        <w:ind w:left="1440"/>
        <w:jc w:val="both"/>
        <w:rPr>
          <w:rFonts w:ascii="Gill Sans MT" w:hAnsi="Gill Sans MT" w:cs="Times New Roman"/>
          <w:b/>
          <w:bCs/>
          <w:i/>
          <w:iCs/>
        </w:rPr>
      </w:pPr>
    </w:p>
    <w:p w14:paraId="66E4D66B" w14:textId="43E41D69" w:rsidR="004754CB" w:rsidRPr="004754CB" w:rsidRDefault="004754CB" w:rsidP="004754CB">
      <w:pPr>
        <w:pStyle w:val="Prrafodelista"/>
        <w:numPr>
          <w:ilvl w:val="1"/>
          <w:numId w:val="1"/>
        </w:numPr>
        <w:jc w:val="both"/>
        <w:rPr>
          <w:rFonts w:ascii="Gill Sans MT" w:hAnsi="Gill Sans MT" w:cs="Times New Roman"/>
          <w:b/>
          <w:bCs/>
          <w:i/>
          <w:iCs/>
        </w:rPr>
      </w:pPr>
      <w:r w:rsidRPr="004754CB">
        <w:rPr>
          <w:rFonts w:ascii="Gill Sans MT" w:hAnsi="Gill Sans MT" w:cs="Times New Roman"/>
          <w:b/>
          <w:bCs/>
          <w:i/>
          <w:iCs/>
        </w:rPr>
        <w:t>Debe ser fundada.</w:t>
      </w:r>
    </w:p>
    <w:p w14:paraId="28BBF43F" w14:textId="25CA1BAD" w:rsidR="004754CB" w:rsidRPr="004754CB" w:rsidRDefault="004754CB" w:rsidP="004754CB">
      <w:pPr>
        <w:jc w:val="both"/>
        <w:rPr>
          <w:rFonts w:ascii="Gill Sans MT" w:hAnsi="Gill Sans MT" w:cs="Times New Roman"/>
        </w:rPr>
      </w:pPr>
      <w:r w:rsidRPr="004754CB">
        <w:rPr>
          <w:rFonts w:ascii="Gill Sans MT" w:hAnsi="Gill Sans MT" w:cs="Times New Roman"/>
        </w:rPr>
        <w:t>El deber de motivación de la medida que priva de la libertad a una persona, demanda -a juicio de la Corte IDH- que el Estado fundamente y acredite, de manera clara y motivada, según cada caso concreto, la existencia de los requisitos exigidos por la Convención Americana. No hacerlo supondría anticipar pena, lo cual es contrario a los principios generales del derecho, ampliamente reconocidos</w:t>
      </w:r>
      <w:r w:rsidRPr="004754CB">
        <w:rPr>
          <w:vertAlign w:val="superscript"/>
        </w:rPr>
        <w:footnoteReference w:id="9"/>
      </w:r>
      <w:r w:rsidRPr="004754CB">
        <w:rPr>
          <w:rFonts w:ascii="Gill Sans MT" w:hAnsi="Gill Sans MT" w:cs="Times New Roman"/>
        </w:rPr>
        <w:t xml:space="preserve">. </w:t>
      </w:r>
    </w:p>
    <w:p w14:paraId="1EF2D963" w14:textId="77777777" w:rsidR="00B22460" w:rsidRPr="008816F9" w:rsidRDefault="00B22460" w:rsidP="008816F9">
      <w:pPr>
        <w:pStyle w:val="Prrafodelista"/>
        <w:spacing w:line="240" w:lineRule="auto"/>
        <w:jc w:val="both"/>
        <w:rPr>
          <w:rFonts w:ascii="Gill Sans MT" w:hAnsi="Gill Sans MT" w:cs="Times New Roman"/>
        </w:rPr>
      </w:pPr>
    </w:p>
    <w:p w14:paraId="658A7C8F" w14:textId="73AD6DAB" w:rsidR="00B22460" w:rsidRPr="008816F9" w:rsidRDefault="00B22460" w:rsidP="008816F9">
      <w:pPr>
        <w:pStyle w:val="Prrafodelista"/>
        <w:numPr>
          <w:ilvl w:val="0"/>
          <w:numId w:val="1"/>
        </w:numPr>
        <w:spacing w:line="240" w:lineRule="auto"/>
        <w:jc w:val="both"/>
        <w:rPr>
          <w:rFonts w:ascii="Gill Sans MT" w:hAnsi="Gill Sans MT" w:cs="Times New Roman"/>
          <w:b/>
          <w:iCs/>
        </w:rPr>
      </w:pPr>
      <w:r w:rsidRPr="008816F9">
        <w:rPr>
          <w:rFonts w:ascii="Gill Sans MT" w:hAnsi="Gill Sans MT" w:cs="Times New Roman"/>
          <w:b/>
          <w:iCs/>
        </w:rPr>
        <w:t>Fundamentos prohibidos por el DIDH para la aplicación de la prisión preventiva</w:t>
      </w:r>
    </w:p>
    <w:p w14:paraId="6F6A6E2F" w14:textId="0A49AB99" w:rsidR="004754CB" w:rsidRPr="008816F9" w:rsidRDefault="00614F63" w:rsidP="004754CB">
      <w:pPr>
        <w:spacing w:line="240" w:lineRule="auto"/>
        <w:jc w:val="both"/>
        <w:rPr>
          <w:rFonts w:ascii="Gill Sans MT" w:hAnsi="Gill Sans MT" w:cs="Times New Roman"/>
          <w:b/>
          <w:i/>
        </w:rPr>
      </w:pPr>
      <w:r>
        <w:rPr>
          <w:rFonts w:ascii="Gill Sans MT" w:hAnsi="Gill Sans MT" w:cs="Times New Roman"/>
          <w:noProof/>
          <w:lang w:eastAsia="es-CL"/>
        </w:rPr>
        <mc:AlternateContent>
          <mc:Choice Requires="wps">
            <w:drawing>
              <wp:anchor distT="0" distB="0" distL="114300" distR="114300" simplePos="0" relativeHeight="251669504" behindDoc="0" locked="0" layoutInCell="1" allowOverlap="1" wp14:anchorId="4D026F2A" wp14:editId="184059B9">
                <wp:simplePos x="0" y="0"/>
                <wp:positionH relativeFrom="column">
                  <wp:posOffset>3245328</wp:posOffset>
                </wp:positionH>
                <wp:positionV relativeFrom="paragraph">
                  <wp:posOffset>1939290</wp:posOffset>
                </wp:positionV>
                <wp:extent cx="2622550" cy="2915285"/>
                <wp:effectExtent l="0" t="0" r="19050" b="18415"/>
                <wp:wrapSquare wrapText="bothSides"/>
                <wp:docPr id="6" name="Snip Diagonal Corner Rectangle 6"/>
                <wp:cNvGraphicFramePr/>
                <a:graphic xmlns:a="http://schemas.openxmlformats.org/drawingml/2006/main">
                  <a:graphicData uri="http://schemas.microsoft.com/office/word/2010/wordprocessingShape">
                    <wps:wsp>
                      <wps:cNvSpPr/>
                      <wps:spPr>
                        <a:xfrm>
                          <a:off x="0" y="0"/>
                          <a:ext cx="2622550" cy="2915285"/>
                        </a:xfrm>
                        <a:prstGeom prst="snip2DiagRect">
                          <a:avLst/>
                        </a:prstGeom>
                        <a:ln>
                          <a:solidFill>
                            <a:srgbClr val="92D050"/>
                          </a:solidFill>
                        </a:ln>
                      </wps:spPr>
                      <wps:style>
                        <a:lnRef idx="1">
                          <a:schemeClr val="accent2"/>
                        </a:lnRef>
                        <a:fillRef idx="2">
                          <a:schemeClr val="accent2"/>
                        </a:fillRef>
                        <a:effectRef idx="1">
                          <a:schemeClr val="accent2"/>
                        </a:effectRef>
                        <a:fontRef idx="minor">
                          <a:schemeClr val="dk1"/>
                        </a:fontRef>
                      </wps:style>
                      <wps:txbx>
                        <w:txbxContent>
                          <w:p w14:paraId="0EA75FFE" w14:textId="19F65CD2" w:rsidR="00614F63" w:rsidRPr="00614F63" w:rsidRDefault="00614F63" w:rsidP="00614F63">
                            <w:pPr>
                              <w:spacing w:line="240" w:lineRule="auto"/>
                              <w:jc w:val="both"/>
                              <w:rPr>
                                <w:rFonts w:ascii="Agency FB" w:hAnsi="Agency FB" w:cs="Times New Roman"/>
                                <w:sz w:val="24"/>
                                <w:szCs w:val="24"/>
                              </w:rPr>
                            </w:pPr>
                            <w:r w:rsidRPr="00614F63">
                              <w:rPr>
                                <w:rFonts w:ascii="Agency FB" w:hAnsi="Agency FB" w:cs="Times New Roman"/>
                                <w:sz w:val="24"/>
                                <w:szCs w:val="24"/>
                              </w:rPr>
                              <w:t xml:space="preserve">“De este modo, para que se respete la presunción de inocencia al ordenarse medidas restrictivas de la libertad es preciso que el Estado fundamente y acredite, de manera clara y motivada, según cada caso concreto, la existencia de los referidos requisitos exigidos por la Convención. Proceder de otro modo equivaldría a anticipar la pena, lo cual contraviene principios generales del derecho, ampliamente reconocidos, entre ellos, el principio de presunción de inocencia”. (Corte IDH. </w:t>
                            </w:r>
                            <w:r w:rsidRPr="00614F63">
                              <w:rPr>
                                <w:rFonts w:ascii="Agency FB" w:hAnsi="Agency FB" w:cs="Times New Roman"/>
                                <w:i/>
                                <w:iCs/>
                                <w:sz w:val="24"/>
                                <w:szCs w:val="24"/>
                              </w:rPr>
                              <w:t>Caso J v. Perú</w:t>
                            </w:r>
                            <w:r w:rsidRPr="00614F63">
                              <w:rPr>
                                <w:rFonts w:ascii="Agency FB" w:hAnsi="Agency FB" w:cs="Times New Roman"/>
                                <w:sz w:val="24"/>
                                <w:szCs w:val="24"/>
                              </w:rPr>
                              <w:t>)</w:t>
                            </w:r>
                          </w:p>
                          <w:p w14:paraId="0F35EE28" w14:textId="77777777" w:rsidR="00614F63" w:rsidRPr="00614F63" w:rsidRDefault="00614F63" w:rsidP="00614F63">
                            <w:pPr>
                              <w:jc w:val="center"/>
                              <w:rPr>
                                <w:rFonts w:ascii="Agency FB" w:hAnsi="Agency F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026F2A" id="Snip Diagonal Corner Rectangle 6" o:spid="_x0000_s1031" style="position:absolute;left:0;text-align:left;margin-left:255.55pt;margin-top:152.7pt;width:206.5pt;height:22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22550,29152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" adj="-11796480,,5400" path="m,l2185450,r437100,437100l2622550,2915285r,l437100,2915285,,2478185,,xe" fillcolor="#f3a875 [2165]" strokecolor="#92d050" strokeweight=".5pt">
                <v:fill color2="#f09558 [2613]" rotate="t" colors="0 #f7bda4;.5 #f5b195;1 #f8a581" focus="100%" type="gradient">
                  <o:fill v:ext="view" type="gradientUnscaled"/>
                </v:fill>
                <v:stroke joinstyle="miter"/>
                <v:formulas/>
                <v:path arrowok="t" o:connecttype="custom" o:connectlocs="0,0;2185450,0;2622550,437100;2622550,2915285;2622550,2915285;437100,2915285;0,2478185;0,0" o:connectangles="0,0,0,0,0,0,0,0" textboxrect="0,0,2622550,2915285"/>
                <v:textbox>
                  <w:txbxContent>
                    <w:p w14:paraId="0EA75FFE" w14:textId="19F65CD2" w:rsidR="00614F63" w:rsidRPr="00614F63" w:rsidRDefault="00614F63" w:rsidP="00614F63">
                      <w:pPr>
                        <w:spacing w:line="240" w:lineRule="auto"/>
                        <w:jc w:val="both"/>
                        <w:rPr>
                          <w:rFonts w:ascii="Agency FB" w:hAnsi="Agency FB" w:cs="Times New Roman"/>
                          <w:sz w:val="24"/>
                          <w:szCs w:val="24"/>
                        </w:rPr>
                      </w:pPr>
                      <w:r w:rsidRPr="00614F63">
                        <w:rPr>
                          <w:rFonts w:ascii="Agency FB" w:hAnsi="Agency FB" w:cs="Times New Roman"/>
                          <w:sz w:val="24"/>
                          <w:szCs w:val="24"/>
                        </w:rPr>
                        <w:t>“</w:t>
                      </w:r>
                      <w:r w:rsidRPr="00614F63">
                        <w:rPr>
                          <w:rFonts w:ascii="Agency FB" w:hAnsi="Agency FB" w:cs="Times New Roman"/>
                          <w:sz w:val="24"/>
                          <w:szCs w:val="24"/>
                        </w:rPr>
                        <w:t xml:space="preserve">De este modo, para que se respete la presunción de inocencia al ordenarse medidas restrictivas de la libertad es preciso que el Estado fundamente y acredite, de manera clara y motivada, según cada caso concreto, la existencia de los referidos requisitos exigidos por la Convención. Proceder de otro modo equivaldría a anticipar la pena, lo cual contraviene principios generales del derecho, ampliamente reconocidos, entre ellos, el principio de presunción de inocencia”. (Corte IDH. </w:t>
                      </w:r>
                      <w:r w:rsidRPr="00614F63">
                        <w:rPr>
                          <w:rFonts w:ascii="Agency FB" w:hAnsi="Agency FB" w:cs="Times New Roman"/>
                          <w:i/>
                          <w:iCs/>
                          <w:sz w:val="24"/>
                          <w:szCs w:val="24"/>
                        </w:rPr>
                        <w:t>Caso J v. Perú</w:t>
                      </w:r>
                      <w:r w:rsidRPr="00614F63">
                        <w:rPr>
                          <w:rFonts w:ascii="Agency FB" w:hAnsi="Agency FB" w:cs="Times New Roman"/>
                          <w:sz w:val="24"/>
                          <w:szCs w:val="24"/>
                        </w:rPr>
                        <w:t>)</w:t>
                      </w:r>
                    </w:p>
                    <w:p w14:paraId="0F35EE28" w14:textId="77777777" w:rsidR="00614F63" w:rsidRPr="00614F63" w:rsidRDefault="00614F63" w:rsidP="00614F63">
                      <w:pPr>
                        <w:jc w:val="center"/>
                        <w:rPr>
                          <w:rFonts w:ascii="Agency FB" w:hAnsi="Agency FB"/>
                          <w:sz w:val="24"/>
                          <w:szCs w:val="24"/>
                        </w:rPr>
                      </w:pPr>
                    </w:p>
                  </w:txbxContent>
                </v:textbox>
                <w10:wrap type="square"/>
              </v:shape>
            </w:pict>
          </mc:Fallback>
        </mc:AlternateContent>
      </w:r>
      <w:r>
        <w:rPr>
          <w:noProof/>
          <w:lang w:eastAsia="es-CL"/>
        </w:rPr>
        <mc:AlternateContent>
          <mc:Choice Requires="wps">
            <w:drawing>
              <wp:anchor distT="0" distB="0" distL="114300" distR="114300" simplePos="0" relativeHeight="251668480" behindDoc="0" locked="0" layoutInCell="1" allowOverlap="1" wp14:anchorId="0E9E1F61" wp14:editId="139DA7E4">
                <wp:simplePos x="0" y="0"/>
                <wp:positionH relativeFrom="column">
                  <wp:posOffset>1895892</wp:posOffset>
                </wp:positionH>
                <wp:positionV relativeFrom="paragraph">
                  <wp:posOffset>59055</wp:posOffset>
                </wp:positionV>
                <wp:extent cx="3926840" cy="584200"/>
                <wp:effectExtent l="0" t="0" r="10160" b="12700"/>
                <wp:wrapSquare wrapText="bothSides"/>
                <wp:docPr id="5" name="Text Box 5"/>
                <wp:cNvGraphicFramePr/>
                <a:graphic xmlns:a="http://schemas.openxmlformats.org/drawingml/2006/main">
                  <a:graphicData uri="http://schemas.microsoft.com/office/word/2010/wordprocessingShape">
                    <wps:wsp>
                      <wps:cNvSpPr txBox="1"/>
                      <wps:spPr>
                        <a:xfrm>
                          <a:off x="0" y="0"/>
                          <a:ext cx="3926840" cy="584200"/>
                        </a:xfrm>
                        <a:prstGeom prst="rect">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0E277127" w14:textId="77777777" w:rsidR="00614F63" w:rsidRPr="008816F9" w:rsidRDefault="00614F63" w:rsidP="00614F63">
                            <w:pPr>
                              <w:pStyle w:val="Prrafodelista"/>
                              <w:numPr>
                                <w:ilvl w:val="0"/>
                                <w:numId w:val="3"/>
                              </w:numPr>
                              <w:spacing w:line="240" w:lineRule="auto"/>
                              <w:ind w:left="426"/>
                              <w:jc w:val="both"/>
                              <w:rPr>
                                <w:rFonts w:ascii="Gill Sans MT" w:hAnsi="Gill Sans MT" w:cs="Times New Roman"/>
                              </w:rPr>
                            </w:pPr>
                            <w:r w:rsidRPr="008816F9">
                              <w:rPr>
                                <w:rFonts w:ascii="Gill Sans MT" w:hAnsi="Gill Sans MT" w:cs="Times New Roman"/>
                              </w:rPr>
                              <w:t>Características personales</w:t>
                            </w:r>
                          </w:p>
                          <w:p w14:paraId="1A2C9221" w14:textId="77777777" w:rsidR="00614F63" w:rsidRPr="008816F9" w:rsidRDefault="00614F63" w:rsidP="00614F63">
                            <w:pPr>
                              <w:pStyle w:val="Prrafodelista"/>
                              <w:numPr>
                                <w:ilvl w:val="0"/>
                                <w:numId w:val="3"/>
                              </w:numPr>
                              <w:spacing w:line="240" w:lineRule="auto"/>
                              <w:ind w:left="426"/>
                              <w:jc w:val="both"/>
                              <w:rPr>
                                <w:rFonts w:ascii="Gill Sans MT" w:hAnsi="Gill Sans MT" w:cs="Times New Roman"/>
                              </w:rPr>
                            </w:pPr>
                            <w:r w:rsidRPr="008816F9">
                              <w:rPr>
                                <w:rFonts w:ascii="Gill Sans MT" w:hAnsi="Gill Sans MT" w:cs="Times New Roman"/>
                              </w:rPr>
                              <w:t>Fines preventivo generales o especiales (anticipación de pena)</w:t>
                            </w:r>
                          </w:p>
                          <w:p w14:paraId="3AEEAEDD" w14:textId="77777777" w:rsidR="00614F63" w:rsidRPr="00D76C8C" w:rsidRDefault="00614F63" w:rsidP="00614F63">
                            <w:pPr>
                              <w:pStyle w:val="Prrafodelista"/>
                              <w:numPr>
                                <w:ilvl w:val="0"/>
                                <w:numId w:val="3"/>
                              </w:numPr>
                              <w:ind w:left="426"/>
                              <w:jc w:val="both"/>
                              <w:rPr>
                                <w:rFonts w:ascii="Gill Sans MT" w:hAnsi="Gill Sans MT" w:cs="Times New Roman"/>
                              </w:rPr>
                            </w:pPr>
                            <w:r w:rsidRPr="008816F9">
                              <w:rPr>
                                <w:rFonts w:ascii="Gill Sans MT" w:hAnsi="Gill Sans MT" w:cs="Times New Roman"/>
                              </w:rPr>
                              <w:t>Gravedad del delito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9E1F61" id="Text Box 5" o:spid="_x0000_s1032" type="#_x0000_t202" style="position:absolute;left:0;text-align:left;margin-left:149.3pt;margin-top:4.65pt;width:309.2pt;height: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" fillcolor="white [3201]" strokecolor="#ed7d31 [3205]" strokeweight="1pt">
                <v:textbox>
                  <w:txbxContent>
                    <w:p w14:paraId="0E277127" w14:textId="77777777" w:rsidR="00614F63" w:rsidRPr="008816F9" w:rsidRDefault="00614F63" w:rsidP="00614F63">
                      <w:pPr>
                        <w:pStyle w:val="ListParagraph"/>
                        <w:numPr>
                          <w:ilvl w:val="0"/>
                          <w:numId w:val="3"/>
                        </w:numPr>
                        <w:spacing w:line="240" w:lineRule="auto"/>
                        <w:ind w:left="426"/>
                        <w:jc w:val="both"/>
                        <w:rPr>
                          <w:rFonts w:ascii="Gill Sans MT" w:hAnsi="Gill Sans MT" w:cs="Times New Roman"/>
                        </w:rPr>
                      </w:pPr>
                      <w:r w:rsidRPr="008816F9">
                        <w:rPr>
                          <w:rFonts w:ascii="Gill Sans MT" w:hAnsi="Gill Sans MT" w:cs="Times New Roman"/>
                        </w:rPr>
                        <w:t>Características personales</w:t>
                      </w:r>
                    </w:p>
                    <w:p w14:paraId="1A2C9221" w14:textId="77777777" w:rsidR="00614F63" w:rsidRPr="008816F9" w:rsidRDefault="00614F63" w:rsidP="00614F63">
                      <w:pPr>
                        <w:pStyle w:val="ListParagraph"/>
                        <w:numPr>
                          <w:ilvl w:val="0"/>
                          <w:numId w:val="3"/>
                        </w:numPr>
                        <w:spacing w:line="240" w:lineRule="auto"/>
                        <w:ind w:left="426"/>
                        <w:jc w:val="both"/>
                        <w:rPr>
                          <w:rFonts w:ascii="Gill Sans MT" w:hAnsi="Gill Sans MT" w:cs="Times New Roman"/>
                        </w:rPr>
                      </w:pPr>
                      <w:r w:rsidRPr="008816F9">
                        <w:rPr>
                          <w:rFonts w:ascii="Gill Sans MT" w:hAnsi="Gill Sans MT" w:cs="Times New Roman"/>
                        </w:rPr>
                        <w:t>Fines preventivo generales o especiales (anticipación de pena)</w:t>
                      </w:r>
                    </w:p>
                    <w:p w14:paraId="3AEEAEDD" w14:textId="77777777" w:rsidR="00614F63" w:rsidRPr="00D76C8C" w:rsidRDefault="00614F63" w:rsidP="00614F63">
                      <w:pPr>
                        <w:pStyle w:val="ListParagraph"/>
                        <w:numPr>
                          <w:ilvl w:val="0"/>
                          <w:numId w:val="3"/>
                        </w:numPr>
                        <w:ind w:left="426"/>
                        <w:jc w:val="both"/>
                        <w:rPr>
                          <w:rFonts w:ascii="Gill Sans MT" w:hAnsi="Gill Sans MT" w:cs="Times New Roman"/>
                        </w:rPr>
                      </w:pPr>
                      <w:r w:rsidRPr="008816F9">
                        <w:rPr>
                          <w:rFonts w:ascii="Gill Sans MT" w:hAnsi="Gill Sans MT" w:cs="Times New Roman"/>
                        </w:rPr>
                        <w:t>Gravedad del delito</w:t>
                      </w:r>
                    </w:p>
                  </w:txbxContent>
                </v:textbox>
                <w10:wrap type="square"/>
              </v:shape>
            </w:pict>
          </mc:Fallback>
        </mc:AlternateContent>
      </w:r>
      <w:r w:rsidR="004754CB" w:rsidRPr="004754CB">
        <w:rPr>
          <w:rFonts w:ascii="Gill Sans MT" w:hAnsi="Gill Sans MT" w:cs="Times New Roman"/>
          <w:bCs/>
          <w:iCs/>
        </w:rPr>
        <w:t xml:space="preserve">A partir del estándar interamericano, queda claro que los fines puramente preventivos, no cautelares, como los referidos a impedir la repetición de delitos o alteraciones al orden público en el futuro, no son, en sí mismos, aceptables para imponer esta medida cautelar. </w:t>
      </w:r>
      <w:r w:rsidR="004754CB">
        <w:rPr>
          <w:rFonts w:ascii="Gill Sans MT" w:hAnsi="Gill Sans MT" w:cs="Times New Roman"/>
          <w:bCs/>
          <w:iCs/>
          <w:lang w:val="es-ES"/>
        </w:rPr>
        <w:t>L</w:t>
      </w:r>
      <w:r w:rsidR="004754CB" w:rsidRPr="004754CB">
        <w:rPr>
          <w:rFonts w:ascii="Gill Sans MT" w:hAnsi="Gill Sans MT" w:cs="Times New Roman"/>
          <w:bCs/>
          <w:iCs/>
          <w:lang w:val="es-ES"/>
        </w:rPr>
        <w:t xml:space="preserve">a Corte IDH ha rechazado la aplicación de la prisión preventiva fundada en </w:t>
      </w:r>
      <w:r w:rsidR="004754CB" w:rsidRPr="004754CB">
        <w:rPr>
          <w:rFonts w:ascii="Gill Sans MT" w:hAnsi="Gill Sans MT" w:cs="Times New Roman"/>
          <w:bCs/>
          <w:iCs/>
        </w:rPr>
        <w:t>motivos relativos a la preservación de la seguridad de la sociedad</w:t>
      </w:r>
      <w:r w:rsidR="004754CB" w:rsidRPr="004754CB">
        <w:rPr>
          <w:rFonts w:ascii="Gill Sans MT" w:hAnsi="Gill Sans MT" w:cs="Times New Roman"/>
          <w:bCs/>
          <w:iCs/>
          <w:vertAlign w:val="superscript"/>
        </w:rPr>
        <w:footnoteReference w:id="10"/>
      </w:r>
      <w:r w:rsidR="004754CB" w:rsidRPr="004754CB">
        <w:rPr>
          <w:rFonts w:ascii="Gill Sans MT" w:hAnsi="Gill Sans MT" w:cs="Times New Roman"/>
          <w:bCs/>
          <w:iCs/>
          <w:lang w:val="es-ES"/>
        </w:rPr>
        <w:t xml:space="preserve">, lo cual se ha </w:t>
      </w:r>
      <w:r w:rsidR="004754CB" w:rsidRPr="004754CB">
        <w:rPr>
          <w:rFonts w:ascii="Gill Sans MT" w:hAnsi="Gill Sans MT" w:cs="Times New Roman"/>
          <w:bCs/>
          <w:iCs/>
        </w:rPr>
        <w:t xml:space="preserve">consolidado </w:t>
      </w:r>
      <w:r w:rsidR="004754CB" w:rsidRPr="004754CB">
        <w:rPr>
          <w:rFonts w:ascii="Gill Sans MT" w:hAnsi="Gill Sans MT" w:cs="Times New Roman"/>
          <w:bCs/>
          <w:iCs/>
          <w:lang w:val="es-ES"/>
        </w:rPr>
        <w:t>mediante la insistencia de que l</w:t>
      </w:r>
      <w:r w:rsidR="004754CB" w:rsidRPr="004754CB">
        <w:rPr>
          <w:rFonts w:ascii="Gill Sans MT" w:hAnsi="Gill Sans MT" w:cs="Times New Roman"/>
          <w:b/>
          <w:iCs/>
          <w:lang w:val="es-ES"/>
        </w:rPr>
        <w:t>a finalidad de la prisión preventiva debe ser procesal y nunca de prevención general o especial</w:t>
      </w:r>
      <w:r w:rsidR="004754CB" w:rsidRPr="004754CB">
        <w:rPr>
          <w:rFonts w:ascii="Gill Sans MT" w:hAnsi="Gill Sans MT" w:cs="Times New Roman"/>
          <w:bCs/>
          <w:iCs/>
          <w:vertAlign w:val="superscript"/>
          <w:lang w:val="es-ES"/>
        </w:rPr>
        <w:footnoteReference w:id="11"/>
      </w:r>
      <w:r w:rsidR="004754CB" w:rsidRPr="004754CB">
        <w:rPr>
          <w:rFonts w:ascii="Gill Sans MT" w:hAnsi="Gill Sans MT" w:cs="Times New Roman"/>
          <w:bCs/>
          <w:iCs/>
          <w:lang w:val="es-ES"/>
        </w:rPr>
        <w:t xml:space="preserve">. </w:t>
      </w:r>
      <w:r w:rsidR="004754CB" w:rsidRPr="004754CB">
        <w:rPr>
          <w:rFonts w:ascii="Gill Sans MT" w:hAnsi="Gill Sans MT" w:cs="Times New Roman"/>
          <w:bCs/>
          <w:iCs/>
        </w:rPr>
        <w:t>Tampoco cumplirían el estándar de convencionalidad los motivos que descansan en las características personales del imputado, cuestión muy empleada a nivel local.</w:t>
      </w:r>
    </w:p>
    <w:p w14:paraId="799B10C0" w14:textId="094082EB" w:rsidR="00614F63" w:rsidRDefault="00614F63" w:rsidP="00614F63">
      <w:pPr>
        <w:spacing w:line="240" w:lineRule="auto"/>
        <w:jc w:val="both"/>
        <w:rPr>
          <w:rFonts w:ascii="Gill Sans MT" w:hAnsi="Gill Sans MT" w:cs="Times New Roman"/>
          <w:b/>
          <w:iCs/>
        </w:rPr>
      </w:pPr>
      <w:r>
        <w:rPr>
          <w:rFonts w:ascii="Gill Sans MT" w:hAnsi="Gill Sans MT" w:cs="Times New Roman"/>
          <w:noProof/>
          <w:lang w:eastAsia="es-CL"/>
        </w:rPr>
        <mc:AlternateContent>
          <mc:Choice Requires="wps">
            <w:drawing>
              <wp:anchor distT="0" distB="0" distL="114300" distR="114300" simplePos="0" relativeHeight="251670528" behindDoc="0" locked="0" layoutInCell="1" allowOverlap="1" wp14:anchorId="78967FD0" wp14:editId="6D2846D9">
                <wp:simplePos x="0" y="0"/>
                <wp:positionH relativeFrom="column">
                  <wp:posOffset>172085</wp:posOffset>
                </wp:positionH>
                <wp:positionV relativeFrom="paragraph">
                  <wp:posOffset>56515</wp:posOffset>
                </wp:positionV>
                <wp:extent cx="2682875" cy="2870200"/>
                <wp:effectExtent l="0" t="0" r="9525" b="12700"/>
                <wp:wrapSquare wrapText="bothSides"/>
                <wp:docPr id="7" name="Round Diagonal Corner Rectangle 7"/>
                <wp:cNvGraphicFramePr/>
                <a:graphic xmlns:a="http://schemas.openxmlformats.org/drawingml/2006/main">
                  <a:graphicData uri="http://schemas.microsoft.com/office/word/2010/wordprocessingShape">
                    <wps:wsp>
                      <wps:cNvSpPr/>
                      <wps:spPr>
                        <a:xfrm>
                          <a:off x="0" y="0"/>
                          <a:ext cx="2682875" cy="2870200"/>
                        </a:xfrm>
                        <a:prstGeom prst="round2DiagRect">
                          <a:avLst>
                            <a:gd name="adj1" fmla="val 16667"/>
                            <a:gd name="adj2" fmla="val 0"/>
                          </a:avLst>
                        </a:prstGeom>
                        <a:solidFill>
                          <a:schemeClr val="accent6">
                            <a:lumMod val="60000"/>
                            <a:lumOff val="4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E6EE9C" w14:textId="77777777" w:rsidR="00614F63" w:rsidRPr="00614F63" w:rsidRDefault="00614F63" w:rsidP="00614F63">
                            <w:pPr>
                              <w:spacing w:line="240" w:lineRule="auto"/>
                              <w:jc w:val="both"/>
                              <w:rPr>
                                <w:rFonts w:ascii="Agency FB" w:hAnsi="Agency FB" w:cs="Times New Roman"/>
                                <w:i/>
                                <w:iCs/>
                                <w:color w:val="000000" w:themeColor="text1"/>
                                <w:sz w:val="24"/>
                                <w:szCs w:val="24"/>
                              </w:rPr>
                            </w:pPr>
                            <w:r w:rsidRPr="00614F63">
                              <w:rPr>
                                <w:rFonts w:ascii="Agency FB" w:hAnsi="Agency FB" w:cs="Times New Roman"/>
                                <w:color w:val="000000" w:themeColor="text1"/>
                                <w:sz w:val="24"/>
                                <w:szCs w:val="24"/>
                              </w:rPr>
                              <w:t xml:space="preserve">“[L]las características personales del supuesto autor y la gravedad del delito que se le imputa no son, por si mismos, justificación suficiente de la prisión preventiva. La prisión preventiva es una medida cautelar y no punitiva. Se infringe la Convención cuando se priva de libertad, durante un período excesivamente prolongado, y por lo tanto desproporcionado, a personas cuya responsabilidad criminal no ha sido establecida. Esto equivale a anticipar la pena.” (Corte IDH. </w:t>
                            </w:r>
                            <w:r w:rsidRPr="00614F63">
                              <w:rPr>
                                <w:rFonts w:ascii="Agency FB" w:hAnsi="Agency FB" w:cs="Times New Roman"/>
                                <w:i/>
                                <w:iCs/>
                                <w:color w:val="000000" w:themeColor="text1"/>
                                <w:sz w:val="24"/>
                                <w:szCs w:val="24"/>
                              </w:rPr>
                              <w:t>Caso López Álvarez vs. Honduras)</w:t>
                            </w:r>
                          </w:p>
                          <w:p w14:paraId="610D8E17" w14:textId="77777777" w:rsidR="00614F63" w:rsidRPr="00614F63" w:rsidRDefault="00614F63" w:rsidP="00614F63">
                            <w:pPr>
                              <w:jc w:val="center"/>
                              <w:rPr>
                                <w:rFonts w:ascii="Agency FB" w:hAnsi="Agency F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967FD0" id="Round Diagonal Corner Rectangle 7" o:spid="_x0000_s1033" style="position:absolute;left:0;text-align:left;margin-left:13.55pt;margin-top:4.45pt;width:211.2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82875,2870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" adj="-11796480,,5400" path="m447155,l2682875,r,l2682875,2423045v,246957,-200198,447155,-447155,447155l,2870200r,l,447155c,200198,200198,,447155,xe" fillcolor="#a8d08d [1945]" strokecolor="#f4b083 [1941]" strokeweight="1pt">
                <v:stroke joinstyle="miter"/>
                <v:formulas/>
                <v:path arrowok="t" o:connecttype="custom" o:connectlocs="447155,0;2682875,0;2682875,0;2682875,2423045;2235720,2870200;0,2870200;0,2870200;0,447155;447155,0" o:connectangles="0,0,0,0,0,0,0,0,0" textboxrect="0,0,2682875,2870200"/>
                <v:textbox>
                  <w:txbxContent>
                    <w:p w14:paraId="07E6EE9C" w14:textId="77777777" w:rsidR="00614F63" w:rsidRPr="00614F63" w:rsidRDefault="00614F63" w:rsidP="00614F63">
                      <w:pPr>
                        <w:spacing w:line="240" w:lineRule="auto"/>
                        <w:jc w:val="both"/>
                        <w:rPr>
                          <w:rFonts w:ascii="Agency FB" w:hAnsi="Agency FB" w:cs="Times New Roman"/>
                          <w:i/>
                          <w:iCs/>
                          <w:color w:val="000000" w:themeColor="text1"/>
                          <w:sz w:val="24"/>
                          <w:szCs w:val="24"/>
                        </w:rPr>
                      </w:pPr>
                      <w:r w:rsidRPr="00614F63">
                        <w:rPr>
                          <w:rFonts w:ascii="Agency FB" w:hAnsi="Agency FB" w:cs="Times New Roman"/>
                          <w:color w:val="000000" w:themeColor="text1"/>
                          <w:sz w:val="24"/>
                          <w:szCs w:val="24"/>
                        </w:rPr>
                        <w:t xml:space="preserve">“[L]las características personales del supuesto autor y la gravedad del delito que se le imputa no son, por si mismos, justificación suficiente de la prisión preventiva. La prisión preventiva es una medida cautelar y no punitiva. Se infringe la Convención cuando se priva de libertad, durante un período excesivamente prolongado, y por lo tanto desproporcionado, a personas cuya responsabilidad criminal no ha sido establecida. Esto equivale a anticipar la pena.” (Corte IDH. </w:t>
                      </w:r>
                      <w:r w:rsidRPr="00614F63">
                        <w:rPr>
                          <w:rFonts w:ascii="Agency FB" w:hAnsi="Agency FB" w:cs="Times New Roman"/>
                          <w:i/>
                          <w:iCs/>
                          <w:color w:val="000000" w:themeColor="text1"/>
                          <w:sz w:val="24"/>
                          <w:szCs w:val="24"/>
                        </w:rPr>
                        <w:t>Caso López Álvarez vs. Honduras)</w:t>
                      </w:r>
                    </w:p>
                    <w:p w14:paraId="610D8E17" w14:textId="77777777" w:rsidR="00614F63" w:rsidRPr="00614F63" w:rsidRDefault="00614F63" w:rsidP="00614F63">
                      <w:pPr>
                        <w:jc w:val="center"/>
                        <w:rPr>
                          <w:rFonts w:ascii="Agency FB" w:hAnsi="Agency FB"/>
                          <w:sz w:val="24"/>
                          <w:szCs w:val="24"/>
                        </w:rPr>
                      </w:pPr>
                    </w:p>
                  </w:txbxContent>
                </v:textbox>
                <w10:wrap type="square"/>
              </v:shape>
            </w:pict>
          </mc:Fallback>
        </mc:AlternateContent>
      </w:r>
    </w:p>
    <w:p w14:paraId="0FD87E16" w14:textId="77777777" w:rsidR="00614F63" w:rsidRDefault="00614F63" w:rsidP="00614F63">
      <w:pPr>
        <w:pStyle w:val="Prrafodelista"/>
        <w:spacing w:line="240" w:lineRule="auto"/>
        <w:ind w:left="1080"/>
        <w:jc w:val="both"/>
        <w:rPr>
          <w:rFonts w:ascii="Gill Sans MT" w:hAnsi="Gill Sans MT" w:cs="Times New Roman"/>
          <w:b/>
          <w:iCs/>
        </w:rPr>
      </w:pPr>
    </w:p>
    <w:p w14:paraId="665CCF5F" w14:textId="4CDE8671" w:rsidR="00B22460" w:rsidRPr="008816F9" w:rsidRDefault="008816F9" w:rsidP="008816F9">
      <w:pPr>
        <w:pStyle w:val="Prrafodelista"/>
        <w:numPr>
          <w:ilvl w:val="0"/>
          <w:numId w:val="1"/>
        </w:numPr>
        <w:spacing w:line="240" w:lineRule="auto"/>
        <w:jc w:val="both"/>
        <w:rPr>
          <w:rFonts w:ascii="Gill Sans MT" w:hAnsi="Gill Sans MT" w:cs="Times New Roman"/>
          <w:b/>
          <w:iCs/>
        </w:rPr>
      </w:pPr>
      <w:r w:rsidRPr="008816F9">
        <w:rPr>
          <w:rFonts w:ascii="Gill Sans MT" w:hAnsi="Gill Sans MT" w:cs="Times New Roman"/>
          <w:b/>
          <w:iCs/>
        </w:rPr>
        <w:t>Sobre el p</w:t>
      </w:r>
      <w:r w:rsidR="00B22460" w:rsidRPr="008816F9">
        <w:rPr>
          <w:rFonts w:ascii="Gill Sans MT" w:hAnsi="Gill Sans MT" w:cs="Times New Roman"/>
          <w:b/>
          <w:iCs/>
        </w:rPr>
        <w:t>lazo razonable</w:t>
      </w:r>
      <w:r w:rsidRPr="008816F9">
        <w:rPr>
          <w:rFonts w:ascii="Gill Sans MT" w:hAnsi="Gill Sans MT" w:cs="Times New Roman"/>
          <w:b/>
          <w:iCs/>
        </w:rPr>
        <w:t xml:space="preserve"> y la prisión preventiva. </w:t>
      </w:r>
    </w:p>
    <w:p w14:paraId="118C56C4" w14:textId="5B70722F" w:rsidR="00B22460" w:rsidRPr="008816F9" w:rsidRDefault="00B22460" w:rsidP="008816F9">
      <w:pPr>
        <w:spacing w:line="240" w:lineRule="auto"/>
        <w:jc w:val="both"/>
        <w:rPr>
          <w:rFonts w:ascii="Gill Sans MT" w:hAnsi="Gill Sans MT" w:cs="Times New Roman"/>
        </w:rPr>
      </w:pPr>
      <w:r w:rsidRPr="008816F9">
        <w:rPr>
          <w:rFonts w:ascii="Gill Sans MT" w:hAnsi="Gill Sans MT" w:cs="Times New Roman"/>
        </w:rPr>
        <w:t xml:space="preserve">“Cuando el plazo de la prisión preventiva sobrepasa lo razonable, el Estado podrá limitar la libertad del imputado con otras medidas menos lesivas que aseguren su comparecencia al juicio, distintas a la privación </w:t>
      </w:r>
      <w:r w:rsidRPr="008816F9">
        <w:rPr>
          <w:rFonts w:ascii="Gill Sans MT" w:hAnsi="Gill Sans MT" w:cs="Times New Roman"/>
        </w:rPr>
        <w:lastRenderedPageBreak/>
        <w:t>de su libertad mediante encarcelamiento. Este derecho impone, a su vez, una obligación judicial de tramitar con mayor diligencia y prontitud aquellos procesos penales en los cuales el imputado se encuentre privado de su libertad”. (</w:t>
      </w:r>
      <w:r w:rsidR="002B7035">
        <w:rPr>
          <w:rFonts w:ascii="Gill Sans MT" w:hAnsi="Gill Sans MT" w:cs="Times New Roman"/>
        </w:rPr>
        <w:t xml:space="preserve">Corte IDH. </w:t>
      </w:r>
      <w:r w:rsidRPr="00614F63">
        <w:rPr>
          <w:rFonts w:ascii="Gill Sans MT" w:hAnsi="Gill Sans MT" w:cs="Times New Roman"/>
          <w:i/>
          <w:iCs/>
        </w:rPr>
        <w:t xml:space="preserve">Caso </w:t>
      </w:r>
      <w:proofErr w:type="spellStart"/>
      <w:r w:rsidRPr="00614F63">
        <w:rPr>
          <w:rFonts w:ascii="Gill Sans MT" w:hAnsi="Gill Sans MT" w:cs="Times New Roman"/>
          <w:i/>
          <w:iCs/>
        </w:rPr>
        <w:t>Bayarri</w:t>
      </w:r>
      <w:proofErr w:type="spellEnd"/>
      <w:r w:rsidRPr="00614F63">
        <w:rPr>
          <w:rFonts w:ascii="Gill Sans MT" w:hAnsi="Gill Sans MT" w:cs="Times New Roman"/>
          <w:i/>
          <w:iCs/>
        </w:rPr>
        <w:t xml:space="preserve"> v. Argentina</w:t>
      </w:r>
      <w:r w:rsidRPr="008816F9">
        <w:rPr>
          <w:rFonts w:ascii="Gill Sans MT" w:hAnsi="Gill Sans MT" w:cs="Times New Roman"/>
        </w:rPr>
        <w:t>)</w:t>
      </w:r>
    </w:p>
    <w:p w14:paraId="3EE66221" w14:textId="2D8FEDB2" w:rsidR="004754CB" w:rsidRDefault="00614F63" w:rsidP="004754CB">
      <w:pPr>
        <w:pStyle w:val="Prrafodelista"/>
        <w:spacing w:line="240" w:lineRule="auto"/>
        <w:ind w:left="1080"/>
        <w:jc w:val="both"/>
        <w:rPr>
          <w:rFonts w:ascii="Gill Sans MT" w:hAnsi="Gill Sans MT" w:cs="Times New Roman"/>
          <w:b/>
          <w:iCs/>
        </w:rPr>
      </w:pPr>
      <w:r>
        <w:rPr>
          <w:noProof/>
          <w:lang w:eastAsia="es-CL"/>
        </w:rPr>
        <mc:AlternateContent>
          <mc:Choice Requires="wps">
            <w:drawing>
              <wp:anchor distT="0" distB="0" distL="114300" distR="114300" simplePos="0" relativeHeight="251672576" behindDoc="0" locked="0" layoutInCell="1" allowOverlap="1" wp14:anchorId="7FAB77FE" wp14:editId="18511EC4">
                <wp:simplePos x="0" y="0"/>
                <wp:positionH relativeFrom="column">
                  <wp:posOffset>0</wp:posOffset>
                </wp:positionH>
                <wp:positionV relativeFrom="paragraph">
                  <wp:posOffset>0</wp:posOffset>
                </wp:positionV>
                <wp:extent cx="1828800" cy="1828800"/>
                <wp:effectExtent l="0" t="0" r="17145" b="1905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F90FB93" w14:textId="4CEA3131" w:rsidR="00614F63" w:rsidRPr="008816F9" w:rsidRDefault="00614F63" w:rsidP="008816F9">
                            <w:pPr>
                              <w:spacing w:line="240" w:lineRule="auto"/>
                              <w:jc w:val="both"/>
                              <w:rPr>
                                <w:rFonts w:ascii="Gill Sans MT" w:hAnsi="Gill Sans MT" w:cs="Times New Roman"/>
                              </w:rPr>
                            </w:pPr>
                            <w:r w:rsidRPr="008816F9">
                              <w:rPr>
                                <w:rFonts w:ascii="Gill Sans MT" w:hAnsi="Gill Sans MT" w:cs="Times New Roman"/>
                              </w:rPr>
                              <w:t>Elementos para determinar la razonabilidad del plazo (</w:t>
                            </w:r>
                            <w:r w:rsidR="002B7035">
                              <w:rPr>
                                <w:rFonts w:ascii="Gill Sans MT" w:hAnsi="Gill Sans MT" w:cs="Times New Roman"/>
                              </w:rPr>
                              <w:t xml:space="preserve">Corte IDH. </w:t>
                            </w:r>
                            <w:r w:rsidRPr="002B7035">
                              <w:rPr>
                                <w:rFonts w:ascii="Gill Sans MT" w:hAnsi="Gill Sans MT" w:cs="Times New Roman"/>
                                <w:i/>
                                <w:iCs/>
                              </w:rPr>
                              <w:t xml:space="preserve">Caso </w:t>
                            </w:r>
                            <w:proofErr w:type="spellStart"/>
                            <w:r w:rsidRPr="002B7035">
                              <w:rPr>
                                <w:rFonts w:ascii="Gill Sans MT" w:hAnsi="Gill Sans MT" w:cs="Times New Roman"/>
                                <w:i/>
                                <w:iCs/>
                              </w:rPr>
                              <w:t>Anzualdo</w:t>
                            </w:r>
                            <w:proofErr w:type="spellEnd"/>
                            <w:r w:rsidRPr="002B7035">
                              <w:rPr>
                                <w:rFonts w:ascii="Gill Sans MT" w:hAnsi="Gill Sans MT" w:cs="Times New Roman"/>
                                <w:i/>
                                <w:iCs/>
                              </w:rPr>
                              <w:t xml:space="preserve"> Castro vs. Perú</w:t>
                            </w:r>
                            <w:r w:rsidRPr="008816F9">
                              <w:rPr>
                                <w:rFonts w:ascii="Gill Sans MT" w:hAnsi="Gill Sans MT" w:cs="Times New Roman"/>
                              </w:rPr>
                              <w:t>)</w:t>
                            </w:r>
                          </w:p>
                          <w:p w14:paraId="680FF005" w14:textId="77777777" w:rsidR="00614F63" w:rsidRPr="008816F9" w:rsidRDefault="00614F63" w:rsidP="008816F9">
                            <w:pPr>
                              <w:pStyle w:val="Prrafodelista"/>
                              <w:numPr>
                                <w:ilvl w:val="0"/>
                                <w:numId w:val="4"/>
                              </w:numPr>
                              <w:spacing w:line="240" w:lineRule="auto"/>
                              <w:jc w:val="both"/>
                              <w:rPr>
                                <w:rFonts w:ascii="Gill Sans MT" w:hAnsi="Gill Sans MT" w:cs="Times New Roman"/>
                              </w:rPr>
                            </w:pPr>
                            <w:r w:rsidRPr="008816F9">
                              <w:rPr>
                                <w:rFonts w:ascii="Gill Sans MT" w:hAnsi="Gill Sans MT" w:cs="Times New Roman"/>
                              </w:rPr>
                              <w:t>Complejidad del asunto</w:t>
                            </w:r>
                          </w:p>
                          <w:p w14:paraId="4677E3CE" w14:textId="77777777" w:rsidR="00614F63" w:rsidRPr="008816F9" w:rsidRDefault="00614F63" w:rsidP="008816F9">
                            <w:pPr>
                              <w:pStyle w:val="Prrafodelista"/>
                              <w:numPr>
                                <w:ilvl w:val="0"/>
                                <w:numId w:val="4"/>
                              </w:numPr>
                              <w:spacing w:line="240" w:lineRule="auto"/>
                              <w:jc w:val="both"/>
                              <w:rPr>
                                <w:rFonts w:ascii="Gill Sans MT" w:hAnsi="Gill Sans MT" w:cs="Times New Roman"/>
                              </w:rPr>
                            </w:pPr>
                            <w:r w:rsidRPr="008816F9">
                              <w:rPr>
                                <w:rFonts w:ascii="Gill Sans MT" w:hAnsi="Gill Sans MT" w:cs="Times New Roman"/>
                              </w:rPr>
                              <w:t>Actividad procesal del interesado</w:t>
                            </w:r>
                          </w:p>
                          <w:p w14:paraId="006B3693" w14:textId="77777777" w:rsidR="00614F63" w:rsidRPr="008816F9" w:rsidRDefault="00614F63" w:rsidP="008816F9">
                            <w:pPr>
                              <w:pStyle w:val="Prrafodelista"/>
                              <w:numPr>
                                <w:ilvl w:val="0"/>
                                <w:numId w:val="4"/>
                              </w:numPr>
                              <w:spacing w:line="240" w:lineRule="auto"/>
                              <w:jc w:val="both"/>
                              <w:rPr>
                                <w:rFonts w:ascii="Gill Sans MT" w:hAnsi="Gill Sans MT" w:cs="Times New Roman"/>
                              </w:rPr>
                            </w:pPr>
                            <w:r w:rsidRPr="008816F9">
                              <w:rPr>
                                <w:rFonts w:ascii="Gill Sans MT" w:hAnsi="Gill Sans MT" w:cs="Times New Roman"/>
                              </w:rPr>
                              <w:t>Conducta de las autoridades judiciales</w:t>
                            </w:r>
                          </w:p>
                          <w:p w14:paraId="2C1945A0" w14:textId="77777777" w:rsidR="00614F63" w:rsidRPr="001C0E66" w:rsidRDefault="00614F63" w:rsidP="001C0E66">
                            <w:pPr>
                              <w:pStyle w:val="Prrafodelista"/>
                              <w:numPr>
                                <w:ilvl w:val="0"/>
                                <w:numId w:val="4"/>
                              </w:numPr>
                              <w:jc w:val="both"/>
                              <w:rPr>
                                <w:rFonts w:ascii="Gill Sans MT" w:hAnsi="Gill Sans MT" w:cs="Times New Roman"/>
                              </w:rPr>
                            </w:pPr>
                            <w:r w:rsidRPr="008816F9">
                              <w:rPr>
                                <w:rFonts w:ascii="Gill Sans MT" w:hAnsi="Gill Sans MT" w:cs="Times New Roman"/>
                              </w:rPr>
                              <w:t>Afectación generada en la situación jurídica de la persona involucrada en el proceso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AB77FE" id="Text Box 8" o:spid="_x0000_s1034" type="#_x0000_t202" style="position:absolute;left:0;text-align:left;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" fillcolor="#c3c3c3 [2166]" strokecolor="#a5a5a5 [3206]" strokeweight=".5pt">
                <v:fill color2="#b6b6b6 [2614]" rotate="t" colors="0 #d2d2d2;.5 #c8c8c8;1 silver" focus="100%" type="gradient">
                  <o:fill v:ext="view" type="gradientUnscaled"/>
                </v:fill>
                <v:textbox style="mso-fit-shape-to-text:t">
                  <w:txbxContent>
                    <w:p w14:paraId="2F90FB93" w14:textId="4CEA3131" w:rsidR="00614F63" w:rsidRPr="008816F9" w:rsidRDefault="00614F63" w:rsidP="008816F9">
                      <w:pPr>
                        <w:spacing w:line="240" w:lineRule="auto"/>
                        <w:jc w:val="both"/>
                        <w:rPr>
                          <w:rFonts w:ascii="Gill Sans MT" w:hAnsi="Gill Sans MT" w:cs="Times New Roman"/>
                        </w:rPr>
                      </w:pPr>
                      <w:r w:rsidRPr="008816F9">
                        <w:rPr>
                          <w:rFonts w:ascii="Gill Sans MT" w:hAnsi="Gill Sans MT" w:cs="Times New Roman"/>
                        </w:rPr>
                        <w:t>Elementos para determinar la razonabilidad del plazo (</w:t>
                      </w:r>
                      <w:r w:rsidR="002B7035">
                        <w:rPr>
                          <w:rFonts w:ascii="Gill Sans MT" w:hAnsi="Gill Sans MT" w:cs="Times New Roman"/>
                        </w:rPr>
                        <w:t xml:space="preserve">Corte IDH. </w:t>
                      </w:r>
                      <w:r w:rsidRPr="002B7035">
                        <w:rPr>
                          <w:rFonts w:ascii="Gill Sans MT" w:hAnsi="Gill Sans MT" w:cs="Times New Roman"/>
                          <w:i/>
                          <w:iCs/>
                        </w:rPr>
                        <w:t xml:space="preserve">Caso </w:t>
                      </w:r>
                      <w:proofErr w:type="spellStart"/>
                      <w:r w:rsidRPr="002B7035">
                        <w:rPr>
                          <w:rFonts w:ascii="Gill Sans MT" w:hAnsi="Gill Sans MT" w:cs="Times New Roman"/>
                          <w:i/>
                          <w:iCs/>
                        </w:rPr>
                        <w:t>Anzualdo</w:t>
                      </w:r>
                      <w:proofErr w:type="spellEnd"/>
                      <w:r w:rsidRPr="002B7035">
                        <w:rPr>
                          <w:rFonts w:ascii="Gill Sans MT" w:hAnsi="Gill Sans MT" w:cs="Times New Roman"/>
                          <w:i/>
                          <w:iCs/>
                        </w:rPr>
                        <w:t xml:space="preserve"> Castro vs. Perú</w:t>
                      </w:r>
                      <w:r w:rsidRPr="008816F9">
                        <w:rPr>
                          <w:rFonts w:ascii="Gill Sans MT" w:hAnsi="Gill Sans MT" w:cs="Times New Roman"/>
                        </w:rPr>
                        <w:t>)</w:t>
                      </w:r>
                    </w:p>
                    <w:p w14:paraId="680FF005" w14:textId="77777777" w:rsidR="00614F63" w:rsidRPr="008816F9" w:rsidRDefault="00614F63" w:rsidP="008816F9">
                      <w:pPr>
                        <w:pStyle w:val="ListParagraph"/>
                        <w:numPr>
                          <w:ilvl w:val="0"/>
                          <w:numId w:val="4"/>
                        </w:numPr>
                        <w:spacing w:line="240" w:lineRule="auto"/>
                        <w:jc w:val="both"/>
                        <w:rPr>
                          <w:rFonts w:ascii="Gill Sans MT" w:hAnsi="Gill Sans MT" w:cs="Times New Roman"/>
                        </w:rPr>
                      </w:pPr>
                      <w:r w:rsidRPr="008816F9">
                        <w:rPr>
                          <w:rFonts w:ascii="Gill Sans MT" w:hAnsi="Gill Sans MT" w:cs="Times New Roman"/>
                        </w:rPr>
                        <w:t>Complejidad del asunto</w:t>
                      </w:r>
                    </w:p>
                    <w:p w14:paraId="4677E3CE" w14:textId="77777777" w:rsidR="00614F63" w:rsidRPr="008816F9" w:rsidRDefault="00614F63" w:rsidP="008816F9">
                      <w:pPr>
                        <w:pStyle w:val="ListParagraph"/>
                        <w:numPr>
                          <w:ilvl w:val="0"/>
                          <w:numId w:val="4"/>
                        </w:numPr>
                        <w:spacing w:line="240" w:lineRule="auto"/>
                        <w:jc w:val="both"/>
                        <w:rPr>
                          <w:rFonts w:ascii="Gill Sans MT" w:hAnsi="Gill Sans MT" w:cs="Times New Roman"/>
                        </w:rPr>
                      </w:pPr>
                      <w:r w:rsidRPr="008816F9">
                        <w:rPr>
                          <w:rFonts w:ascii="Gill Sans MT" w:hAnsi="Gill Sans MT" w:cs="Times New Roman"/>
                        </w:rPr>
                        <w:t>Actividad procesal del interesado</w:t>
                      </w:r>
                    </w:p>
                    <w:p w14:paraId="006B3693" w14:textId="77777777" w:rsidR="00614F63" w:rsidRPr="008816F9" w:rsidRDefault="00614F63" w:rsidP="008816F9">
                      <w:pPr>
                        <w:pStyle w:val="ListParagraph"/>
                        <w:numPr>
                          <w:ilvl w:val="0"/>
                          <w:numId w:val="4"/>
                        </w:numPr>
                        <w:spacing w:line="240" w:lineRule="auto"/>
                        <w:jc w:val="both"/>
                        <w:rPr>
                          <w:rFonts w:ascii="Gill Sans MT" w:hAnsi="Gill Sans MT" w:cs="Times New Roman"/>
                        </w:rPr>
                      </w:pPr>
                      <w:r w:rsidRPr="008816F9">
                        <w:rPr>
                          <w:rFonts w:ascii="Gill Sans MT" w:hAnsi="Gill Sans MT" w:cs="Times New Roman"/>
                        </w:rPr>
                        <w:t>Conducta de las autoridades judiciales</w:t>
                      </w:r>
                    </w:p>
                    <w:p w14:paraId="2C1945A0" w14:textId="77777777" w:rsidR="00614F63" w:rsidRPr="001C0E66" w:rsidRDefault="00614F63" w:rsidP="001C0E66">
                      <w:pPr>
                        <w:pStyle w:val="ListParagraph"/>
                        <w:numPr>
                          <w:ilvl w:val="0"/>
                          <w:numId w:val="4"/>
                        </w:numPr>
                        <w:jc w:val="both"/>
                        <w:rPr>
                          <w:rFonts w:ascii="Gill Sans MT" w:hAnsi="Gill Sans MT" w:cs="Times New Roman"/>
                        </w:rPr>
                      </w:pPr>
                      <w:r w:rsidRPr="008816F9">
                        <w:rPr>
                          <w:rFonts w:ascii="Gill Sans MT" w:hAnsi="Gill Sans MT" w:cs="Times New Roman"/>
                        </w:rPr>
                        <w:t>Afectación generada en la situación jurídica de la persona involucrada en el proceso</w:t>
                      </w:r>
                    </w:p>
                  </w:txbxContent>
                </v:textbox>
                <w10:wrap type="square"/>
              </v:shape>
            </w:pict>
          </mc:Fallback>
        </mc:AlternateContent>
      </w:r>
    </w:p>
    <w:p w14:paraId="280AE107" w14:textId="521B8D3B" w:rsidR="00B22460" w:rsidRPr="008816F9" w:rsidRDefault="00B22460" w:rsidP="008816F9">
      <w:pPr>
        <w:pStyle w:val="Prrafodelista"/>
        <w:numPr>
          <w:ilvl w:val="0"/>
          <w:numId w:val="1"/>
        </w:numPr>
        <w:spacing w:line="240" w:lineRule="auto"/>
        <w:jc w:val="both"/>
        <w:rPr>
          <w:rFonts w:ascii="Gill Sans MT" w:hAnsi="Gill Sans MT" w:cs="Times New Roman"/>
          <w:b/>
          <w:iCs/>
        </w:rPr>
      </w:pPr>
      <w:r w:rsidRPr="008816F9">
        <w:rPr>
          <w:rFonts w:ascii="Gill Sans MT" w:hAnsi="Gill Sans MT" w:cs="Times New Roman"/>
          <w:b/>
          <w:iCs/>
        </w:rPr>
        <w:t>Límites a la prisión preventiva</w:t>
      </w:r>
    </w:p>
    <w:p w14:paraId="446783D6" w14:textId="059E8EA6" w:rsidR="00B22460" w:rsidRPr="008816F9" w:rsidRDefault="002B7035" w:rsidP="008816F9">
      <w:pPr>
        <w:pStyle w:val="Prrafodelista"/>
        <w:spacing w:line="240" w:lineRule="auto"/>
        <w:ind w:left="709"/>
        <w:jc w:val="both"/>
        <w:rPr>
          <w:rFonts w:ascii="Gill Sans MT" w:hAnsi="Gill Sans MT" w:cs="Times New Roman"/>
          <w:b/>
          <w:i/>
        </w:rPr>
      </w:pPr>
      <w:r>
        <w:rPr>
          <w:rFonts w:ascii="Gill Sans MT" w:hAnsi="Gill Sans MT" w:cs="Times New Roman"/>
          <w:b/>
          <w:iCs/>
          <w:noProof/>
          <w:lang w:eastAsia="es-CL"/>
        </w:rPr>
        <mc:AlternateContent>
          <mc:Choice Requires="wps">
            <w:drawing>
              <wp:anchor distT="0" distB="0" distL="114300" distR="114300" simplePos="0" relativeHeight="251673600" behindDoc="0" locked="0" layoutInCell="1" allowOverlap="1" wp14:anchorId="6B99F038" wp14:editId="46712AD4">
                <wp:simplePos x="0" y="0"/>
                <wp:positionH relativeFrom="column">
                  <wp:posOffset>2143593</wp:posOffset>
                </wp:positionH>
                <wp:positionV relativeFrom="paragraph">
                  <wp:posOffset>156189</wp:posOffset>
                </wp:positionV>
                <wp:extent cx="3528758" cy="1708879"/>
                <wp:effectExtent l="0" t="0" r="14605" b="18415"/>
                <wp:wrapNone/>
                <wp:docPr id="10" name="Rounded Rectangle 10"/>
                <wp:cNvGraphicFramePr/>
                <a:graphic xmlns:a="http://schemas.openxmlformats.org/drawingml/2006/main">
                  <a:graphicData uri="http://schemas.microsoft.com/office/word/2010/wordprocessingShape">
                    <wps:wsp>
                      <wps:cNvSpPr/>
                      <wps:spPr>
                        <a:xfrm>
                          <a:off x="0" y="0"/>
                          <a:ext cx="3528758" cy="1708879"/>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3FE0A7" w14:textId="77777777" w:rsidR="002B7035" w:rsidRPr="002B7035" w:rsidRDefault="002B7035" w:rsidP="002B7035">
                            <w:pPr>
                              <w:jc w:val="both"/>
                              <w:rPr>
                                <w:rFonts w:ascii="Agency FB" w:hAnsi="Agency FB" w:cs="Times New Roman"/>
                                <w:color w:val="000000" w:themeColor="text1"/>
                              </w:rPr>
                            </w:pPr>
                            <w:r w:rsidRPr="002B7035">
                              <w:rPr>
                                <w:rFonts w:ascii="Agency FB" w:hAnsi="Agency FB" w:cs="Times New Roman"/>
                                <w:color w:val="000000" w:themeColor="text1"/>
                              </w:rPr>
                              <w:t xml:space="preserve">“Una persona considerada inocente no debe recibir igual o peor trato que una persona condenada. El Estado debe evitar que la medida de coerción procesal </w:t>
                            </w:r>
                            <w:r w:rsidRPr="002B7035">
                              <w:rPr>
                                <w:rFonts w:ascii="Agency FB" w:hAnsi="Agency FB" w:cs="Times New Roman"/>
                                <w:b/>
                                <w:bCs/>
                                <w:color w:val="000000" w:themeColor="text1"/>
                              </w:rPr>
                              <w:t>sea igual o más gravosa para el imputado que la pena que se espera en caso de condena</w:t>
                            </w:r>
                            <w:r w:rsidRPr="002B7035">
                              <w:rPr>
                                <w:rFonts w:ascii="Agency FB" w:hAnsi="Agency FB" w:cs="Times New Roman"/>
                                <w:color w:val="000000" w:themeColor="text1"/>
                              </w:rPr>
                              <w:t xml:space="preserve">. Esto quiere decir que no se debe autorizar la privación cautelar de la libertad, en supuestos en los que no sería posible aplicar la pena de prisión, y que aquélla debe cesar cuando se ha excedido la duración razonable de dicha medida.” (Corte IDH. </w:t>
                            </w:r>
                            <w:r w:rsidRPr="002B7035">
                              <w:rPr>
                                <w:rFonts w:ascii="Agency FB" w:hAnsi="Agency FB" w:cs="Times New Roman"/>
                                <w:i/>
                                <w:iCs/>
                                <w:color w:val="000000" w:themeColor="text1"/>
                              </w:rPr>
                              <w:t>Caso Barreto Leiva v. Venezuela</w:t>
                            </w:r>
                            <w:r w:rsidRPr="002B7035">
                              <w:rPr>
                                <w:rFonts w:ascii="Agency FB" w:hAnsi="Agency FB" w:cs="Times New Roman"/>
                                <w:color w:val="000000" w:themeColor="text1"/>
                              </w:rPr>
                              <w:t xml:space="preserve">) </w:t>
                            </w:r>
                          </w:p>
                          <w:p w14:paraId="351E9DAA" w14:textId="77777777" w:rsidR="002B7035" w:rsidRPr="002B7035" w:rsidRDefault="002B7035" w:rsidP="002B7035">
                            <w:pPr>
                              <w:jc w:val="center"/>
                              <w:rPr>
                                <w:rFonts w:ascii="Agency FB" w:hAnsi="Agency F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B99F038" id="Rounded Rectangle 10" o:spid="_x0000_s1035" style="position:absolute;left:0;text-align:left;margin-left:168.8pt;margin-top:12.3pt;width:277.85pt;height:13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" fillcolor="#d9e2f3 [660]" strokecolor="#1f3763 [1604]" strokeweight="1pt">
                <v:stroke joinstyle="miter"/>
                <v:textbox>
                  <w:txbxContent>
                    <w:p w14:paraId="1B3FE0A7" w14:textId="77777777" w:rsidR="002B7035" w:rsidRPr="002B7035" w:rsidRDefault="002B7035" w:rsidP="002B7035">
                      <w:pPr>
                        <w:jc w:val="both"/>
                        <w:rPr>
                          <w:rFonts w:ascii="Agency FB" w:hAnsi="Agency FB" w:cs="Times New Roman"/>
                          <w:color w:val="000000" w:themeColor="text1"/>
                        </w:rPr>
                      </w:pPr>
                      <w:r w:rsidRPr="002B7035">
                        <w:rPr>
                          <w:rFonts w:ascii="Agency FB" w:hAnsi="Agency FB" w:cs="Times New Roman"/>
                          <w:color w:val="000000" w:themeColor="text1"/>
                        </w:rPr>
                        <w:t xml:space="preserve">“Una persona considerada inocente no debe recibir igual o peor trato que una persona condenada. El Estado debe evitar que la medida de coerción procesal </w:t>
                      </w:r>
                      <w:r w:rsidRPr="002B7035">
                        <w:rPr>
                          <w:rFonts w:ascii="Agency FB" w:hAnsi="Agency FB" w:cs="Times New Roman"/>
                          <w:b/>
                          <w:bCs/>
                          <w:color w:val="000000" w:themeColor="text1"/>
                        </w:rPr>
                        <w:t>sea igual o más gravosa para el imputado que la pena que se espera en caso de condena</w:t>
                      </w:r>
                      <w:r w:rsidRPr="002B7035">
                        <w:rPr>
                          <w:rFonts w:ascii="Agency FB" w:hAnsi="Agency FB" w:cs="Times New Roman"/>
                          <w:color w:val="000000" w:themeColor="text1"/>
                        </w:rPr>
                        <w:t xml:space="preserve">. Esto quiere decir que no se debe autorizar la privación cautelar de la libertad, en supuestos en los que no sería posible aplicar la pena de prisión, y que aquélla debe cesar cuando se ha excedido la duración razonable de dicha medida.” (Corte IDH. </w:t>
                      </w:r>
                      <w:r w:rsidRPr="002B7035">
                        <w:rPr>
                          <w:rFonts w:ascii="Agency FB" w:hAnsi="Agency FB" w:cs="Times New Roman"/>
                          <w:i/>
                          <w:iCs/>
                          <w:color w:val="000000" w:themeColor="text1"/>
                        </w:rPr>
                        <w:t>Caso Barreto Leiva v. Venezuela</w:t>
                      </w:r>
                      <w:r w:rsidRPr="002B7035">
                        <w:rPr>
                          <w:rFonts w:ascii="Agency FB" w:hAnsi="Agency FB" w:cs="Times New Roman"/>
                          <w:color w:val="000000" w:themeColor="text1"/>
                        </w:rPr>
                        <w:t xml:space="preserve">) </w:t>
                      </w:r>
                    </w:p>
                    <w:p w14:paraId="351E9DAA" w14:textId="77777777" w:rsidR="002B7035" w:rsidRPr="002B7035" w:rsidRDefault="002B7035" w:rsidP="002B7035">
                      <w:pPr>
                        <w:jc w:val="center"/>
                        <w:rPr>
                          <w:rFonts w:ascii="Agency FB" w:hAnsi="Agency FB"/>
                          <w:color w:val="000000" w:themeColor="text1"/>
                        </w:rPr>
                      </w:pPr>
                    </w:p>
                  </w:txbxContent>
                </v:textbox>
              </v:roundrect>
            </w:pict>
          </mc:Fallback>
        </mc:AlternateContent>
      </w:r>
    </w:p>
    <w:p w14:paraId="52398EB8" w14:textId="3403BE30" w:rsidR="00B22460" w:rsidRPr="008816F9" w:rsidRDefault="00B22460" w:rsidP="008816F9">
      <w:pPr>
        <w:pStyle w:val="Prrafodelista"/>
        <w:numPr>
          <w:ilvl w:val="0"/>
          <w:numId w:val="5"/>
        </w:numPr>
        <w:spacing w:line="240" w:lineRule="auto"/>
        <w:jc w:val="both"/>
        <w:rPr>
          <w:rFonts w:ascii="Gill Sans MT" w:hAnsi="Gill Sans MT" w:cs="Times New Roman"/>
        </w:rPr>
      </w:pPr>
      <w:r w:rsidRPr="008816F9">
        <w:rPr>
          <w:rFonts w:ascii="Gill Sans MT" w:hAnsi="Gill Sans MT" w:cs="Times New Roman"/>
        </w:rPr>
        <w:t>Presunción de inocencia</w:t>
      </w:r>
    </w:p>
    <w:p w14:paraId="05250ADB" w14:textId="3EE95E31" w:rsidR="00B22460" w:rsidRPr="008816F9" w:rsidRDefault="00B22460" w:rsidP="008816F9">
      <w:pPr>
        <w:pStyle w:val="Prrafodelista"/>
        <w:numPr>
          <w:ilvl w:val="0"/>
          <w:numId w:val="5"/>
        </w:numPr>
        <w:spacing w:line="240" w:lineRule="auto"/>
        <w:jc w:val="both"/>
        <w:rPr>
          <w:rFonts w:ascii="Gill Sans MT" w:hAnsi="Gill Sans MT" w:cs="Times New Roman"/>
        </w:rPr>
      </w:pPr>
      <w:r w:rsidRPr="008816F9">
        <w:rPr>
          <w:rFonts w:ascii="Gill Sans MT" w:hAnsi="Gill Sans MT" w:cs="Times New Roman"/>
        </w:rPr>
        <w:t>Principio de legalidad</w:t>
      </w:r>
    </w:p>
    <w:p w14:paraId="791E1725" w14:textId="15F1739D" w:rsidR="00B22460" w:rsidRPr="008816F9" w:rsidRDefault="00B22460" w:rsidP="008816F9">
      <w:pPr>
        <w:pStyle w:val="Prrafodelista"/>
        <w:numPr>
          <w:ilvl w:val="0"/>
          <w:numId w:val="5"/>
        </w:numPr>
        <w:spacing w:line="240" w:lineRule="auto"/>
        <w:jc w:val="both"/>
        <w:rPr>
          <w:rFonts w:ascii="Gill Sans MT" w:hAnsi="Gill Sans MT" w:cs="Times New Roman"/>
        </w:rPr>
      </w:pPr>
      <w:r w:rsidRPr="008816F9">
        <w:rPr>
          <w:rFonts w:ascii="Gill Sans MT" w:hAnsi="Gill Sans MT" w:cs="Times New Roman"/>
        </w:rPr>
        <w:t>Necesidad</w:t>
      </w:r>
    </w:p>
    <w:p w14:paraId="126AF15D" w14:textId="06EBA056" w:rsidR="00B22460" w:rsidRPr="008816F9" w:rsidRDefault="00B22460" w:rsidP="008816F9">
      <w:pPr>
        <w:pStyle w:val="Prrafodelista"/>
        <w:numPr>
          <w:ilvl w:val="0"/>
          <w:numId w:val="5"/>
        </w:numPr>
        <w:spacing w:line="240" w:lineRule="auto"/>
        <w:jc w:val="both"/>
        <w:rPr>
          <w:rFonts w:ascii="Gill Sans MT" w:hAnsi="Gill Sans MT" w:cs="Times New Roman"/>
        </w:rPr>
      </w:pPr>
      <w:r w:rsidRPr="008816F9">
        <w:rPr>
          <w:rFonts w:ascii="Gill Sans MT" w:hAnsi="Gill Sans MT" w:cs="Times New Roman"/>
        </w:rPr>
        <w:t>Proporcionalidad</w:t>
      </w:r>
    </w:p>
    <w:p w14:paraId="1C0687EE" w14:textId="77777777" w:rsidR="00614F63" w:rsidRDefault="00614F63" w:rsidP="00614F63">
      <w:pPr>
        <w:pStyle w:val="Prrafodelista"/>
        <w:spacing w:line="240" w:lineRule="auto"/>
        <w:ind w:left="1080"/>
        <w:jc w:val="both"/>
        <w:rPr>
          <w:rFonts w:ascii="Gill Sans MT" w:hAnsi="Gill Sans MT" w:cs="Times New Roman"/>
          <w:b/>
          <w:bCs/>
        </w:rPr>
      </w:pPr>
    </w:p>
    <w:p w14:paraId="3A047B31" w14:textId="77777777" w:rsidR="00614F63" w:rsidRDefault="00614F63" w:rsidP="00614F63">
      <w:pPr>
        <w:pStyle w:val="Prrafodelista"/>
        <w:spacing w:line="240" w:lineRule="auto"/>
        <w:ind w:left="1080"/>
        <w:jc w:val="both"/>
        <w:rPr>
          <w:rFonts w:ascii="Gill Sans MT" w:hAnsi="Gill Sans MT" w:cs="Times New Roman"/>
          <w:b/>
          <w:bCs/>
        </w:rPr>
      </w:pPr>
    </w:p>
    <w:p w14:paraId="6258D15D" w14:textId="77777777" w:rsidR="00614F63" w:rsidRDefault="00614F63" w:rsidP="00614F63">
      <w:pPr>
        <w:pStyle w:val="Prrafodelista"/>
        <w:spacing w:line="240" w:lineRule="auto"/>
        <w:ind w:left="1080"/>
        <w:jc w:val="both"/>
        <w:rPr>
          <w:rFonts w:ascii="Gill Sans MT" w:hAnsi="Gill Sans MT" w:cs="Times New Roman"/>
          <w:b/>
          <w:bCs/>
        </w:rPr>
      </w:pPr>
    </w:p>
    <w:p w14:paraId="29512C2F" w14:textId="77777777" w:rsidR="00614F63" w:rsidRDefault="00614F63" w:rsidP="00614F63">
      <w:pPr>
        <w:pStyle w:val="Prrafodelista"/>
        <w:spacing w:line="240" w:lineRule="auto"/>
        <w:ind w:left="1080"/>
        <w:jc w:val="both"/>
        <w:rPr>
          <w:rFonts w:ascii="Gill Sans MT" w:hAnsi="Gill Sans MT" w:cs="Times New Roman"/>
          <w:b/>
          <w:bCs/>
        </w:rPr>
      </w:pPr>
    </w:p>
    <w:p w14:paraId="13F58B29" w14:textId="77777777" w:rsidR="00614F63" w:rsidRDefault="00614F63" w:rsidP="00614F63">
      <w:pPr>
        <w:pStyle w:val="Prrafodelista"/>
        <w:spacing w:line="240" w:lineRule="auto"/>
        <w:ind w:left="1080"/>
        <w:jc w:val="both"/>
        <w:rPr>
          <w:rFonts w:ascii="Gill Sans MT" w:hAnsi="Gill Sans MT" w:cs="Times New Roman"/>
          <w:b/>
          <w:bCs/>
        </w:rPr>
      </w:pPr>
    </w:p>
    <w:p w14:paraId="68F060B4" w14:textId="59D35305" w:rsidR="00614F63" w:rsidRDefault="00614F63" w:rsidP="00614F63">
      <w:pPr>
        <w:pStyle w:val="Prrafodelista"/>
        <w:spacing w:line="240" w:lineRule="auto"/>
        <w:ind w:left="1080"/>
        <w:jc w:val="both"/>
        <w:rPr>
          <w:rFonts w:ascii="Gill Sans MT" w:hAnsi="Gill Sans MT" w:cs="Times New Roman"/>
          <w:b/>
          <w:bCs/>
        </w:rPr>
      </w:pPr>
    </w:p>
    <w:p w14:paraId="5F9437EB" w14:textId="3EBD3D7F" w:rsidR="00614F63" w:rsidRDefault="00614F63" w:rsidP="00614F63">
      <w:pPr>
        <w:pStyle w:val="Prrafodelista"/>
        <w:spacing w:line="240" w:lineRule="auto"/>
        <w:ind w:left="1080"/>
        <w:jc w:val="both"/>
        <w:rPr>
          <w:rFonts w:ascii="Gill Sans MT" w:hAnsi="Gill Sans MT" w:cs="Times New Roman"/>
          <w:b/>
          <w:bCs/>
        </w:rPr>
      </w:pPr>
    </w:p>
    <w:p w14:paraId="1DA01622" w14:textId="02A15B82" w:rsidR="00614F63" w:rsidRDefault="00614F63" w:rsidP="00614F63">
      <w:pPr>
        <w:pStyle w:val="Prrafodelista"/>
        <w:spacing w:line="240" w:lineRule="auto"/>
        <w:ind w:left="1080"/>
        <w:jc w:val="both"/>
        <w:rPr>
          <w:rFonts w:ascii="Gill Sans MT" w:hAnsi="Gill Sans MT" w:cs="Times New Roman"/>
          <w:b/>
          <w:bCs/>
        </w:rPr>
      </w:pPr>
    </w:p>
    <w:p w14:paraId="4A684698" w14:textId="2869ACA0" w:rsidR="002B7035" w:rsidRDefault="002B7035" w:rsidP="00614F63">
      <w:pPr>
        <w:pStyle w:val="Prrafodelista"/>
        <w:spacing w:line="240" w:lineRule="auto"/>
        <w:ind w:left="1080"/>
        <w:jc w:val="both"/>
        <w:rPr>
          <w:rFonts w:ascii="Gill Sans MT" w:hAnsi="Gill Sans MT" w:cs="Times New Roman"/>
          <w:b/>
          <w:bCs/>
        </w:rPr>
      </w:pPr>
    </w:p>
    <w:p w14:paraId="05AC84D5" w14:textId="79103B2B" w:rsidR="002B7035" w:rsidRDefault="002B7035" w:rsidP="002B7035">
      <w:pPr>
        <w:pStyle w:val="Prrafodelista"/>
        <w:spacing w:line="240" w:lineRule="auto"/>
        <w:ind w:left="1080"/>
        <w:jc w:val="both"/>
        <w:rPr>
          <w:rFonts w:ascii="Gill Sans MT" w:hAnsi="Gill Sans MT" w:cs="Times New Roman"/>
          <w:b/>
          <w:bCs/>
        </w:rPr>
      </w:pPr>
      <w:r>
        <w:rPr>
          <w:noProof/>
          <w:lang w:eastAsia="es-CL"/>
        </w:rPr>
        <mc:AlternateContent>
          <mc:Choice Requires="wps">
            <w:drawing>
              <wp:anchor distT="0" distB="0" distL="114300" distR="114300" simplePos="0" relativeHeight="251674624" behindDoc="0" locked="0" layoutInCell="1" allowOverlap="1" wp14:anchorId="076D2DB9" wp14:editId="0A878507">
                <wp:simplePos x="0" y="0"/>
                <wp:positionH relativeFrom="margin">
                  <wp:posOffset>673850</wp:posOffset>
                </wp:positionH>
                <wp:positionV relativeFrom="margin">
                  <wp:posOffset>4412833</wp:posOffset>
                </wp:positionV>
                <wp:extent cx="1828800" cy="1828800"/>
                <wp:effectExtent l="0" t="0" r="8255" b="13335"/>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dk1"/>
                        </a:lnRef>
                        <a:fillRef idx="1">
                          <a:schemeClr val="lt1"/>
                        </a:fillRef>
                        <a:effectRef idx="0">
                          <a:schemeClr val="dk1"/>
                        </a:effectRef>
                        <a:fontRef idx="minor">
                          <a:schemeClr val="dk1"/>
                        </a:fontRef>
                      </wps:style>
                      <wps:txbx>
                        <w:txbxContent>
                          <w:p w14:paraId="596887CC" w14:textId="372211B6" w:rsidR="002B7035" w:rsidRPr="002B7035" w:rsidRDefault="002B7035" w:rsidP="002B7035">
                            <w:pPr>
                              <w:rPr>
                                <w:rFonts w:ascii="Gill Sans MT" w:hAnsi="Gill Sans MT" w:cs="Times New Roman"/>
                                <w:b/>
                                <w:bCs/>
                              </w:rPr>
                            </w:pPr>
                            <w:r w:rsidRPr="002B7035">
                              <w:rPr>
                                <w:rFonts w:ascii="Gill Sans MT" w:hAnsi="Gill Sans MT" w:cs="Times New Roman"/>
                                <w:b/>
                                <w:bCs/>
                              </w:rPr>
                              <w:t>Grupos especialmente vulnerables y estándar de prisión preventiva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6D2DB9" id="Text Box 12" o:spid="_x0000_s1036" type="#_x0000_t202" style="position:absolute;left:0;text-align:left;margin-left:53.05pt;margin-top:347.45pt;width:2in;height:2in;z-index:251674624;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" fillcolor="white [3201]" strokecolor="black [3200]" strokeweight="1pt">
                <v:textbox style="mso-fit-shape-to-text:t">
                  <w:txbxContent>
                    <w:p w14:paraId="596887CC" w14:textId="372211B6" w:rsidR="002B7035" w:rsidRPr="002B7035" w:rsidRDefault="002B7035" w:rsidP="002B7035">
                      <w:pPr>
                        <w:rPr>
                          <w:rFonts w:ascii="Gill Sans MT" w:hAnsi="Gill Sans MT" w:cs="Times New Roman"/>
                          <w:b/>
                          <w:bCs/>
                        </w:rPr>
                      </w:pPr>
                      <w:r w:rsidRPr="002B7035">
                        <w:rPr>
                          <w:rFonts w:ascii="Gill Sans MT" w:hAnsi="Gill Sans MT" w:cs="Times New Roman"/>
                          <w:b/>
                          <w:bCs/>
                        </w:rPr>
                        <w:t>Grupos especialmente vulnerables y estándar de prisión preventiva</w:t>
                      </w:r>
                    </w:p>
                  </w:txbxContent>
                </v:textbox>
                <w10:wrap type="square" anchorx="margin" anchory="margin"/>
              </v:shape>
            </w:pict>
          </mc:Fallback>
        </mc:AlternateContent>
      </w:r>
    </w:p>
    <w:p w14:paraId="2AA9557B" w14:textId="5DE82BE5" w:rsidR="002B7035" w:rsidRDefault="002B7035" w:rsidP="004754CB">
      <w:pPr>
        <w:pStyle w:val="Sinespaciado"/>
        <w:jc w:val="both"/>
        <w:rPr>
          <w:rFonts w:ascii="Gill Sans MT" w:hAnsi="Gill Sans MT" w:cs="Times New Roman"/>
        </w:rPr>
      </w:pPr>
    </w:p>
    <w:p w14:paraId="2CDEE849" w14:textId="33CF0301" w:rsidR="002B7035" w:rsidRDefault="002B7035" w:rsidP="004754CB">
      <w:pPr>
        <w:pStyle w:val="Sinespaciado"/>
        <w:jc w:val="both"/>
        <w:rPr>
          <w:rFonts w:ascii="Gill Sans MT" w:hAnsi="Gill Sans MT" w:cs="Times New Roman"/>
        </w:rPr>
      </w:pPr>
    </w:p>
    <w:p w14:paraId="61C08818" w14:textId="61F6C770" w:rsidR="002B7035" w:rsidRDefault="002B7035" w:rsidP="004754CB">
      <w:pPr>
        <w:pStyle w:val="Sinespaciado"/>
        <w:jc w:val="both"/>
        <w:rPr>
          <w:rFonts w:ascii="Gill Sans MT" w:hAnsi="Gill Sans MT" w:cs="Times New Roman"/>
        </w:rPr>
      </w:pPr>
    </w:p>
    <w:p w14:paraId="22FF8E34" w14:textId="4056ECA0" w:rsidR="004754CB" w:rsidRPr="004E193D" w:rsidRDefault="004754CB" w:rsidP="004754CB">
      <w:pPr>
        <w:pStyle w:val="Sinespaciado"/>
        <w:jc w:val="both"/>
        <w:rPr>
          <w:rFonts w:ascii="Gill Sans MT" w:hAnsi="Gill Sans MT" w:cs="Times New Roman"/>
        </w:rPr>
      </w:pPr>
      <w:r w:rsidRPr="004E193D">
        <w:rPr>
          <w:rFonts w:ascii="Gill Sans MT" w:hAnsi="Gill Sans MT" w:cs="Times New Roman"/>
        </w:rPr>
        <w:t xml:space="preserve">La prisión preventiva impacta de manera desproporcionada a algunas categorías de personas, debido a las características personales y sociales que poseen. </w:t>
      </w:r>
    </w:p>
    <w:p w14:paraId="40FF3689" w14:textId="77777777" w:rsidR="004754CB" w:rsidRPr="00BB719E" w:rsidRDefault="004754CB" w:rsidP="004754CB">
      <w:pPr>
        <w:pStyle w:val="Sinespaciado"/>
        <w:jc w:val="both"/>
        <w:rPr>
          <w:rFonts w:ascii="Times New Roman" w:hAnsi="Times New Roman" w:cs="Times New Roman"/>
        </w:rPr>
      </w:pPr>
    </w:p>
    <w:p w14:paraId="436770A9" w14:textId="77777777" w:rsidR="002B7035" w:rsidRDefault="002B7035" w:rsidP="00B703B1">
      <w:pPr>
        <w:pStyle w:val="Sinespaciado"/>
        <w:numPr>
          <w:ilvl w:val="1"/>
          <w:numId w:val="1"/>
        </w:numPr>
        <w:jc w:val="both"/>
        <w:rPr>
          <w:rFonts w:ascii="Gill Sans MT" w:hAnsi="Gill Sans MT" w:cs="Times New Roman"/>
          <w:b/>
          <w:bCs/>
          <w:i/>
          <w:iCs/>
        </w:rPr>
        <w:sectPr w:rsidR="002B7035" w:rsidSect="002B7035">
          <w:headerReference w:type="default" r:id="rId7"/>
          <w:pgSz w:w="12240" w:h="15840"/>
          <w:pgMar w:top="1440" w:right="1440" w:bottom="1440" w:left="1440" w:header="274" w:footer="708" w:gutter="0"/>
          <w:cols w:space="708"/>
          <w:docGrid w:linePitch="360"/>
        </w:sectPr>
      </w:pPr>
    </w:p>
    <w:p w14:paraId="0CFD3D48" w14:textId="03D95390" w:rsidR="00B703B1" w:rsidRPr="00B703B1" w:rsidRDefault="00B703B1" w:rsidP="00B703B1">
      <w:pPr>
        <w:pStyle w:val="Sinespaciado"/>
        <w:numPr>
          <w:ilvl w:val="1"/>
          <w:numId w:val="1"/>
        </w:numPr>
        <w:jc w:val="both"/>
        <w:rPr>
          <w:rFonts w:ascii="Gill Sans MT" w:hAnsi="Gill Sans MT" w:cs="Times New Roman"/>
          <w:b/>
          <w:bCs/>
          <w:i/>
          <w:iCs/>
        </w:rPr>
      </w:pPr>
      <w:r w:rsidRPr="00B703B1">
        <w:rPr>
          <w:rFonts w:ascii="Gill Sans MT" w:hAnsi="Gill Sans MT" w:cs="Times New Roman"/>
          <w:b/>
          <w:bCs/>
          <w:i/>
          <w:iCs/>
        </w:rPr>
        <w:t xml:space="preserve">NNA: </w:t>
      </w:r>
    </w:p>
    <w:p w14:paraId="1A8F6CBC" w14:textId="77777777" w:rsidR="00B703B1" w:rsidRPr="00B703B1" w:rsidRDefault="00B703B1" w:rsidP="00B703B1">
      <w:pPr>
        <w:pStyle w:val="Sinespaciado"/>
        <w:jc w:val="both"/>
        <w:rPr>
          <w:rFonts w:ascii="Gill Sans MT" w:hAnsi="Gill Sans MT" w:cs="Times New Roman"/>
        </w:rPr>
      </w:pPr>
    </w:p>
    <w:p w14:paraId="19DBF0DA" w14:textId="6A24A308" w:rsidR="004754CB" w:rsidRPr="00B703B1" w:rsidRDefault="004754CB" w:rsidP="00B703B1">
      <w:pPr>
        <w:pStyle w:val="Sinespaciado"/>
        <w:jc w:val="both"/>
        <w:rPr>
          <w:rFonts w:ascii="Gill Sans MT" w:hAnsi="Gill Sans MT" w:cs="Times New Roman"/>
        </w:rPr>
      </w:pPr>
      <w:r w:rsidRPr="00B703B1">
        <w:rPr>
          <w:rFonts w:ascii="Gill Sans MT" w:hAnsi="Gill Sans MT" w:cs="Times New Roman"/>
        </w:rPr>
        <w:t xml:space="preserve">En relación con los NNA, la Corte IDH ha fijado estándares más estrictos para que proceda la restricción de la libertad, tomando en cuenta para ello su interés superior. El Tribunal Interamericano entró al análisis de esta materia en el </w:t>
      </w:r>
      <w:r w:rsidRPr="00B703B1">
        <w:rPr>
          <w:rFonts w:ascii="Gill Sans MT" w:hAnsi="Gill Sans MT" w:cs="Times New Roman"/>
          <w:i/>
          <w:iCs/>
        </w:rPr>
        <w:t>Caso del Instituto de Reeducación del Menor vs. Paraguay</w:t>
      </w:r>
      <w:r w:rsidRPr="00B703B1">
        <w:rPr>
          <w:rFonts w:ascii="Gill Sans MT" w:hAnsi="Gill Sans MT" w:cs="Times New Roman"/>
        </w:rPr>
        <w:t>. Acá, la Corte dispuso que a consecuencia del principio del interés superior, se requiere la adopción de medidas especiales para la protección de los NNA, atendida su especial condición de vulnerabilidad</w:t>
      </w:r>
      <w:r w:rsidRPr="00B703B1">
        <w:rPr>
          <w:rStyle w:val="Refdenotaalpie"/>
          <w:rFonts w:ascii="Gill Sans MT" w:hAnsi="Gill Sans MT" w:cs="Times New Roman"/>
        </w:rPr>
        <w:footnoteReference w:id="12"/>
      </w:r>
      <w:r w:rsidRPr="00B703B1">
        <w:rPr>
          <w:rFonts w:ascii="Gill Sans MT" w:hAnsi="Gill Sans MT" w:cs="Times New Roman"/>
        </w:rPr>
        <w:t xml:space="preserve">. En un caso posterior, la Corte IDH complementó los </w:t>
      </w:r>
      <w:r w:rsidRPr="00B703B1">
        <w:rPr>
          <w:rFonts w:ascii="Gill Sans MT" w:hAnsi="Gill Sans MT" w:cs="Times New Roman"/>
        </w:rPr>
        <w:t xml:space="preserve">estándares fijados en el caso contra Paraguay, y agregó que, </w:t>
      </w:r>
    </w:p>
    <w:p w14:paraId="25B38ED3" w14:textId="77777777" w:rsidR="004754CB" w:rsidRPr="00B703B1" w:rsidRDefault="004754CB" w:rsidP="004754CB">
      <w:pPr>
        <w:pStyle w:val="Sinespaciado"/>
        <w:jc w:val="both"/>
        <w:rPr>
          <w:rFonts w:ascii="Gill Sans MT" w:hAnsi="Gill Sans MT" w:cs="Times New Roman"/>
        </w:rPr>
      </w:pPr>
    </w:p>
    <w:p w14:paraId="747AEDE5" w14:textId="7A4CF7AE" w:rsidR="004754CB" w:rsidRPr="00B703B1" w:rsidRDefault="004754CB" w:rsidP="004754CB">
      <w:pPr>
        <w:pStyle w:val="Sinespaciado"/>
        <w:ind w:left="720" w:right="4"/>
        <w:jc w:val="both"/>
        <w:rPr>
          <w:rFonts w:ascii="Gill Sans MT" w:hAnsi="Gill Sans MT" w:cs="Times New Roman"/>
          <w:sz w:val="21"/>
          <w:szCs w:val="21"/>
        </w:rPr>
      </w:pPr>
      <w:r w:rsidRPr="00B703B1">
        <w:rPr>
          <w:rFonts w:ascii="Gill Sans MT" w:hAnsi="Gill Sans MT" w:cs="Times New Roman"/>
          <w:sz w:val="21"/>
          <w:szCs w:val="21"/>
        </w:rPr>
        <w:t xml:space="preserve">lo que respecta particularmente a medidas o penas privativas de la libertad de los </w:t>
      </w:r>
      <w:r w:rsidR="00B703B1" w:rsidRPr="00B703B1">
        <w:rPr>
          <w:rFonts w:ascii="Gill Sans MT" w:hAnsi="Gill Sans MT" w:cs="Times New Roman"/>
          <w:sz w:val="21"/>
          <w:szCs w:val="21"/>
        </w:rPr>
        <w:t>niños</w:t>
      </w:r>
      <w:r w:rsidRPr="00B703B1">
        <w:rPr>
          <w:rFonts w:ascii="Gill Sans MT" w:hAnsi="Gill Sans MT" w:cs="Times New Roman"/>
          <w:sz w:val="21"/>
          <w:szCs w:val="21"/>
        </w:rPr>
        <w:t xml:space="preserve">, aplican especialmente los siguientes principios: 1) de ultima ratio y de </w:t>
      </w:r>
      <w:r w:rsidR="00B703B1" w:rsidRPr="00B703B1">
        <w:rPr>
          <w:rFonts w:ascii="Gill Sans MT" w:hAnsi="Gill Sans MT" w:cs="Times New Roman"/>
          <w:sz w:val="21"/>
          <w:szCs w:val="21"/>
        </w:rPr>
        <w:t>máxima</w:t>
      </w:r>
      <w:r w:rsidRPr="00B703B1">
        <w:rPr>
          <w:rFonts w:ascii="Gill Sans MT" w:hAnsi="Gill Sans MT" w:cs="Times New Roman"/>
          <w:sz w:val="21"/>
          <w:szCs w:val="21"/>
        </w:rPr>
        <w:t xml:space="preserve"> brevedad, que en los </w:t>
      </w:r>
      <w:r w:rsidR="00B703B1" w:rsidRPr="00B703B1">
        <w:rPr>
          <w:rFonts w:ascii="Gill Sans MT" w:hAnsi="Gill Sans MT" w:cs="Times New Roman"/>
          <w:sz w:val="21"/>
          <w:szCs w:val="21"/>
        </w:rPr>
        <w:t>términos</w:t>
      </w:r>
      <w:r w:rsidRPr="00B703B1">
        <w:rPr>
          <w:rFonts w:ascii="Gill Sans MT" w:hAnsi="Gill Sans MT" w:cs="Times New Roman"/>
          <w:sz w:val="21"/>
          <w:szCs w:val="21"/>
        </w:rPr>
        <w:t xml:space="preserve"> del </w:t>
      </w:r>
      <w:r w:rsidR="00B703B1" w:rsidRPr="00B703B1">
        <w:rPr>
          <w:rFonts w:ascii="Gill Sans MT" w:hAnsi="Gill Sans MT" w:cs="Times New Roman"/>
          <w:sz w:val="21"/>
          <w:szCs w:val="21"/>
        </w:rPr>
        <w:t>artículo</w:t>
      </w:r>
      <w:r w:rsidRPr="00B703B1">
        <w:rPr>
          <w:rFonts w:ascii="Gill Sans MT" w:hAnsi="Gill Sans MT" w:cs="Times New Roman"/>
          <w:sz w:val="21"/>
          <w:szCs w:val="21"/>
        </w:rPr>
        <w:t xml:space="preserve"> 37.b) de la </w:t>
      </w:r>
      <w:r w:rsidR="00B703B1" w:rsidRPr="00B703B1">
        <w:rPr>
          <w:rFonts w:ascii="Gill Sans MT" w:hAnsi="Gill Sans MT" w:cs="Times New Roman"/>
          <w:sz w:val="21"/>
          <w:szCs w:val="21"/>
        </w:rPr>
        <w:t>Convención</w:t>
      </w:r>
      <w:r w:rsidRPr="00B703B1">
        <w:rPr>
          <w:rFonts w:ascii="Gill Sans MT" w:hAnsi="Gill Sans MT" w:cs="Times New Roman"/>
          <w:sz w:val="21"/>
          <w:szCs w:val="21"/>
        </w:rPr>
        <w:t xml:space="preserve"> sobre los Derechos del </w:t>
      </w:r>
      <w:r w:rsidR="00B703B1" w:rsidRPr="00B703B1">
        <w:rPr>
          <w:rFonts w:ascii="Gill Sans MT" w:hAnsi="Gill Sans MT" w:cs="Times New Roman"/>
          <w:sz w:val="21"/>
          <w:szCs w:val="21"/>
        </w:rPr>
        <w:t>Ni</w:t>
      </w:r>
      <w:r w:rsidR="00B703B1">
        <w:rPr>
          <w:rFonts w:ascii="Gill Sans MT" w:hAnsi="Gill Sans MT" w:cs="Times New Roman"/>
          <w:sz w:val="21"/>
          <w:szCs w:val="21"/>
        </w:rPr>
        <w:t>ñ</w:t>
      </w:r>
      <w:r w:rsidR="00B703B1" w:rsidRPr="00B703B1">
        <w:rPr>
          <w:rFonts w:ascii="Gill Sans MT" w:hAnsi="Gill Sans MT" w:cs="Times New Roman"/>
          <w:sz w:val="21"/>
          <w:szCs w:val="21"/>
        </w:rPr>
        <w:t>o</w:t>
      </w:r>
      <w:r w:rsidRPr="00B703B1">
        <w:rPr>
          <w:rFonts w:ascii="Gill Sans MT" w:hAnsi="Gill Sans MT" w:cs="Times New Roman"/>
          <w:sz w:val="21"/>
          <w:szCs w:val="21"/>
        </w:rPr>
        <w:t xml:space="preserve">, significa que “[l]a </w:t>
      </w:r>
      <w:r w:rsidR="00B703B1" w:rsidRPr="00B703B1">
        <w:rPr>
          <w:rFonts w:ascii="Gill Sans MT" w:hAnsi="Gill Sans MT" w:cs="Times New Roman"/>
          <w:sz w:val="21"/>
          <w:szCs w:val="21"/>
        </w:rPr>
        <w:t>detención</w:t>
      </w:r>
      <w:r w:rsidRPr="00B703B1">
        <w:rPr>
          <w:rFonts w:ascii="Gill Sans MT" w:hAnsi="Gill Sans MT" w:cs="Times New Roman"/>
          <w:sz w:val="21"/>
          <w:szCs w:val="21"/>
        </w:rPr>
        <w:t>, el</w:t>
      </w:r>
      <w:r w:rsidRPr="00B703B1">
        <w:rPr>
          <w:rFonts w:ascii="Gill Sans MT" w:hAnsi="Gill Sans MT" w:cs="Times New Roman"/>
          <w:sz w:val="21"/>
          <w:szCs w:val="21"/>
          <w:lang w:val="es-ES"/>
        </w:rPr>
        <w:t xml:space="preserve"> </w:t>
      </w:r>
      <w:r w:rsidRPr="00B703B1">
        <w:rPr>
          <w:rFonts w:ascii="Gill Sans MT" w:hAnsi="Gill Sans MT" w:cs="Times New Roman"/>
          <w:sz w:val="21"/>
          <w:szCs w:val="21"/>
        </w:rPr>
        <w:t xml:space="preserve">encarcelamiento o la </w:t>
      </w:r>
      <w:r w:rsidR="002B7035" w:rsidRPr="00B703B1">
        <w:rPr>
          <w:rFonts w:ascii="Gill Sans MT" w:hAnsi="Gill Sans MT" w:cs="Times New Roman"/>
          <w:sz w:val="21"/>
          <w:szCs w:val="21"/>
        </w:rPr>
        <w:t>prisión</w:t>
      </w:r>
      <w:r w:rsidRPr="00B703B1">
        <w:rPr>
          <w:rFonts w:ascii="Gill Sans MT" w:hAnsi="Gill Sans MT" w:cs="Times New Roman"/>
          <w:sz w:val="21"/>
          <w:szCs w:val="21"/>
        </w:rPr>
        <w:t xml:space="preserve"> de un </w:t>
      </w:r>
      <w:r w:rsidR="002B7035" w:rsidRPr="00B703B1">
        <w:rPr>
          <w:rFonts w:ascii="Gill Sans MT" w:hAnsi="Gill Sans MT" w:cs="Times New Roman"/>
          <w:sz w:val="21"/>
          <w:szCs w:val="21"/>
        </w:rPr>
        <w:t>niño</w:t>
      </w:r>
      <w:r w:rsidRPr="00B703B1">
        <w:rPr>
          <w:rFonts w:ascii="Gill Sans MT" w:hAnsi="Gill Sans MT" w:cs="Times New Roman"/>
          <w:sz w:val="21"/>
          <w:szCs w:val="21"/>
        </w:rPr>
        <w:t xml:space="preserve"> [...] se utilizará tan </w:t>
      </w:r>
      <w:r w:rsidR="00B703B1" w:rsidRPr="00B703B1">
        <w:rPr>
          <w:rFonts w:ascii="Gill Sans MT" w:hAnsi="Gill Sans MT" w:cs="Times New Roman"/>
          <w:sz w:val="21"/>
          <w:szCs w:val="21"/>
        </w:rPr>
        <w:t>sólo</w:t>
      </w:r>
      <w:r w:rsidRPr="00B703B1">
        <w:rPr>
          <w:rFonts w:ascii="Gill Sans MT" w:hAnsi="Gill Sans MT" w:cs="Times New Roman"/>
          <w:sz w:val="21"/>
          <w:szCs w:val="21"/>
        </w:rPr>
        <w:t xml:space="preserve"> como medida de </w:t>
      </w:r>
      <w:r w:rsidR="00B703B1" w:rsidRPr="00B703B1">
        <w:rPr>
          <w:rFonts w:ascii="Gill Sans MT" w:hAnsi="Gill Sans MT" w:cs="Times New Roman"/>
          <w:sz w:val="21"/>
          <w:szCs w:val="21"/>
        </w:rPr>
        <w:t>último</w:t>
      </w:r>
      <w:r w:rsidRPr="00B703B1">
        <w:rPr>
          <w:rFonts w:ascii="Gill Sans MT" w:hAnsi="Gill Sans MT" w:cs="Times New Roman"/>
          <w:sz w:val="21"/>
          <w:szCs w:val="21"/>
        </w:rPr>
        <w:t xml:space="preserve"> recurso y durante el </w:t>
      </w:r>
      <w:proofErr w:type="spellStart"/>
      <w:r w:rsidRPr="00B703B1">
        <w:rPr>
          <w:rFonts w:ascii="Gill Sans MT" w:hAnsi="Gill Sans MT" w:cs="Times New Roman"/>
          <w:sz w:val="21"/>
          <w:szCs w:val="21"/>
        </w:rPr>
        <w:lastRenderedPageBreak/>
        <w:t>período</w:t>
      </w:r>
      <w:proofErr w:type="spellEnd"/>
      <w:r w:rsidRPr="00B703B1">
        <w:rPr>
          <w:rFonts w:ascii="Gill Sans MT" w:hAnsi="Gill Sans MT" w:cs="Times New Roman"/>
          <w:sz w:val="21"/>
          <w:szCs w:val="21"/>
        </w:rPr>
        <w:t xml:space="preserve"> </w:t>
      </w:r>
      <w:proofErr w:type="spellStart"/>
      <w:r w:rsidRPr="00B703B1">
        <w:rPr>
          <w:rFonts w:ascii="Gill Sans MT" w:hAnsi="Gill Sans MT" w:cs="Times New Roman"/>
          <w:sz w:val="21"/>
          <w:szCs w:val="21"/>
        </w:rPr>
        <w:t>más</w:t>
      </w:r>
      <w:proofErr w:type="spellEnd"/>
      <w:r w:rsidRPr="00B703B1">
        <w:rPr>
          <w:rFonts w:ascii="Gill Sans MT" w:hAnsi="Gill Sans MT" w:cs="Times New Roman"/>
          <w:sz w:val="21"/>
          <w:szCs w:val="21"/>
        </w:rPr>
        <w:t xml:space="preserve"> breve que proceda”</w:t>
      </w:r>
      <w:r w:rsidRPr="00B703B1">
        <w:rPr>
          <w:rStyle w:val="Refdenotaalpie"/>
          <w:rFonts w:ascii="Gill Sans MT" w:hAnsi="Gill Sans MT" w:cs="Times New Roman"/>
          <w:sz w:val="21"/>
          <w:szCs w:val="21"/>
        </w:rPr>
        <w:footnoteReference w:id="13"/>
      </w:r>
      <w:r w:rsidRPr="00B703B1">
        <w:rPr>
          <w:rFonts w:ascii="Gill Sans MT" w:hAnsi="Gill Sans MT" w:cs="Times New Roman"/>
          <w:sz w:val="21"/>
          <w:szCs w:val="21"/>
        </w:rPr>
        <w:t xml:space="preserve">, 2) de </w:t>
      </w:r>
      <w:proofErr w:type="spellStart"/>
      <w:r w:rsidRPr="00B703B1">
        <w:rPr>
          <w:rFonts w:ascii="Gill Sans MT" w:hAnsi="Gill Sans MT" w:cs="Times New Roman"/>
          <w:sz w:val="21"/>
          <w:szCs w:val="21"/>
        </w:rPr>
        <w:t>delimitación</w:t>
      </w:r>
      <w:proofErr w:type="spellEnd"/>
      <w:r w:rsidRPr="00B703B1">
        <w:rPr>
          <w:rFonts w:ascii="Gill Sans MT" w:hAnsi="Gill Sans MT" w:cs="Times New Roman"/>
          <w:sz w:val="21"/>
          <w:szCs w:val="21"/>
        </w:rPr>
        <w:t xml:space="preserve"> temporal desde el momento de su </w:t>
      </w:r>
      <w:proofErr w:type="spellStart"/>
      <w:r w:rsidRPr="00B703B1">
        <w:rPr>
          <w:rFonts w:ascii="Gill Sans MT" w:hAnsi="Gill Sans MT" w:cs="Times New Roman"/>
          <w:sz w:val="21"/>
          <w:szCs w:val="21"/>
        </w:rPr>
        <w:t>imposición</w:t>
      </w:r>
      <w:proofErr w:type="spellEnd"/>
      <w:r w:rsidRPr="00B703B1">
        <w:rPr>
          <w:rFonts w:ascii="Gill Sans MT" w:hAnsi="Gill Sans MT" w:cs="Times New Roman"/>
          <w:sz w:val="21"/>
          <w:szCs w:val="21"/>
        </w:rPr>
        <w:t xml:space="preserve">, particularmente relacionado con los primeros, pues si la </w:t>
      </w:r>
      <w:proofErr w:type="spellStart"/>
      <w:r w:rsidRPr="00B703B1">
        <w:rPr>
          <w:rFonts w:ascii="Gill Sans MT" w:hAnsi="Gill Sans MT" w:cs="Times New Roman"/>
          <w:sz w:val="21"/>
          <w:szCs w:val="21"/>
        </w:rPr>
        <w:t>privación</w:t>
      </w:r>
      <w:proofErr w:type="spellEnd"/>
      <w:r w:rsidRPr="00B703B1">
        <w:rPr>
          <w:rFonts w:ascii="Gill Sans MT" w:hAnsi="Gill Sans MT" w:cs="Times New Roman"/>
          <w:sz w:val="21"/>
          <w:szCs w:val="21"/>
        </w:rPr>
        <w:t xml:space="preserve"> de la libertad debe ser excepcional y lo </w:t>
      </w:r>
      <w:proofErr w:type="spellStart"/>
      <w:r w:rsidRPr="00B703B1">
        <w:rPr>
          <w:rFonts w:ascii="Gill Sans MT" w:hAnsi="Gill Sans MT" w:cs="Times New Roman"/>
          <w:sz w:val="21"/>
          <w:szCs w:val="21"/>
        </w:rPr>
        <w:t>más</w:t>
      </w:r>
      <w:proofErr w:type="spellEnd"/>
      <w:r w:rsidRPr="00B703B1">
        <w:rPr>
          <w:rFonts w:ascii="Gill Sans MT" w:hAnsi="Gill Sans MT" w:cs="Times New Roman"/>
          <w:sz w:val="21"/>
          <w:szCs w:val="21"/>
        </w:rPr>
        <w:t xml:space="preserve"> breve posible, ello implica que las penas privativas de libertad cuya </w:t>
      </w:r>
      <w:proofErr w:type="spellStart"/>
      <w:r w:rsidRPr="00B703B1">
        <w:rPr>
          <w:rFonts w:ascii="Gill Sans MT" w:hAnsi="Gill Sans MT" w:cs="Times New Roman"/>
          <w:sz w:val="21"/>
          <w:szCs w:val="21"/>
        </w:rPr>
        <w:t>duración</w:t>
      </w:r>
      <w:proofErr w:type="spellEnd"/>
      <w:r w:rsidRPr="00B703B1">
        <w:rPr>
          <w:rFonts w:ascii="Gill Sans MT" w:hAnsi="Gill Sans MT" w:cs="Times New Roman"/>
          <w:sz w:val="21"/>
          <w:szCs w:val="21"/>
        </w:rPr>
        <w:t xml:space="preserve"> sea indeterminada o que impliquen la </w:t>
      </w:r>
      <w:proofErr w:type="spellStart"/>
      <w:r w:rsidRPr="00B703B1">
        <w:rPr>
          <w:rFonts w:ascii="Gill Sans MT" w:hAnsi="Gill Sans MT" w:cs="Times New Roman"/>
          <w:sz w:val="21"/>
          <w:szCs w:val="21"/>
        </w:rPr>
        <w:t>privación</w:t>
      </w:r>
      <w:proofErr w:type="spellEnd"/>
      <w:r w:rsidRPr="00B703B1">
        <w:rPr>
          <w:rFonts w:ascii="Gill Sans MT" w:hAnsi="Gill Sans MT" w:cs="Times New Roman"/>
          <w:sz w:val="21"/>
          <w:szCs w:val="21"/>
        </w:rPr>
        <w:t xml:space="preserve"> de dicho derecho de forma absoluta no deben ser aplicadas a los </w:t>
      </w:r>
      <w:proofErr w:type="spellStart"/>
      <w:r w:rsidRPr="00B703B1">
        <w:rPr>
          <w:rFonts w:ascii="Gill Sans MT" w:hAnsi="Gill Sans MT" w:cs="Times New Roman"/>
          <w:sz w:val="21"/>
          <w:szCs w:val="21"/>
        </w:rPr>
        <w:t>niños</w:t>
      </w:r>
      <w:proofErr w:type="spellEnd"/>
      <w:r w:rsidRPr="00B703B1">
        <w:rPr>
          <w:rFonts w:ascii="Gill Sans MT" w:hAnsi="Gill Sans MT" w:cs="Times New Roman"/>
          <w:sz w:val="21"/>
          <w:szCs w:val="21"/>
        </w:rPr>
        <w:t xml:space="preserve">, y 3) la </w:t>
      </w:r>
      <w:proofErr w:type="spellStart"/>
      <w:r w:rsidRPr="00B703B1">
        <w:rPr>
          <w:rFonts w:ascii="Gill Sans MT" w:hAnsi="Gill Sans MT" w:cs="Times New Roman"/>
          <w:sz w:val="21"/>
          <w:szCs w:val="21"/>
        </w:rPr>
        <w:t>revisión</w:t>
      </w:r>
      <w:proofErr w:type="spellEnd"/>
      <w:r w:rsidRPr="00B703B1">
        <w:rPr>
          <w:rFonts w:ascii="Gill Sans MT" w:hAnsi="Gill Sans MT" w:cs="Times New Roman"/>
          <w:sz w:val="21"/>
          <w:szCs w:val="21"/>
        </w:rPr>
        <w:t xml:space="preserve"> </w:t>
      </w:r>
      <w:proofErr w:type="spellStart"/>
      <w:r w:rsidRPr="00B703B1">
        <w:rPr>
          <w:rFonts w:ascii="Gill Sans MT" w:hAnsi="Gill Sans MT" w:cs="Times New Roman"/>
          <w:sz w:val="21"/>
          <w:szCs w:val="21"/>
        </w:rPr>
        <w:t>periódica</w:t>
      </w:r>
      <w:proofErr w:type="spellEnd"/>
      <w:r w:rsidRPr="00B703B1">
        <w:rPr>
          <w:rFonts w:ascii="Gill Sans MT" w:hAnsi="Gill Sans MT" w:cs="Times New Roman"/>
          <w:sz w:val="21"/>
          <w:szCs w:val="21"/>
        </w:rPr>
        <w:t xml:space="preserve"> de las medidas de </w:t>
      </w:r>
      <w:proofErr w:type="spellStart"/>
      <w:r w:rsidRPr="00B703B1">
        <w:rPr>
          <w:rFonts w:ascii="Gill Sans MT" w:hAnsi="Gill Sans MT" w:cs="Times New Roman"/>
          <w:sz w:val="21"/>
          <w:szCs w:val="21"/>
        </w:rPr>
        <w:t>privación</w:t>
      </w:r>
      <w:proofErr w:type="spellEnd"/>
      <w:r w:rsidRPr="00B703B1">
        <w:rPr>
          <w:rFonts w:ascii="Gill Sans MT" w:hAnsi="Gill Sans MT" w:cs="Times New Roman"/>
          <w:sz w:val="21"/>
          <w:szCs w:val="21"/>
        </w:rPr>
        <w:t xml:space="preserve"> de libertad de los </w:t>
      </w:r>
      <w:proofErr w:type="spellStart"/>
      <w:r w:rsidRPr="00B703B1">
        <w:rPr>
          <w:rFonts w:ascii="Gill Sans MT" w:hAnsi="Gill Sans MT" w:cs="Times New Roman"/>
          <w:sz w:val="21"/>
          <w:szCs w:val="21"/>
        </w:rPr>
        <w:t>niños</w:t>
      </w:r>
      <w:proofErr w:type="spellEnd"/>
      <w:r w:rsidRPr="00B703B1">
        <w:rPr>
          <w:rFonts w:ascii="Gill Sans MT" w:hAnsi="Gill Sans MT" w:cs="Times New Roman"/>
          <w:sz w:val="21"/>
          <w:szCs w:val="21"/>
        </w:rPr>
        <w:t xml:space="preserve">. Al respecto, si las circunstancias han cambiado y ya no es necesaria su </w:t>
      </w:r>
      <w:proofErr w:type="spellStart"/>
      <w:r w:rsidRPr="00B703B1">
        <w:rPr>
          <w:rFonts w:ascii="Gill Sans MT" w:hAnsi="Gill Sans MT" w:cs="Times New Roman"/>
          <w:sz w:val="21"/>
          <w:szCs w:val="21"/>
        </w:rPr>
        <w:t>reclusión</w:t>
      </w:r>
      <w:proofErr w:type="spellEnd"/>
      <w:r w:rsidRPr="00B703B1">
        <w:rPr>
          <w:rFonts w:ascii="Gill Sans MT" w:hAnsi="Gill Sans MT" w:cs="Times New Roman"/>
          <w:sz w:val="21"/>
          <w:szCs w:val="21"/>
        </w:rPr>
        <w:t xml:space="preserve">, es deber de los Estados poner a los </w:t>
      </w:r>
      <w:proofErr w:type="spellStart"/>
      <w:r w:rsidRPr="00B703B1">
        <w:rPr>
          <w:rFonts w:ascii="Gill Sans MT" w:hAnsi="Gill Sans MT" w:cs="Times New Roman"/>
          <w:sz w:val="21"/>
          <w:szCs w:val="21"/>
        </w:rPr>
        <w:t>niños</w:t>
      </w:r>
      <w:proofErr w:type="spellEnd"/>
      <w:r w:rsidRPr="00B703B1">
        <w:rPr>
          <w:rFonts w:ascii="Gill Sans MT" w:hAnsi="Gill Sans MT" w:cs="Times New Roman"/>
          <w:sz w:val="21"/>
          <w:szCs w:val="21"/>
        </w:rPr>
        <w:t xml:space="preserve"> en libertad, aun cuando no hayan cumplido la pena establecida en cada caso concreto. A estos efectos, los Estados deben establecer en su </w:t>
      </w:r>
      <w:proofErr w:type="spellStart"/>
      <w:r w:rsidRPr="00B703B1">
        <w:rPr>
          <w:rFonts w:ascii="Gill Sans MT" w:hAnsi="Gill Sans MT" w:cs="Times New Roman"/>
          <w:sz w:val="21"/>
          <w:szCs w:val="21"/>
        </w:rPr>
        <w:t>legislación</w:t>
      </w:r>
      <w:proofErr w:type="spellEnd"/>
      <w:r w:rsidRPr="00B703B1">
        <w:rPr>
          <w:rFonts w:ascii="Gill Sans MT" w:hAnsi="Gill Sans MT" w:cs="Times New Roman"/>
          <w:sz w:val="21"/>
          <w:szCs w:val="21"/>
        </w:rPr>
        <w:t xml:space="preserve"> programas de libertad anticipada. Sobre este punto, el </w:t>
      </w:r>
      <w:proofErr w:type="spellStart"/>
      <w:r w:rsidRPr="00B703B1">
        <w:rPr>
          <w:rFonts w:ascii="Gill Sans MT" w:hAnsi="Gill Sans MT" w:cs="Times New Roman"/>
          <w:sz w:val="21"/>
          <w:szCs w:val="21"/>
        </w:rPr>
        <w:t>Comite</w:t>
      </w:r>
      <w:proofErr w:type="spellEnd"/>
      <w:r w:rsidRPr="00B703B1">
        <w:rPr>
          <w:rFonts w:ascii="Gill Sans MT" w:hAnsi="Gill Sans MT" w:cs="Times New Roman"/>
          <w:sz w:val="21"/>
          <w:szCs w:val="21"/>
        </w:rPr>
        <w:t xml:space="preserve">́ de los Derechos del </w:t>
      </w:r>
      <w:proofErr w:type="spellStart"/>
      <w:r w:rsidRPr="00B703B1">
        <w:rPr>
          <w:rFonts w:ascii="Gill Sans MT" w:hAnsi="Gill Sans MT" w:cs="Times New Roman"/>
          <w:sz w:val="21"/>
          <w:szCs w:val="21"/>
        </w:rPr>
        <w:t>Niño</w:t>
      </w:r>
      <w:proofErr w:type="spellEnd"/>
      <w:r w:rsidRPr="00B703B1">
        <w:rPr>
          <w:rFonts w:ascii="Gill Sans MT" w:hAnsi="Gill Sans MT" w:cs="Times New Roman"/>
          <w:sz w:val="21"/>
          <w:szCs w:val="21"/>
        </w:rPr>
        <w:t xml:space="preserve">, con base en el </w:t>
      </w:r>
      <w:proofErr w:type="spellStart"/>
      <w:r w:rsidRPr="00B703B1">
        <w:rPr>
          <w:rFonts w:ascii="Gill Sans MT" w:hAnsi="Gill Sans MT" w:cs="Times New Roman"/>
          <w:sz w:val="21"/>
          <w:szCs w:val="21"/>
        </w:rPr>
        <w:t>artículo</w:t>
      </w:r>
      <w:proofErr w:type="spellEnd"/>
      <w:r w:rsidRPr="00B703B1">
        <w:rPr>
          <w:rFonts w:ascii="Gill Sans MT" w:hAnsi="Gill Sans MT" w:cs="Times New Roman"/>
          <w:sz w:val="21"/>
          <w:szCs w:val="21"/>
        </w:rPr>
        <w:t xml:space="preserve"> 25 de la </w:t>
      </w:r>
      <w:proofErr w:type="spellStart"/>
      <w:r w:rsidRPr="00B703B1">
        <w:rPr>
          <w:rFonts w:ascii="Gill Sans MT" w:hAnsi="Gill Sans MT" w:cs="Times New Roman"/>
          <w:sz w:val="21"/>
          <w:szCs w:val="21"/>
        </w:rPr>
        <w:t>Convención</w:t>
      </w:r>
      <w:proofErr w:type="spellEnd"/>
      <w:r w:rsidRPr="00B703B1">
        <w:rPr>
          <w:rFonts w:ascii="Gill Sans MT" w:hAnsi="Gill Sans MT" w:cs="Times New Roman"/>
          <w:sz w:val="21"/>
          <w:szCs w:val="21"/>
        </w:rPr>
        <w:t xml:space="preserve"> sobre los Derechos del </w:t>
      </w:r>
      <w:proofErr w:type="spellStart"/>
      <w:r w:rsidRPr="00B703B1">
        <w:rPr>
          <w:rFonts w:ascii="Gill Sans MT" w:hAnsi="Gill Sans MT" w:cs="Times New Roman"/>
          <w:sz w:val="21"/>
          <w:szCs w:val="21"/>
        </w:rPr>
        <w:t>Niño</w:t>
      </w:r>
      <w:proofErr w:type="spellEnd"/>
      <w:r w:rsidRPr="00B703B1">
        <w:rPr>
          <w:rFonts w:ascii="Gill Sans MT" w:hAnsi="Gill Sans MT" w:cs="Times New Roman"/>
          <w:sz w:val="21"/>
          <w:szCs w:val="21"/>
        </w:rPr>
        <w:t xml:space="preserve">, que </w:t>
      </w:r>
      <w:proofErr w:type="spellStart"/>
      <w:r w:rsidRPr="00B703B1">
        <w:rPr>
          <w:rFonts w:ascii="Gill Sans MT" w:hAnsi="Gill Sans MT" w:cs="Times New Roman"/>
          <w:sz w:val="21"/>
          <w:szCs w:val="21"/>
        </w:rPr>
        <w:t>preve</w:t>
      </w:r>
      <w:proofErr w:type="spellEnd"/>
      <w:r w:rsidRPr="00B703B1">
        <w:rPr>
          <w:rFonts w:ascii="Gill Sans MT" w:hAnsi="Gill Sans MT" w:cs="Times New Roman"/>
          <w:sz w:val="21"/>
          <w:szCs w:val="21"/>
        </w:rPr>
        <w:t xml:space="preserve">́ la </w:t>
      </w:r>
      <w:proofErr w:type="spellStart"/>
      <w:r w:rsidRPr="00B703B1">
        <w:rPr>
          <w:rFonts w:ascii="Gill Sans MT" w:hAnsi="Gill Sans MT" w:cs="Times New Roman"/>
          <w:sz w:val="21"/>
          <w:szCs w:val="21"/>
        </w:rPr>
        <w:t>revisión</w:t>
      </w:r>
      <w:proofErr w:type="spellEnd"/>
      <w:r w:rsidRPr="00B703B1">
        <w:rPr>
          <w:rFonts w:ascii="Gill Sans MT" w:hAnsi="Gill Sans MT" w:cs="Times New Roman"/>
          <w:sz w:val="21"/>
          <w:szCs w:val="21"/>
        </w:rPr>
        <w:t xml:space="preserve"> </w:t>
      </w:r>
      <w:proofErr w:type="spellStart"/>
      <w:r w:rsidRPr="00B703B1">
        <w:rPr>
          <w:rFonts w:ascii="Gill Sans MT" w:hAnsi="Gill Sans MT" w:cs="Times New Roman"/>
          <w:sz w:val="21"/>
          <w:szCs w:val="21"/>
        </w:rPr>
        <w:t>periódica</w:t>
      </w:r>
      <w:proofErr w:type="spellEnd"/>
      <w:r w:rsidRPr="00B703B1">
        <w:rPr>
          <w:rFonts w:ascii="Gill Sans MT" w:hAnsi="Gill Sans MT" w:cs="Times New Roman"/>
          <w:sz w:val="21"/>
          <w:szCs w:val="21"/>
        </w:rPr>
        <w:t xml:space="preserve"> de las medidas que implican la </w:t>
      </w:r>
      <w:proofErr w:type="spellStart"/>
      <w:r w:rsidRPr="00B703B1">
        <w:rPr>
          <w:rFonts w:ascii="Gill Sans MT" w:hAnsi="Gill Sans MT" w:cs="Times New Roman"/>
          <w:sz w:val="21"/>
          <w:szCs w:val="21"/>
        </w:rPr>
        <w:t>privación</w:t>
      </w:r>
      <w:proofErr w:type="spellEnd"/>
      <w:r w:rsidRPr="00B703B1">
        <w:rPr>
          <w:rFonts w:ascii="Gill Sans MT" w:hAnsi="Gill Sans MT" w:cs="Times New Roman"/>
          <w:sz w:val="21"/>
          <w:szCs w:val="21"/>
        </w:rPr>
        <w:t xml:space="preserve"> de libertad, ha establecido que “la posibilidad de la puesta en libertad </w:t>
      </w:r>
      <w:proofErr w:type="spellStart"/>
      <w:r w:rsidRPr="00B703B1">
        <w:rPr>
          <w:rFonts w:ascii="Gill Sans MT" w:hAnsi="Gill Sans MT" w:cs="Times New Roman"/>
          <w:sz w:val="21"/>
          <w:szCs w:val="21"/>
        </w:rPr>
        <w:t>debera</w:t>
      </w:r>
      <w:proofErr w:type="spellEnd"/>
      <w:r w:rsidRPr="00B703B1">
        <w:rPr>
          <w:rFonts w:ascii="Gill Sans MT" w:hAnsi="Gill Sans MT" w:cs="Times New Roman"/>
          <w:sz w:val="21"/>
          <w:szCs w:val="21"/>
        </w:rPr>
        <w:t xml:space="preserve">́ ser realista y objeto de examen </w:t>
      </w:r>
      <w:proofErr w:type="spellStart"/>
      <w:r w:rsidRPr="00B703B1">
        <w:rPr>
          <w:rFonts w:ascii="Gill Sans MT" w:hAnsi="Gill Sans MT" w:cs="Times New Roman"/>
          <w:sz w:val="21"/>
          <w:szCs w:val="21"/>
        </w:rPr>
        <w:t>periódico</w:t>
      </w:r>
      <w:proofErr w:type="spellEnd"/>
      <w:r w:rsidRPr="00B703B1">
        <w:rPr>
          <w:rFonts w:ascii="Gill Sans MT" w:hAnsi="Gill Sans MT" w:cs="Times New Roman"/>
          <w:sz w:val="21"/>
          <w:szCs w:val="21"/>
          <w:lang w:val="es-ES"/>
        </w:rPr>
        <w:t>”</w:t>
      </w:r>
      <w:r w:rsidRPr="00B703B1">
        <w:rPr>
          <w:rStyle w:val="Refdenotaalpie"/>
          <w:rFonts w:ascii="Gill Sans MT" w:hAnsi="Gill Sans MT" w:cs="Times New Roman"/>
          <w:sz w:val="21"/>
          <w:szCs w:val="21"/>
          <w:lang w:val="es-ES"/>
        </w:rPr>
        <w:footnoteReference w:id="14"/>
      </w:r>
      <w:r w:rsidRPr="00B703B1">
        <w:rPr>
          <w:rFonts w:ascii="Gill Sans MT" w:hAnsi="Gill Sans MT" w:cs="Times New Roman"/>
          <w:sz w:val="21"/>
          <w:szCs w:val="21"/>
        </w:rPr>
        <w:t>.</w:t>
      </w:r>
      <w:r w:rsidRPr="00B703B1">
        <w:rPr>
          <w:rStyle w:val="Refdenotaalpie"/>
          <w:rFonts w:ascii="Gill Sans MT" w:hAnsi="Gill Sans MT" w:cs="Times New Roman"/>
          <w:sz w:val="21"/>
          <w:szCs w:val="21"/>
        </w:rPr>
        <w:footnoteReference w:id="15"/>
      </w:r>
      <w:r w:rsidRPr="00B703B1">
        <w:rPr>
          <w:rFonts w:ascii="Gill Sans MT" w:hAnsi="Gill Sans MT" w:cs="Times New Roman"/>
          <w:sz w:val="21"/>
          <w:szCs w:val="21"/>
        </w:rPr>
        <w:t xml:space="preserve"> </w:t>
      </w:r>
    </w:p>
    <w:p w14:paraId="7F0DED2E" w14:textId="77777777" w:rsidR="00B703B1" w:rsidRDefault="00B703B1" w:rsidP="00B703B1">
      <w:pPr>
        <w:pStyle w:val="Sinespaciado"/>
        <w:ind w:left="1440"/>
        <w:jc w:val="both"/>
        <w:rPr>
          <w:rFonts w:ascii="Gill Sans MT" w:hAnsi="Gill Sans MT" w:cs="Times New Roman"/>
        </w:rPr>
      </w:pPr>
    </w:p>
    <w:p w14:paraId="2B0561B4" w14:textId="3A9EF446" w:rsidR="004754CB" w:rsidRPr="00B703B1" w:rsidRDefault="00B703B1" w:rsidP="00B703B1">
      <w:pPr>
        <w:pStyle w:val="Sinespaciado"/>
        <w:numPr>
          <w:ilvl w:val="1"/>
          <w:numId w:val="1"/>
        </w:numPr>
        <w:jc w:val="both"/>
        <w:rPr>
          <w:rFonts w:ascii="Gill Sans MT" w:hAnsi="Gill Sans MT" w:cs="Times New Roman"/>
          <w:b/>
          <w:bCs/>
          <w:i/>
          <w:iCs/>
        </w:rPr>
      </w:pPr>
      <w:r w:rsidRPr="00B703B1">
        <w:rPr>
          <w:rFonts w:ascii="Gill Sans MT" w:hAnsi="Gill Sans MT" w:cs="Times New Roman"/>
          <w:b/>
          <w:bCs/>
          <w:i/>
          <w:iCs/>
        </w:rPr>
        <w:t xml:space="preserve">Mujeres: </w:t>
      </w:r>
    </w:p>
    <w:p w14:paraId="046B1B17" w14:textId="77777777" w:rsidR="00B703B1" w:rsidRPr="00B703B1" w:rsidRDefault="00B703B1" w:rsidP="004754CB">
      <w:pPr>
        <w:pStyle w:val="Sinespaciado"/>
        <w:jc w:val="both"/>
        <w:rPr>
          <w:rFonts w:ascii="Gill Sans MT" w:hAnsi="Gill Sans MT" w:cs="Times New Roman"/>
        </w:rPr>
      </w:pPr>
    </w:p>
    <w:p w14:paraId="08820572" w14:textId="77777777" w:rsidR="004754CB" w:rsidRPr="00B703B1" w:rsidRDefault="004754CB" w:rsidP="004754CB">
      <w:pPr>
        <w:pStyle w:val="Sinespaciado"/>
        <w:jc w:val="both"/>
        <w:rPr>
          <w:rFonts w:ascii="Gill Sans MT" w:hAnsi="Gill Sans MT" w:cs="Times New Roman"/>
        </w:rPr>
      </w:pPr>
      <w:r w:rsidRPr="00B703B1">
        <w:rPr>
          <w:rFonts w:ascii="Gill Sans MT" w:hAnsi="Gill Sans MT" w:cs="Times New Roman"/>
        </w:rPr>
        <w:t>En cuanto a la protección de las mujeres que enfrentan el sistema de justicia y que arriesgan medidas privativas o restrictivas de libertad, el Comité CEDAW de Naciones Unidas, en su Recomendación General No. 33, señaló que las mujeres suelen sufrir discriminación en el ámbito del sistema de justicia criminal, que se traducen en:</w:t>
      </w:r>
    </w:p>
    <w:p w14:paraId="7F178BBA" w14:textId="77777777" w:rsidR="004754CB" w:rsidRPr="00B703B1" w:rsidRDefault="004754CB" w:rsidP="004754CB">
      <w:pPr>
        <w:pStyle w:val="Sinespaciado"/>
        <w:jc w:val="both"/>
        <w:rPr>
          <w:rFonts w:ascii="Gill Sans MT" w:hAnsi="Gill Sans MT" w:cs="Times New Roman"/>
        </w:rPr>
      </w:pPr>
    </w:p>
    <w:p w14:paraId="455849F1" w14:textId="77777777" w:rsidR="004754CB" w:rsidRPr="00B703B1" w:rsidRDefault="004754CB" w:rsidP="004754CB">
      <w:pPr>
        <w:pStyle w:val="Sinespaciado"/>
        <w:ind w:left="720" w:right="4"/>
        <w:jc w:val="both"/>
        <w:rPr>
          <w:rFonts w:ascii="Gill Sans MT" w:hAnsi="Gill Sans MT" w:cs="Times New Roman"/>
          <w:sz w:val="21"/>
          <w:szCs w:val="21"/>
        </w:rPr>
      </w:pPr>
      <w:r w:rsidRPr="00B703B1">
        <w:rPr>
          <w:rFonts w:ascii="Gill Sans MT" w:hAnsi="Gill Sans MT" w:cs="Times New Roman"/>
          <w:sz w:val="21"/>
          <w:szCs w:val="21"/>
        </w:rPr>
        <w:t>a) falta de alternativas a la detención no privativas de la libertad que tengan en cuenta la perspectiva de género, b) imposibilidad de satisfacer necesidades específicas de las mujeres detenidas, y c) falta de mecanismos de examen independientes, de supervisión y que tengan en cuenta la perspectiva de género</w:t>
      </w:r>
      <w:r w:rsidRPr="00B703B1">
        <w:rPr>
          <w:rStyle w:val="Refdenotaalpie"/>
          <w:rFonts w:ascii="Gill Sans MT" w:hAnsi="Gill Sans MT" w:cs="Times New Roman"/>
          <w:sz w:val="21"/>
          <w:szCs w:val="21"/>
        </w:rPr>
        <w:footnoteReference w:id="16"/>
      </w:r>
      <w:r w:rsidRPr="00B703B1">
        <w:rPr>
          <w:rFonts w:ascii="Gill Sans MT" w:hAnsi="Gill Sans MT" w:cs="Times New Roman"/>
          <w:sz w:val="21"/>
          <w:szCs w:val="21"/>
        </w:rPr>
        <w:t>. La victimización secundaria de la mujer por el sistema de justicia penal tiene efectos sobre su acceso a la justicia, debido a su alto grado de vulnerabilidad al abuso mental y físico y a las amenazas durante el arresto, la interrogación y la detención.</w:t>
      </w:r>
      <w:r w:rsidRPr="00B703B1">
        <w:rPr>
          <w:rStyle w:val="Refdenotaalpie"/>
          <w:rFonts w:ascii="Gill Sans MT" w:hAnsi="Gill Sans MT" w:cs="Times New Roman"/>
          <w:sz w:val="21"/>
          <w:szCs w:val="21"/>
        </w:rPr>
        <w:footnoteReference w:id="17"/>
      </w:r>
    </w:p>
    <w:p w14:paraId="671987A1" w14:textId="77777777" w:rsidR="004754CB" w:rsidRPr="00B703B1" w:rsidRDefault="004754CB" w:rsidP="004754CB">
      <w:pPr>
        <w:pStyle w:val="Sinespaciado"/>
        <w:jc w:val="both"/>
        <w:rPr>
          <w:rFonts w:ascii="Gill Sans MT" w:hAnsi="Gill Sans MT" w:cs="Times New Roman"/>
        </w:rPr>
      </w:pPr>
    </w:p>
    <w:p w14:paraId="5975069A" w14:textId="77777777" w:rsidR="004754CB" w:rsidRPr="00B703B1" w:rsidRDefault="004754CB" w:rsidP="004754CB">
      <w:pPr>
        <w:pStyle w:val="Sinespaciado"/>
        <w:jc w:val="both"/>
        <w:rPr>
          <w:rFonts w:ascii="Gill Sans MT" w:hAnsi="Gill Sans MT" w:cs="Times New Roman"/>
        </w:rPr>
      </w:pPr>
      <w:r w:rsidRPr="00B703B1">
        <w:rPr>
          <w:rFonts w:ascii="Gill Sans MT" w:hAnsi="Gill Sans MT" w:cs="Times New Roman"/>
        </w:rPr>
        <w:t xml:space="preserve">El Comité CEDAW, en esta misma Recomendación General, destacó el impacto desproporcionado de las mujeres que sufren la persecución penal y que practican la prostitución; migrantes; lesbianas; bisexuales; </w:t>
      </w:r>
      <w:proofErr w:type="spellStart"/>
      <w:r w:rsidRPr="00B703B1">
        <w:rPr>
          <w:rFonts w:ascii="Gill Sans MT" w:hAnsi="Gill Sans MT" w:cs="Times New Roman"/>
        </w:rPr>
        <w:t>intersex</w:t>
      </w:r>
      <w:proofErr w:type="spellEnd"/>
      <w:r w:rsidRPr="00B703B1">
        <w:rPr>
          <w:rFonts w:ascii="Gill Sans MT" w:hAnsi="Gill Sans MT" w:cs="Times New Roman"/>
        </w:rPr>
        <w:t>; y, las que se someten a abortos o forman parte de grupos que hacen frente a la discriminación. Por último, el Comité alienta a los Estados a usar la detención preventiva como último recurso y por el período más corto posible, evitando así uso. Sobre todo cuando se trata de delitos menores o por la imposibilidad de satisfacer el pago de la fianza</w:t>
      </w:r>
      <w:r w:rsidRPr="00B703B1">
        <w:rPr>
          <w:rStyle w:val="Refdenotaalpie"/>
          <w:rFonts w:ascii="Gill Sans MT" w:hAnsi="Gill Sans MT" w:cs="Times New Roman"/>
        </w:rPr>
        <w:footnoteReference w:id="18"/>
      </w:r>
      <w:r w:rsidRPr="00B703B1">
        <w:rPr>
          <w:rFonts w:ascii="Gill Sans MT" w:hAnsi="Gill Sans MT" w:cs="Times New Roman"/>
        </w:rPr>
        <w:t xml:space="preserve">. </w:t>
      </w:r>
    </w:p>
    <w:p w14:paraId="798B16FC" w14:textId="77777777" w:rsidR="004754CB" w:rsidRPr="00B703B1" w:rsidRDefault="004754CB" w:rsidP="004754CB">
      <w:pPr>
        <w:pStyle w:val="Sinespaciado"/>
        <w:jc w:val="both"/>
        <w:rPr>
          <w:rFonts w:ascii="Gill Sans MT" w:hAnsi="Gill Sans MT" w:cs="Times New Roman"/>
        </w:rPr>
      </w:pPr>
    </w:p>
    <w:p w14:paraId="16C39D74" w14:textId="19B909EA" w:rsidR="00B703B1" w:rsidRPr="00B703B1" w:rsidRDefault="00B703B1" w:rsidP="00B703B1">
      <w:pPr>
        <w:pStyle w:val="Sinespaciado"/>
        <w:numPr>
          <w:ilvl w:val="1"/>
          <w:numId w:val="1"/>
        </w:numPr>
        <w:jc w:val="both"/>
        <w:rPr>
          <w:rFonts w:ascii="Gill Sans MT" w:hAnsi="Gill Sans MT" w:cs="Times New Roman"/>
          <w:b/>
          <w:bCs/>
          <w:i/>
          <w:iCs/>
        </w:rPr>
      </w:pPr>
      <w:r>
        <w:rPr>
          <w:rFonts w:ascii="Gill Sans MT" w:hAnsi="Gill Sans MT" w:cs="Times New Roman"/>
          <w:b/>
          <w:bCs/>
          <w:i/>
          <w:iCs/>
        </w:rPr>
        <w:t>Extranjeros:</w:t>
      </w:r>
    </w:p>
    <w:p w14:paraId="5AE0175C" w14:textId="77777777" w:rsidR="00B703B1" w:rsidRDefault="00B703B1" w:rsidP="00B703B1">
      <w:pPr>
        <w:pStyle w:val="Sinespaciado"/>
        <w:jc w:val="both"/>
        <w:rPr>
          <w:rFonts w:ascii="Gill Sans MT" w:hAnsi="Gill Sans MT" w:cs="Times New Roman"/>
        </w:rPr>
      </w:pPr>
    </w:p>
    <w:p w14:paraId="67FDC7F7" w14:textId="697C268E" w:rsidR="004754CB" w:rsidRPr="00B703B1" w:rsidRDefault="004754CB" w:rsidP="00B703B1">
      <w:pPr>
        <w:pStyle w:val="Sinespaciado"/>
        <w:jc w:val="both"/>
        <w:rPr>
          <w:rFonts w:ascii="Gill Sans MT" w:hAnsi="Gill Sans MT" w:cs="Times New Roman"/>
        </w:rPr>
      </w:pPr>
      <w:r w:rsidRPr="00B703B1">
        <w:rPr>
          <w:rFonts w:ascii="Gill Sans MT" w:hAnsi="Gill Sans MT" w:cs="Times New Roman"/>
        </w:rPr>
        <w:t xml:space="preserve">En materia de personas migrantes o extranjeras, es común el empleo de su condición de regularidad para disponer medidas cautelares privativas o restrictivas de la libertad. Sin embargo, tal como se vio más arriba, las características personales del imputado, no pueden ser consideradas en sí mismas, para disponer una medida de este tipo. El peligro </w:t>
      </w:r>
      <w:r w:rsidRPr="00B703B1">
        <w:rPr>
          <w:rFonts w:ascii="Gill Sans MT" w:hAnsi="Gill Sans MT" w:cs="Times New Roman"/>
        </w:rPr>
        <w:lastRenderedPageBreak/>
        <w:t>procesal no se presume, de modo que en cada caso deberá demostrarse. Por tanto, establecer una presunción contraria sobre las personas migrantes con base la irregularidad migratoria, es contrario a la Convención y constituye un trato discriminatorio</w:t>
      </w:r>
      <w:r w:rsidRPr="00B703B1">
        <w:rPr>
          <w:rStyle w:val="Refdenotaalpie"/>
          <w:rFonts w:ascii="Gill Sans MT" w:hAnsi="Gill Sans MT" w:cs="Times New Roman"/>
        </w:rPr>
        <w:footnoteReference w:id="19"/>
      </w:r>
      <w:r w:rsidRPr="00B703B1">
        <w:rPr>
          <w:rFonts w:ascii="Gill Sans MT" w:hAnsi="Gill Sans MT" w:cs="Times New Roman"/>
        </w:rPr>
        <w:t xml:space="preserve">. </w:t>
      </w:r>
    </w:p>
    <w:p w14:paraId="0DED49D7" w14:textId="77777777" w:rsidR="004754CB" w:rsidRPr="00B703B1" w:rsidRDefault="004754CB" w:rsidP="004754CB">
      <w:pPr>
        <w:pStyle w:val="Sinespaciado"/>
        <w:jc w:val="both"/>
        <w:rPr>
          <w:rFonts w:ascii="Gill Sans MT" w:hAnsi="Gill Sans MT" w:cs="Times New Roman"/>
        </w:rPr>
      </w:pPr>
    </w:p>
    <w:p w14:paraId="05703A09" w14:textId="77777777" w:rsidR="00B703B1" w:rsidRPr="00B703B1" w:rsidRDefault="00B703B1" w:rsidP="00B703B1">
      <w:pPr>
        <w:pStyle w:val="Sinespaciado"/>
        <w:numPr>
          <w:ilvl w:val="1"/>
          <w:numId w:val="1"/>
        </w:numPr>
        <w:jc w:val="both"/>
        <w:rPr>
          <w:rFonts w:ascii="Gill Sans MT" w:hAnsi="Gill Sans MT" w:cs="Times New Roman"/>
          <w:b/>
          <w:bCs/>
          <w:i/>
          <w:iCs/>
        </w:rPr>
      </w:pPr>
      <w:r w:rsidRPr="00B703B1">
        <w:rPr>
          <w:rFonts w:ascii="Gill Sans MT" w:hAnsi="Gill Sans MT" w:cs="Times New Roman"/>
          <w:b/>
          <w:bCs/>
          <w:i/>
          <w:iCs/>
        </w:rPr>
        <w:t xml:space="preserve">Personas con discapacidad: </w:t>
      </w:r>
    </w:p>
    <w:p w14:paraId="6AF59751" w14:textId="77777777" w:rsidR="00B703B1" w:rsidRDefault="00B703B1" w:rsidP="00B703B1">
      <w:pPr>
        <w:pStyle w:val="Sinespaciado"/>
        <w:jc w:val="both"/>
        <w:rPr>
          <w:rFonts w:ascii="Gill Sans MT" w:hAnsi="Gill Sans MT" w:cs="Times New Roman"/>
        </w:rPr>
      </w:pPr>
    </w:p>
    <w:p w14:paraId="6432307A" w14:textId="1E326D01" w:rsidR="004754CB" w:rsidRPr="00B703B1" w:rsidRDefault="004754CB" w:rsidP="00B703B1">
      <w:pPr>
        <w:pStyle w:val="Sinespaciado"/>
        <w:jc w:val="both"/>
        <w:rPr>
          <w:rFonts w:ascii="Gill Sans MT" w:hAnsi="Gill Sans MT" w:cs="Times New Roman"/>
        </w:rPr>
      </w:pPr>
      <w:r w:rsidRPr="00B703B1">
        <w:rPr>
          <w:rFonts w:ascii="Gill Sans MT" w:hAnsi="Gill Sans MT" w:cs="Times New Roman"/>
        </w:rPr>
        <w:t xml:space="preserve">La Oficina del Alto Comisionado de las Naciones Unidas para los Derechos Humanos se ha referido a la situación de las personas con discapacidad en relación con el sistema de justicia. Se ha puesto el acento en la importancia de tratar a las personas con discapacidad como titulares de derechos, y evitar las ideas peligrosistas que rondan en torno a este tipo de casos y que suelen dar lugar a la adopción de medidas privativas de libertad. La adopción de estas medidas, apartan a la persona del proceso, sometiéndola a medidas de seguridad que implican la privación de su libertad y la administración de tratamientos contra su voluntad. Esta situación suele extenderse por tiempo indefinido, </w:t>
      </w:r>
      <w:r w:rsidR="00B703B1" w:rsidRPr="00B703B1">
        <w:rPr>
          <w:rFonts w:ascii="Gill Sans MT" w:hAnsi="Gill Sans MT" w:cs="Times New Roman"/>
        </w:rPr>
        <w:t>negando</w:t>
      </w:r>
      <w:r w:rsidRPr="00B703B1">
        <w:rPr>
          <w:rFonts w:ascii="Gill Sans MT" w:hAnsi="Gill Sans MT" w:cs="Times New Roman"/>
        </w:rPr>
        <w:t xml:space="preserve"> el ejercicio de sus garantías procesales, vulnerando con ello un juicio justo</w:t>
      </w:r>
      <w:r w:rsidRPr="00B703B1">
        <w:rPr>
          <w:rStyle w:val="Refdenotaalpie"/>
          <w:rFonts w:ascii="Gill Sans MT" w:hAnsi="Gill Sans MT" w:cs="Times New Roman"/>
        </w:rPr>
        <w:footnoteReference w:id="20"/>
      </w:r>
      <w:r w:rsidRPr="00B703B1">
        <w:rPr>
          <w:rFonts w:ascii="Gill Sans MT" w:hAnsi="Gill Sans MT" w:cs="Times New Roman"/>
        </w:rPr>
        <w:t xml:space="preserve">. </w:t>
      </w:r>
    </w:p>
    <w:p w14:paraId="747AB3B9" w14:textId="77777777" w:rsidR="004754CB" w:rsidRPr="00B703B1" w:rsidRDefault="004754CB" w:rsidP="004754CB">
      <w:pPr>
        <w:pStyle w:val="Sinespaciado"/>
        <w:jc w:val="both"/>
        <w:rPr>
          <w:rFonts w:ascii="Gill Sans MT" w:hAnsi="Gill Sans MT" w:cs="Times New Roman"/>
        </w:rPr>
      </w:pPr>
    </w:p>
    <w:p w14:paraId="224DC6A1" w14:textId="77777777" w:rsidR="004754CB" w:rsidRPr="00B703B1" w:rsidRDefault="004754CB" w:rsidP="004754CB">
      <w:pPr>
        <w:pStyle w:val="Sinespaciado"/>
        <w:jc w:val="both"/>
        <w:rPr>
          <w:rFonts w:ascii="Gill Sans MT" w:hAnsi="Gill Sans MT" w:cs="Times New Roman"/>
        </w:rPr>
      </w:pPr>
      <w:r w:rsidRPr="00B703B1">
        <w:rPr>
          <w:rFonts w:ascii="Gill Sans MT" w:hAnsi="Gill Sans MT" w:cs="Times New Roman"/>
        </w:rPr>
        <w:t xml:space="preserve">En este sentido, el Informe del ACNUDH sobre acceso a la justicia sostuvo que, </w:t>
      </w:r>
    </w:p>
    <w:p w14:paraId="1CC9E33C" w14:textId="77777777" w:rsidR="004754CB" w:rsidRPr="00B703B1" w:rsidRDefault="004754CB" w:rsidP="004754CB">
      <w:pPr>
        <w:pStyle w:val="Sinespaciado"/>
        <w:jc w:val="both"/>
        <w:rPr>
          <w:rFonts w:ascii="Gill Sans MT" w:hAnsi="Gill Sans MT" w:cs="Times New Roman"/>
        </w:rPr>
      </w:pPr>
    </w:p>
    <w:p w14:paraId="081F38FC" w14:textId="77777777" w:rsidR="004754CB" w:rsidRPr="00B703B1" w:rsidRDefault="004754CB" w:rsidP="004754CB">
      <w:pPr>
        <w:pStyle w:val="Sinespaciado"/>
        <w:ind w:left="720" w:right="4"/>
        <w:jc w:val="both"/>
        <w:rPr>
          <w:rFonts w:ascii="Gill Sans MT" w:hAnsi="Gill Sans MT" w:cs="Times New Roman"/>
          <w:sz w:val="21"/>
          <w:szCs w:val="21"/>
        </w:rPr>
      </w:pPr>
      <w:r w:rsidRPr="00B703B1">
        <w:rPr>
          <w:rFonts w:ascii="Gill Sans MT" w:hAnsi="Gill Sans MT" w:cs="Times New Roman"/>
          <w:sz w:val="21"/>
          <w:szCs w:val="21"/>
          <w:lang w:val="es-ES"/>
        </w:rPr>
        <w:t>[d]</w:t>
      </w:r>
      <w:proofErr w:type="spellStart"/>
      <w:r w:rsidRPr="00B703B1">
        <w:rPr>
          <w:rFonts w:ascii="Gill Sans MT" w:hAnsi="Gill Sans MT" w:cs="Times New Roman"/>
          <w:sz w:val="21"/>
          <w:szCs w:val="21"/>
        </w:rPr>
        <w:t>ado</w:t>
      </w:r>
      <w:proofErr w:type="spellEnd"/>
      <w:r w:rsidRPr="00B703B1">
        <w:rPr>
          <w:rFonts w:ascii="Gill Sans MT" w:hAnsi="Gill Sans MT" w:cs="Times New Roman"/>
          <w:sz w:val="21"/>
          <w:szCs w:val="21"/>
        </w:rPr>
        <w:t xml:space="preserve"> que no se juzga ni condena a la persona, en lugar de basarse en una </w:t>
      </w:r>
      <w:proofErr w:type="spellStart"/>
      <w:r w:rsidRPr="00B703B1">
        <w:rPr>
          <w:rFonts w:ascii="Gill Sans MT" w:hAnsi="Gill Sans MT" w:cs="Times New Roman"/>
          <w:sz w:val="21"/>
          <w:szCs w:val="21"/>
        </w:rPr>
        <w:t>declaración</w:t>
      </w:r>
      <w:proofErr w:type="spellEnd"/>
      <w:r w:rsidRPr="00B703B1">
        <w:rPr>
          <w:rFonts w:ascii="Gill Sans MT" w:hAnsi="Gill Sans MT" w:cs="Times New Roman"/>
          <w:sz w:val="21"/>
          <w:szCs w:val="21"/>
        </w:rPr>
        <w:t xml:space="preserve"> de culpabilidad se ordenan medidas de seguridad en </w:t>
      </w:r>
      <w:proofErr w:type="spellStart"/>
      <w:r w:rsidRPr="00B703B1">
        <w:rPr>
          <w:rFonts w:ascii="Gill Sans MT" w:hAnsi="Gill Sans MT" w:cs="Times New Roman"/>
          <w:sz w:val="21"/>
          <w:szCs w:val="21"/>
        </w:rPr>
        <w:t>razón</w:t>
      </w:r>
      <w:proofErr w:type="spellEnd"/>
      <w:r w:rsidRPr="00B703B1">
        <w:rPr>
          <w:rFonts w:ascii="Gill Sans MT" w:hAnsi="Gill Sans MT" w:cs="Times New Roman"/>
          <w:sz w:val="21"/>
          <w:szCs w:val="21"/>
        </w:rPr>
        <w:t xml:space="preserve"> de la supuesta “peligrosidad” de la persona para sí misma o para terceros. Esas </w:t>
      </w:r>
      <w:proofErr w:type="spellStart"/>
      <w:r w:rsidRPr="00B703B1">
        <w:rPr>
          <w:rFonts w:ascii="Gill Sans MT" w:hAnsi="Gill Sans MT" w:cs="Times New Roman"/>
          <w:sz w:val="21"/>
          <w:szCs w:val="21"/>
        </w:rPr>
        <w:t>órdenes</w:t>
      </w:r>
      <w:proofErr w:type="spellEnd"/>
      <w:r w:rsidRPr="00B703B1">
        <w:rPr>
          <w:rFonts w:ascii="Gill Sans MT" w:hAnsi="Gill Sans MT" w:cs="Times New Roman"/>
          <w:sz w:val="21"/>
          <w:szCs w:val="21"/>
        </w:rPr>
        <w:t xml:space="preserve"> judiciales constituyen un trato desigual, ya que se basan en una </w:t>
      </w:r>
      <w:proofErr w:type="spellStart"/>
      <w:r w:rsidRPr="00B703B1">
        <w:rPr>
          <w:rFonts w:ascii="Gill Sans MT" w:hAnsi="Gill Sans MT" w:cs="Times New Roman"/>
          <w:sz w:val="21"/>
          <w:szCs w:val="21"/>
        </w:rPr>
        <w:t>percepción</w:t>
      </w:r>
      <w:proofErr w:type="spellEnd"/>
      <w:r w:rsidRPr="00B703B1">
        <w:rPr>
          <w:rFonts w:ascii="Gill Sans MT" w:hAnsi="Gill Sans MT" w:cs="Times New Roman"/>
          <w:sz w:val="21"/>
          <w:szCs w:val="21"/>
        </w:rPr>
        <w:t xml:space="preserve"> de “peligrosidad”, una deficiencia o supuestos relacionados con la deficiencia, en lugar de una </w:t>
      </w:r>
      <w:proofErr w:type="spellStart"/>
      <w:r w:rsidRPr="00B703B1">
        <w:rPr>
          <w:rFonts w:ascii="Gill Sans MT" w:hAnsi="Gill Sans MT" w:cs="Times New Roman"/>
          <w:sz w:val="21"/>
          <w:szCs w:val="21"/>
        </w:rPr>
        <w:t>determinación</w:t>
      </w:r>
      <w:proofErr w:type="spellEnd"/>
      <w:r w:rsidRPr="00B703B1">
        <w:rPr>
          <w:rFonts w:ascii="Gill Sans MT" w:hAnsi="Gill Sans MT" w:cs="Times New Roman"/>
          <w:sz w:val="21"/>
          <w:szCs w:val="21"/>
        </w:rPr>
        <w:t xml:space="preserve"> de la culpabilidad en la </w:t>
      </w:r>
      <w:proofErr w:type="spellStart"/>
      <w:r w:rsidRPr="00B703B1">
        <w:rPr>
          <w:rFonts w:ascii="Gill Sans MT" w:hAnsi="Gill Sans MT" w:cs="Times New Roman"/>
          <w:sz w:val="21"/>
          <w:szCs w:val="21"/>
        </w:rPr>
        <w:t>comisión</w:t>
      </w:r>
      <w:proofErr w:type="spellEnd"/>
      <w:r w:rsidRPr="00B703B1">
        <w:rPr>
          <w:rFonts w:ascii="Gill Sans MT" w:hAnsi="Gill Sans MT" w:cs="Times New Roman"/>
          <w:sz w:val="21"/>
          <w:szCs w:val="21"/>
        </w:rPr>
        <w:t xml:space="preserve"> de un delito mediante un procedimiento con las debidas </w:t>
      </w:r>
      <w:proofErr w:type="spellStart"/>
      <w:r w:rsidRPr="00B703B1">
        <w:rPr>
          <w:rFonts w:ascii="Gill Sans MT" w:hAnsi="Gill Sans MT" w:cs="Times New Roman"/>
          <w:sz w:val="21"/>
          <w:szCs w:val="21"/>
        </w:rPr>
        <w:t>garantías</w:t>
      </w:r>
      <w:proofErr w:type="spellEnd"/>
      <w:r w:rsidRPr="00B703B1">
        <w:rPr>
          <w:rFonts w:ascii="Gill Sans MT" w:hAnsi="Gill Sans MT" w:cs="Times New Roman"/>
          <w:sz w:val="21"/>
          <w:szCs w:val="21"/>
        </w:rPr>
        <w:t xml:space="preserve"> </w:t>
      </w:r>
      <w:r w:rsidRPr="00B703B1">
        <w:rPr>
          <w:rFonts w:ascii="Gill Sans MT" w:hAnsi="Gill Sans MT" w:cs="Times New Roman"/>
          <w:sz w:val="21"/>
          <w:szCs w:val="21"/>
        </w:rPr>
        <w:t xml:space="preserve">procesales. Estas </w:t>
      </w:r>
      <w:proofErr w:type="spellStart"/>
      <w:r w:rsidRPr="00B703B1">
        <w:rPr>
          <w:rFonts w:ascii="Gill Sans MT" w:hAnsi="Gill Sans MT" w:cs="Times New Roman"/>
          <w:sz w:val="21"/>
          <w:szCs w:val="21"/>
        </w:rPr>
        <w:t>prácticas</w:t>
      </w:r>
      <w:proofErr w:type="spellEnd"/>
      <w:r w:rsidRPr="00B703B1">
        <w:rPr>
          <w:rFonts w:ascii="Gill Sans MT" w:hAnsi="Gill Sans MT" w:cs="Times New Roman"/>
          <w:sz w:val="21"/>
          <w:szCs w:val="21"/>
        </w:rPr>
        <w:t xml:space="preserve"> culminan con el abandono del derecho de la persona a la </w:t>
      </w:r>
      <w:proofErr w:type="spellStart"/>
      <w:r w:rsidRPr="00B703B1">
        <w:rPr>
          <w:rFonts w:ascii="Gill Sans MT" w:hAnsi="Gill Sans MT" w:cs="Times New Roman"/>
          <w:sz w:val="21"/>
          <w:szCs w:val="21"/>
        </w:rPr>
        <w:t>presunción</w:t>
      </w:r>
      <w:proofErr w:type="spellEnd"/>
      <w:r w:rsidRPr="00B703B1">
        <w:rPr>
          <w:rFonts w:ascii="Gill Sans MT" w:hAnsi="Gill Sans MT" w:cs="Times New Roman"/>
          <w:sz w:val="21"/>
          <w:szCs w:val="21"/>
        </w:rPr>
        <w:t xml:space="preserve"> de inocencia y la </w:t>
      </w:r>
      <w:proofErr w:type="spellStart"/>
      <w:r w:rsidRPr="00B703B1">
        <w:rPr>
          <w:rFonts w:ascii="Gill Sans MT" w:hAnsi="Gill Sans MT" w:cs="Times New Roman"/>
          <w:sz w:val="21"/>
          <w:szCs w:val="21"/>
        </w:rPr>
        <w:t>denegación</w:t>
      </w:r>
      <w:proofErr w:type="spellEnd"/>
      <w:r w:rsidRPr="00B703B1">
        <w:rPr>
          <w:rFonts w:ascii="Gill Sans MT" w:hAnsi="Gill Sans MT" w:cs="Times New Roman"/>
          <w:sz w:val="21"/>
          <w:szCs w:val="21"/>
        </w:rPr>
        <w:t xml:space="preserve"> de las debidas </w:t>
      </w:r>
      <w:proofErr w:type="spellStart"/>
      <w:r w:rsidRPr="00B703B1">
        <w:rPr>
          <w:rFonts w:ascii="Gill Sans MT" w:hAnsi="Gill Sans MT" w:cs="Times New Roman"/>
          <w:sz w:val="21"/>
          <w:szCs w:val="21"/>
        </w:rPr>
        <w:t>garantías</w:t>
      </w:r>
      <w:proofErr w:type="spellEnd"/>
      <w:r w:rsidRPr="00B703B1">
        <w:rPr>
          <w:rFonts w:ascii="Gill Sans MT" w:hAnsi="Gill Sans MT" w:cs="Times New Roman"/>
          <w:sz w:val="21"/>
          <w:szCs w:val="21"/>
        </w:rPr>
        <w:t xml:space="preserve"> procesales que </w:t>
      </w:r>
      <w:proofErr w:type="spellStart"/>
      <w:r w:rsidRPr="00B703B1">
        <w:rPr>
          <w:rFonts w:ascii="Gill Sans MT" w:hAnsi="Gill Sans MT" w:cs="Times New Roman"/>
          <w:sz w:val="21"/>
          <w:szCs w:val="21"/>
        </w:rPr>
        <w:t>deberían</w:t>
      </w:r>
      <w:proofErr w:type="spellEnd"/>
      <w:r w:rsidRPr="00B703B1">
        <w:rPr>
          <w:rFonts w:ascii="Gill Sans MT" w:hAnsi="Gill Sans MT" w:cs="Times New Roman"/>
          <w:sz w:val="21"/>
          <w:szCs w:val="21"/>
        </w:rPr>
        <w:t xml:space="preserve"> aplicarse a todas las personas, como se reconoce en el derecho internacional. En consecuencia, el </w:t>
      </w:r>
      <w:proofErr w:type="spellStart"/>
      <w:r w:rsidRPr="00B703B1">
        <w:rPr>
          <w:rFonts w:ascii="Gill Sans MT" w:hAnsi="Gill Sans MT" w:cs="Times New Roman"/>
          <w:sz w:val="21"/>
          <w:szCs w:val="21"/>
        </w:rPr>
        <w:t>Comite</w:t>
      </w:r>
      <w:proofErr w:type="spellEnd"/>
      <w:r w:rsidRPr="00B703B1">
        <w:rPr>
          <w:rFonts w:ascii="Gill Sans MT" w:hAnsi="Gill Sans MT" w:cs="Times New Roman"/>
          <w:sz w:val="21"/>
          <w:szCs w:val="21"/>
        </w:rPr>
        <w:t>́ ha exigido que se supriman.</w:t>
      </w:r>
      <w:r w:rsidRPr="00B703B1">
        <w:rPr>
          <w:rStyle w:val="Refdenotaalpie"/>
          <w:rFonts w:ascii="Gill Sans MT" w:hAnsi="Gill Sans MT" w:cs="Times New Roman"/>
          <w:sz w:val="21"/>
          <w:szCs w:val="21"/>
        </w:rPr>
        <w:footnoteReference w:id="21"/>
      </w:r>
      <w:r w:rsidRPr="00B703B1">
        <w:rPr>
          <w:rFonts w:ascii="Gill Sans MT" w:hAnsi="Gill Sans MT" w:cs="Times New Roman"/>
          <w:sz w:val="21"/>
          <w:szCs w:val="21"/>
        </w:rPr>
        <w:t xml:space="preserve"> </w:t>
      </w:r>
    </w:p>
    <w:p w14:paraId="30D9DA43" w14:textId="77777777" w:rsidR="004754CB" w:rsidRPr="00B703B1" w:rsidRDefault="004754CB" w:rsidP="004754CB">
      <w:pPr>
        <w:pStyle w:val="Sinespaciado"/>
        <w:jc w:val="both"/>
        <w:rPr>
          <w:rFonts w:ascii="Gill Sans MT" w:hAnsi="Gill Sans MT" w:cs="Times New Roman"/>
          <w:sz w:val="21"/>
          <w:szCs w:val="21"/>
        </w:rPr>
      </w:pPr>
    </w:p>
    <w:p w14:paraId="290ED0FD" w14:textId="31B85495" w:rsidR="00B703B1" w:rsidRPr="00B703B1" w:rsidRDefault="00B703B1" w:rsidP="00B703B1">
      <w:pPr>
        <w:pStyle w:val="Sinespaciado"/>
        <w:numPr>
          <w:ilvl w:val="1"/>
          <w:numId w:val="1"/>
        </w:numPr>
        <w:jc w:val="both"/>
        <w:rPr>
          <w:rFonts w:ascii="Gill Sans MT" w:hAnsi="Gill Sans MT" w:cs="Times New Roman"/>
          <w:b/>
          <w:bCs/>
          <w:i/>
          <w:iCs/>
          <w:lang w:val="es-ES"/>
        </w:rPr>
      </w:pPr>
      <w:r w:rsidRPr="00B703B1">
        <w:rPr>
          <w:rFonts w:ascii="Gill Sans MT" w:hAnsi="Gill Sans MT" w:cs="Times New Roman"/>
          <w:b/>
          <w:bCs/>
          <w:i/>
          <w:iCs/>
        </w:rPr>
        <w:t xml:space="preserve">Indígenas: </w:t>
      </w:r>
    </w:p>
    <w:p w14:paraId="5F6D9910" w14:textId="77777777" w:rsidR="00B703B1" w:rsidRDefault="00B703B1" w:rsidP="00B703B1">
      <w:pPr>
        <w:pStyle w:val="Sinespaciado"/>
        <w:jc w:val="both"/>
        <w:rPr>
          <w:rFonts w:ascii="Gill Sans MT" w:hAnsi="Gill Sans MT" w:cs="Times New Roman"/>
        </w:rPr>
      </w:pPr>
    </w:p>
    <w:p w14:paraId="30971774" w14:textId="61D39586" w:rsidR="004754CB" w:rsidRPr="00B703B1" w:rsidRDefault="00B703B1" w:rsidP="00B703B1">
      <w:pPr>
        <w:pStyle w:val="Sinespaciado"/>
        <w:jc w:val="both"/>
        <w:rPr>
          <w:rFonts w:ascii="Gill Sans MT" w:hAnsi="Gill Sans MT" w:cs="Times New Roman"/>
          <w:lang w:val="es-ES"/>
        </w:rPr>
      </w:pPr>
      <w:r>
        <w:rPr>
          <w:rFonts w:ascii="Gill Sans MT" w:hAnsi="Gill Sans MT" w:cs="Times New Roman"/>
          <w:lang w:val="es-ES"/>
        </w:rPr>
        <w:t>L</w:t>
      </w:r>
      <w:r w:rsidR="004754CB" w:rsidRPr="00B703B1">
        <w:rPr>
          <w:rFonts w:ascii="Gill Sans MT" w:hAnsi="Gill Sans MT" w:cs="Times New Roman"/>
          <w:lang w:val="es-ES"/>
        </w:rPr>
        <w:t xml:space="preserve">as medidas restrictivas de la libertad para personas pertenecientes a los pueblos indígenas son especialmente complejas. El impacto en este grupo de personas del aislamiento respecto de su familia y la comunidad se exacerban en un contexto de restricción de la libertad. En este sentido, el artículo 10 del Convenio 169 de la Organización Internacional del Trabajo es claro en sostener que “cuando se impongan sanciones penales previstas por la legislación general a miembros de dichos pueblos deberán tenerse en cuenta sus características económicas, sociales y culturales”, dándose preferencia “a tipos de sanción distintos del encarcelamiento”. </w:t>
      </w:r>
    </w:p>
    <w:p w14:paraId="2F6B9230" w14:textId="77777777" w:rsidR="004754CB" w:rsidRPr="00B703B1" w:rsidRDefault="004754CB" w:rsidP="004754CB">
      <w:pPr>
        <w:pStyle w:val="Sinespaciado"/>
        <w:jc w:val="both"/>
        <w:rPr>
          <w:rFonts w:ascii="Gill Sans MT" w:hAnsi="Gill Sans MT" w:cs="Times New Roman"/>
          <w:lang w:val="es-ES"/>
        </w:rPr>
      </w:pPr>
    </w:p>
    <w:p w14:paraId="4CD3F522" w14:textId="77777777" w:rsidR="004754CB" w:rsidRPr="00B703B1" w:rsidRDefault="004754CB" w:rsidP="004754CB">
      <w:pPr>
        <w:pStyle w:val="Sinespaciado"/>
        <w:jc w:val="both"/>
        <w:rPr>
          <w:rFonts w:ascii="Gill Sans MT" w:hAnsi="Gill Sans MT" w:cs="Times New Roman"/>
          <w:lang w:val="es-ES"/>
        </w:rPr>
      </w:pPr>
      <w:r w:rsidRPr="00B703B1">
        <w:rPr>
          <w:rFonts w:ascii="Gill Sans MT" w:hAnsi="Gill Sans MT" w:cs="Times New Roman"/>
          <w:lang w:val="es-ES"/>
        </w:rPr>
        <w:t>Considerando que estas disposiciones están pensadas para las sanciones, son plenamente aplicables para la imposición de medidas cautelares. En consecuencia, el Estado debe otorgar una protección efectiva a las personas indígenas que tome en cuenta sus particularidades propias, así como sus características económicas y sociales y su especial situación de vulnerabilidad. Además, el Estado debe considerar los elementos propios del derecho consuetudinario y usos y costumbres, evitando crear las condiciones que supongan una discriminación de jure o de facto para estas personas</w:t>
      </w:r>
      <w:r w:rsidRPr="00B703B1">
        <w:rPr>
          <w:rStyle w:val="Refdenotaalpie"/>
          <w:rFonts w:ascii="Gill Sans MT" w:hAnsi="Gill Sans MT" w:cs="Times New Roman"/>
          <w:lang w:val="es-ES"/>
        </w:rPr>
        <w:footnoteReference w:id="22"/>
      </w:r>
      <w:r w:rsidRPr="00B703B1">
        <w:rPr>
          <w:rFonts w:ascii="Gill Sans MT" w:hAnsi="Gill Sans MT" w:cs="Times New Roman"/>
          <w:lang w:val="es-ES"/>
        </w:rPr>
        <w:t xml:space="preserve">.  </w:t>
      </w:r>
    </w:p>
    <w:p w14:paraId="74EA8BFF" w14:textId="77777777" w:rsidR="004754CB" w:rsidRPr="00B703B1" w:rsidRDefault="004754CB" w:rsidP="004754CB">
      <w:pPr>
        <w:spacing w:line="240" w:lineRule="auto"/>
        <w:jc w:val="both"/>
        <w:rPr>
          <w:rFonts w:ascii="Gill Sans MT" w:hAnsi="Gill Sans MT" w:cs="Times New Roman"/>
          <w:lang w:val="es-ES"/>
        </w:rPr>
      </w:pPr>
    </w:p>
    <w:p w14:paraId="7E6C02BD" w14:textId="18258A6D" w:rsidR="002B7035" w:rsidRDefault="002D5F9D" w:rsidP="002D5F9D">
      <w:pPr>
        <w:spacing w:line="240" w:lineRule="auto"/>
        <w:jc w:val="right"/>
        <w:rPr>
          <w:rFonts w:ascii="Gill Sans MT" w:hAnsi="Gill Sans MT"/>
        </w:rPr>
        <w:sectPr w:rsidR="002B7035" w:rsidSect="002B7035">
          <w:type w:val="continuous"/>
          <w:pgSz w:w="12240" w:h="15840"/>
          <w:pgMar w:top="1440" w:right="1440" w:bottom="1440" w:left="1440" w:header="274" w:footer="708" w:gutter="0"/>
          <w:cols w:num="2" w:space="708"/>
          <w:docGrid w:linePitch="360"/>
        </w:sectPr>
      </w:pPr>
      <w:r w:rsidRPr="002D5F9D">
        <w:rPr>
          <w:rFonts w:ascii="Gill Sans MT" w:hAnsi="Gill Sans MT"/>
        </w:rPr>
        <w:t>TP/23.06.2021</w:t>
      </w:r>
    </w:p>
    <w:p w14:paraId="26B1EE4B" w14:textId="7259E9D2" w:rsidR="00B22460" w:rsidRPr="00B703B1" w:rsidRDefault="00B22460" w:rsidP="008816F9">
      <w:pPr>
        <w:spacing w:line="240" w:lineRule="auto"/>
        <w:rPr>
          <w:rFonts w:ascii="Gill Sans MT" w:hAnsi="Gill Sans MT"/>
        </w:rPr>
      </w:pPr>
    </w:p>
    <w:sectPr w:rsidR="00B22460" w:rsidRPr="00B703B1" w:rsidSect="002B7035">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C7ED3" w14:textId="77777777" w:rsidR="00D92D55" w:rsidRDefault="00D92D55" w:rsidP="008816F9">
      <w:pPr>
        <w:spacing w:after="0" w:line="240" w:lineRule="auto"/>
      </w:pPr>
      <w:r>
        <w:separator/>
      </w:r>
    </w:p>
  </w:endnote>
  <w:endnote w:type="continuationSeparator" w:id="0">
    <w:p w14:paraId="5452B7C8" w14:textId="77777777" w:rsidR="00D92D55" w:rsidRDefault="00D92D55" w:rsidP="00881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Body CS)">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4E987" w14:textId="77777777" w:rsidR="00D92D55" w:rsidRDefault="00D92D55" w:rsidP="008816F9">
      <w:pPr>
        <w:spacing w:after="0" w:line="240" w:lineRule="auto"/>
      </w:pPr>
      <w:r>
        <w:separator/>
      </w:r>
    </w:p>
  </w:footnote>
  <w:footnote w:type="continuationSeparator" w:id="0">
    <w:p w14:paraId="4FD1ADD3" w14:textId="77777777" w:rsidR="00D92D55" w:rsidRDefault="00D92D55" w:rsidP="008816F9">
      <w:pPr>
        <w:spacing w:after="0" w:line="240" w:lineRule="auto"/>
      </w:pPr>
      <w:r>
        <w:continuationSeparator/>
      </w:r>
    </w:p>
  </w:footnote>
  <w:footnote w:id="1">
    <w:p w14:paraId="3EB750D8" w14:textId="77777777" w:rsidR="008816F9" w:rsidRPr="002B7035" w:rsidRDefault="008816F9" w:rsidP="008816F9">
      <w:pPr>
        <w:pStyle w:val="Sinespaciado"/>
        <w:jc w:val="both"/>
        <w:rPr>
          <w:rFonts w:ascii="Gill Sans MT" w:hAnsi="Gill Sans MT" w:cs="Times New Roman"/>
          <w:sz w:val="18"/>
          <w:szCs w:val="18"/>
          <w:lang w:val="es-ES"/>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w:t>
      </w:r>
      <w:r w:rsidRPr="002B7035">
        <w:rPr>
          <w:rFonts w:ascii="Gill Sans MT" w:hAnsi="Gill Sans MT" w:cs="Times New Roman"/>
          <w:sz w:val="18"/>
          <w:szCs w:val="18"/>
          <w:lang w:val="es-ES"/>
        </w:rPr>
        <w:t xml:space="preserve">Corte IDH. </w:t>
      </w:r>
      <w:r w:rsidRPr="002B7035">
        <w:rPr>
          <w:rFonts w:ascii="Gill Sans MT" w:hAnsi="Gill Sans MT" w:cs="Times New Roman"/>
          <w:i/>
          <w:iCs/>
          <w:sz w:val="18"/>
          <w:szCs w:val="18"/>
          <w:lang w:val="es-ES"/>
        </w:rPr>
        <w:t>Caso Jenkins vs. Argentina</w:t>
      </w:r>
      <w:r w:rsidRPr="002B7035">
        <w:rPr>
          <w:rFonts w:ascii="Gill Sans MT" w:hAnsi="Gill Sans MT" w:cs="Times New Roman"/>
          <w:sz w:val="18"/>
          <w:szCs w:val="18"/>
          <w:lang w:val="es-ES"/>
        </w:rPr>
        <w:t xml:space="preserve">, § 72. </w:t>
      </w:r>
    </w:p>
  </w:footnote>
  <w:footnote w:id="2">
    <w:p w14:paraId="601E865E" w14:textId="77777777" w:rsidR="008816F9" w:rsidRPr="002B7035" w:rsidRDefault="008816F9" w:rsidP="008816F9">
      <w:pPr>
        <w:pStyle w:val="Sinespaciado"/>
        <w:jc w:val="both"/>
        <w:rPr>
          <w:rFonts w:ascii="Gill Sans MT" w:hAnsi="Gill Sans MT" w:cs="Times New Roman"/>
          <w:sz w:val="18"/>
          <w:szCs w:val="18"/>
          <w:lang w:val="es-ES"/>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w:t>
      </w:r>
      <w:r w:rsidRPr="002B7035">
        <w:rPr>
          <w:rFonts w:ascii="Gill Sans MT" w:hAnsi="Gill Sans MT" w:cs="Times New Roman"/>
          <w:sz w:val="18"/>
          <w:szCs w:val="18"/>
          <w:lang w:val="es-ES"/>
        </w:rPr>
        <w:t xml:space="preserve">Corte IDH. </w:t>
      </w:r>
      <w:r w:rsidRPr="002B7035">
        <w:rPr>
          <w:rFonts w:ascii="Gill Sans MT" w:hAnsi="Gill Sans MT" w:cs="Times New Roman"/>
          <w:i/>
          <w:iCs/>
          <w:sz w:val="18"/>
          <w:szCs w:val="18"/>
          <w:lang w:val="es-ES"/>
        </w:rPr>
        <w:t>Caso Jenkins vs. Argentina</w:t>
      </w:r>
      <w:r w:rsidRPr="002B7035">
        <w:rPr>
          <w:rFonts w:ascii="Gill Sans MT" w:hAnsi="Gill Sans MT" w:cs="Times New Roman"/>
          <w:sz w:val="18"/>
          <w:szCs w:val="18"/>
          <w:lang w:val="es-ES"/>
        </w:rPr>
        <w:t xml:space="preserve">, § 72. </w:t>
      </w:r>
    </w:p>
  </w:footnote>
  <w:footnote w:id="3">
    <w:p w14:paraId="2FF488D5" w14:textId="77777777" w:rsidR="004754CB" w:rsidRPr="002B7035" w:rsidRDefault="004754CB" w:rsidP="004754CB">
      <w:pPr>
        <w:pStyle w:val="Sinespaciado"/>
        <w:jc w:val="both"/>
        <w:rPr>
          <w:rFonts w:ascii="Gill Sans MT" w:hAnsi="Gill Sans MT" w:cs="Times New Roman"/>
          <w:sz w:val="18"/>
          <w:szCs w:val="18"/>
          <w:lang w:val="es-ES"/>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w:t>
      </w:r>
      <w:r w:rsidRPr="002B7035">
        <w:rPr>
          <w:rFonts w:ascii="Gill Sans MT" w:hAnsi="Gill Sans MT" w:cs="Times New Roman"/>
          <w:sz w:val="18"/>
          <w:szCs w:val="18"/>
          <w:lang w:val="es-ES"/>
        </w:rPr>
        <w:t xml:space="preserve">Corte IDH. </w:t>
      </w:r>
      <w:r w:rsidRPr="002B7035">
        <w:rPr>
          <w:rFonts w:ascii="Gill Sans MT" w:hAnsi="Gill Sans MT" w:cs="Times New Roman"/>
          <w:i/>
          <w:iCs/>
          <w:sz w:val="18"/>
          <w:szCs w:val="18"/>
          <w:lang w:val="es-ES"/>
        </w:rPr>
        <w:t xml:space="preserve">Caso Chaparro Álvarez y lapo </w:t>
      </w:r>
      <w:proofErr w:type="spellStart"/>
      <w:r w:rsidRPr="002B7035">
        <w:rPr>
          <w:rFonts w:ascii="Gill Sans MT" w:hAnsi="Gill Sans MT" w:cs="Times New Roman"/>
          <w:i/>
          <w:iCs/>
          <w:sz w:val="18"/>
          <w:szCs w:val="18"/>
          <w:lang w:val="es-ES"/>
        </w:rPr>
        <w:t>Iñíguez</w:t>
      </w:r>
      <w:proofErr w:type="spellEnd"/>
      <w:r w:rsidRPr="002B7035">
        <w:rPr>
          <w:rFonts w:ascii="Gill Sans MT" w:hAnsi="Gill Sans MT" w:cs="Times New Roman"/>
          <w:sz w:val="18"/>
          <w:szCs w:val="18"/>
          <w:lang w:val="es-ES"/>
        </w:rPr>
        <w:t xml:space="preserve">, § 103; </w:t>
      </w:r>
      <w:r w:rsidRPr="002B7035">
        <w:rPr>
          <w:rFonts w:ascii="Gill Sans MT" w:hAnsi="Gill Sans MT" w:cs="Times New Roman"/>
          <w:i/>
          <w:iCs/>
          <w:sz w:val="18"/>
          <w:szCs w:val="18"/>
          <w:lang w:val="es-ES"/>
        </w:rPr>
        <w:t xml:space="preserve">Caso </w:t>
      </w:r>
      <w:proofErr w:type="spellStart"/>
      <w:r w:rsidRPr="002B7035">
        <w:rPr>
          <w:rFonts w:ascii="Gill Sans MT" w:hAnsi="Gill Sans MT" w:cs="Times New Roman"/>
          <w:i/>
          <w:iCs/>
          <w:sz w:val="18"/>
          <w:szCs w:val="18"/>
          <w:lang w:val="es-ES"/>
        </w:rPr>
        <w:t>Norín</w:t>
      </w:r>
      <w:proofErr w:type="spellEnd"/>
      <w:r w:rsidRPr="002B7035">
        <w:rPr>
          <w:rFonts w:ascii="Gill Sans MT" w:hAnsi="Gill Sans MT" w:cs="Times New Roman"/>
          <w:i/>
          <w:iCs/>
          <w:sz w:val="18"/>
          <w:szCs w:val="18"/>
          <w:lang w:val="es-ES"/>
        </w:rPr>
        <w:t xml:space="preserve"> </w:t>
      </w:r>
      <w:proofErr w:type="spellStart"/>
      <w:r w:rsidRPr="002B7035">
        <w:rPr>
          <w:rFonts w:ascii="Gill Sans MT" w:hAnsi="Gill Sans MT" w:cs="Times New Roman"/>
          <w:i/>
          <w:iCs/>
          <w:sz w:val="18"/>
          <w:szCs w:val="18"/>
          <w:lang w:val="es-ES"/>
        </w:rPr>
        <w:t>Catriman</w:t>
      </w:r>
      <w:proofErr w:type="spellEnd"/>
      <w:r w:rsidRPr="002B7035">
        <w:rPr>
          <w:rFonts w:ascii="Gill Sans MT" w:hAnsi="Gill Sans MT" w:cs="Times New Roman"/>
          <w:i/>
          <w:iCs/>
          <w:sz w:val="18"/>
          <w:szCs w:val="18"/>
          <w:lang w:val="es-ES"/>
        </w:rPr>
        <w:t xml:space="preserve"> y otros vs. Chile</w:t>
      </w:r>
      <w:r w:rsidRPr="002B7035">
        <w:rPr>
          <w:rFonts w:ascii="Gill Sans MT" w:hAnsi="Gill Sans MT" w:cs="Times New Roman"/>
          <w:sz w:val="18"/>
          <w:szCs w:val="18"/>
          <w:lang w:val="es-ES"/>
        </w:rPr>
        <w:t xml:space="preserve">, § 312. </w:t>
      </w:r>
    </w:p>
  </w:footnote>
  <w:footnote w:id="4">
    <w:p w14:paraId="21B7DE5A" w14:textId="77777777" w:rsidR="008816F9" w:rsidRPr="002B7035" w:rsidRDefault="008816F9" w:rsidP="008816F9">
      <w:pPr>
        <w:pStyle w:val="Sinespaciado"/>
        <w:jc w:val="both"/>
        <w:rPr>
          <w:rFonts w:ascii="Gill Sans MT" w:hAnsi="Gill Sans MT" w:cs="Times New Roman"/>
          <w:sz w:val="18"/>
          <w:szCs w:val="18"/>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Corte IDH. </w:t>
      </w:r>
      <w:r w:rsidRPr="002B7035">
        <w:rPr>
          <w:rFonts w:ascii="Gill Sans MT" w:hAnsi="Gill Sans MT" w:cs="Times New Roman"/>
          <w:i/>
          <w:iCs/>
          <w:sz w:val="18"/>
          <w:szCs w:val="18"/>
        </w:rPr>
        <w:t xml:space="preserve">Caso Chaparro </w:t>
      </w:r>
      <w:proofErr w:type="spellStart"/>
      <w:r w:rsidRPr="002B7035">
        <w:rPr>
          <w:rFonts w:ascii="Gill Sans MT" w:hAnsi="Gill Sans MT" w:cs="Times New Roman"/>
          <w:i/>
          <w:iCs/>
          <w:sz w:val="18"/>
          <w:szCs w:val="18"/>
        </w:rPr>
        <w:t>Álvarez</w:t>
      </w:r>
      <w:proofErr w:type="spellEnd"/>
      <w:r w:rsidRPr="002B7035">
        <w:rPr>
          <w:rFonts w:ascii="Gill Sans MT" w:hAnsi="Gill Sans MT" w:cs="Times New Roman"/>
          <w:i/>
          <w:iCs/>
          <w:sz w:val="18"/>
          <w:szCs w:val="18"/>
        </w:rPr>
        <w:t xml:space="preserve"> y Lapo </w:t>
      </w:r>
      <w:proofErr w:type="spellStart"/>
      <w:r w:rsidRPr="002B7035">
        <w:rPr>
          <w:rFonts w:ascii="Gill Sans MT" w:hAnsi="Gill Sans MT" w:cs="Times New Roman"/>
          <w:i/>
          <w:iCs/>
          <w:sz w:val="18"/>
          <w:szCs w:val="18"/>
        </w:rPr>
        <w:t>Íñiguez</w:t>
      </w:r>
      <w:proofErr w:type="spellEnd"/>
      <w:r w:rsidRPr="002B7035">
        <w:rPr>
          <w:rFonts w:ascii="Gill Sans MT" w:hAnsi="Gill Sans MT" w:cs="Times New Roman"/>
          <w:i/>
          <w:iCs/>
          <w:sz w:val="18"/>
          <w:szCs w:val="18"/>
        </w:rPr>
        <w:t xml:space="preserve"> vs. Ecuador</w:t>
      </w:r>
      <w:r w:rsidRPr="002B7035">
        <w:rPr>
          <w:rFonts w:ascii="Gill Sans MT" w:hAnsi="Gill Sans MT" w:cs="Times New Roman"/>
          <w:sz w:val="18"/>
          <w:szCs w:val="18"/>
        </w:rPr>
        <w:t>, § 101</w:t>
      </w:r>
      <w:r w:rsidRPr="002B7035">
        <w:rPr>
          <w:rFonts w:ascii="Gill Sans MT" w:hAnsi="Gill Sans MT" w:cs="Times New Roman"/>
          <w:sz w:val="18"/>
          <w:szCs w:val="18"/>
          <w:lang w:val="es-ES"/>
        </w:rPr>
        <w:t xml:space="preserve">; </w:t>
      </w:r>
      <w:r w:rsidRPr="002B7035">
        <w:rPr>
          <w:rFonts w:ascii="Gill Sans MT" w:hAnsi="Gill Sans MT" w:cs="Times New Roman"/>
          <w:i/>
          <w:iCs/>
          <w:sz w:val="18"/>
          <w:szCs w:val="18"/>
          <w:lang w:val="es-ES"/>
        </w:rPr>
        <w:t xml:space="preserve">Caso </w:t>
      </w:r>
      <w:proofErr w:type="spellStart"/>
      <w:r w:rsidRPr="002B7035">
        <w:rPr>
          <w:rFonts w:ascii="Gill Sans MT" w:hAnsi="Gill Sans MT" w:cs="Times New Roman"/>
          <w:i/>
          <w:iCs/>
          <w:sz w:val="18"/>
          <w:szCs w:val="18"/>
          <w:lang w:val="es-ES"/>
        </w:rPr>
        <w:t>Servellón</w:t>
      </w:r>
      <w:proofErr w:type="spellEnd"/>
      <w:r w:rsidRPr="002B7035">
        <w:rPr>
          <w:rFonts w:ascii="Gill Sans MT" w:hAnsi="Gill Sans MT" w:cs="Times New Roman"/>
          <w:i/>
          <w:iCs/>
          <w:sz w:val="18"/>
          <w:szCs w:val="18"/>
          <w:lang w:val="es-ES"/>
        </w:rPr>
        <w:t xml:space="preserve"> García y otros</w:t>
      </w:r>
      <w:r w:rsidRPr="002B7035">
        <w:rPr>
          <w:rFonts w:ascii="Gill Sans MT" w:hAnsi="Gill Sans MT" w:cs="Times New Roman"/>
          <w:sz w:val="18"/>
          <w:szCs w:val="18"/>
          <w:lang w:val="es-ES"/>
        </w:rPr>
        <w:t xml:space="preserve">, § 90. </w:t>
      </w:r>
      <w:r w:rsidRPr="002B7035">
        <w:rPr>
          <w:rFonts w:ascii="Gill Sans MT" w:hAnsi="Gill Sans MT" w:cs="Times New Roman"/>
          <w:sz w:val="18"/>
          <w:szCs w:val="18"/>
        </w:rPr>
        <w:t xml:space="preserve"> </w:t>
      </w:r>
    </w:p>
  </w:footnote>
  <w:footnote w:id="5">
    <w:p w14:paraId="25D9F066" w14:textId="77777777" w:rsidR="008816F9" w:rsidRPr="002B7035" w:rsidRDefault="008816F9" w:rsidP="008816F9">
      <w:pPr>
        <w:pStyle w:val="Sinespaciado"/>
        <w:jc w:val="both"/>
        <w:rPr>
          <w:rFonts w:ascii="Gill Sans MT" w:hAnsi="Gill Sans MT" w:cs="Times New Roman"/>
          <w:sz w:val="18"/>
          <w:szCs w:val="18"/>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Corte IDH. </w:t>
      </w:r>
      <w:r w:rsidRPr="002B7035">
        <w:rPr>
          <w:rFonts w:ascii="Gill Sans MT" w:hAnsi="Gill Sans MT" w:cs="Times New Roman"/>
          <w:i/>
          <w:iCs/>
          <w:sz w:val="18"/>
          <w:szCs w:val="18"/>
        </w:rPr>
        <w:t>Caso Palamara Iribarne vs. Chile</w:t>
      </w:r>
      <w:r w:rsidRPr="002B7035">
        <w:rPr>
          <w:rFonts w:ascii="Gill Sans MT" w:hAnsi="Gill Sans MT" w:cs="Times New Roman"/>
          <w:sz w:val="18"/>
          <w:szCs w:val="18"/>
        </w:rPr>
        <w:t xml:space="preserve">, § 198; </w:t>
      </w:r>
      <w:r w:rsidRPr="002B7035">
        <w:rPr>
          <w:rFonts w:ascii="Gill Sans MT" w:hAnsi="Gill Sans MT" w:cs="Times New Roman"/>
          <w:i/>
          <w:iCs/>
          <w:sz w:val="18"/>
          <w:szCs w:val="18"/>
        </w:rPr>
        <w:t xml:space="preserve">Caso Acosta </w:t>
      </w:r>
      <w:proofErr w:type="spellStart"/>
      <w:r w:rsidRPr="002B7035">
        <w:rPr>
          <w:rFonts w:ascii="Gill Sans MT" w:hAnsi="Gill Sans MT" w:cs="Times New Roman"/>
          <w:i/>
          <w:iCs/>
          <w:sz w:val="18"/>
          <w:szCs w:val="18"/>
        </w:rPr>
        <w:t>Calderón</w:t>
      </w:r>
      <w:proofErr w:type="spellEnd"/>
      <w:r w:rsidRPr="002B7035">
        <w:rPr>
          <w:rFonts w:ascii="Gill Sans MT" w:hAnsi="Gill Sans MT" w:cs="Times New Roman"/>
          <w:i/>
          <w:iCs/>
          <w:sz w:val="18"/>
          <w:szCs w:val="18"/>
        </w:rPr>
        <w:t xml:space="preserve"> vs.</w:t>
      </w:r>
      <w:r w:rsidRPr="002B7035">
        <w:rPr>
          <w:rFonts w:ascii="Gill Sans MT" w:hAnsi="Gill Sans MT" w:cs="Times New Roman"/>
          <w:i/>
          <w:iCs/>
          <w:sz w:val="18"/>
          <w:szCs w:val="18"/>
          <w:lang w:val="es-ES"/>
        </w:rPr>
        <w:t xml:space="preserve"> </w:t>
      </w:r>
      <w:r w:rsidRPr="002B7035">
        <w:rPr>
          <w:rFonts w:ascii="Gill Sans MT" w:hAnsi="Gill Sans MT" w:cs="Times New Roman"/>
          <w:i/>
          <w:iCs/>
          <w:sz w:val="18"/>
          <w:szCs w:val="18"/>
        </w:rPr>
        <w:t>Ecuador</w:t>
      </w:r>
      <w:r w:rsidRPr="002B7035">
        <w:rPr>
          <w:rFonts w:ascii="Gill Sans MT" w:hAnsi="Gill Sans MT" w:cs="Times New Roman"/>
          <w:sz w:val="18"/>
          <w:szCs w:val="18"/>
        </w:rPr>
        <w:t xml:space="preserve">, § 111 </w:t>
      </w:r>
    </w:p>
  </w:footnote>
  <w:footnote w:id="6">
    <w:p w14:paraId="45E01E1A" w14:textId="77777777" w:rsidR="004754CB" w:rsidRPr="002B7035" w:rsidRDefault="004754CB" w:rsidP="004754CB">
      <w:pPr>
        <w:pStyle w:val="Sinespaciado"/>
        <w:jc w:val="both"/>
        <w:rPr>
          <w:rFonts w:ascii="Gill Sans MT" w:hAnsi="Gill Sans MT" w:cs="Times New Roman"/>
          <w:sz w:val="18"/>
          <w:szCs w:val="18"/>
          <w:lang w:val="es-ES"/>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w:t>
      </w:r>
      <w:r w:rsidRPr="002B7035">
        <w:rPr>
          <w:rFonts w:ascii="Gill Sans MT" w:hAnsi="Gill Sans MT" w:cs="Times New Roman"/>
          <w:sz w:val="18"/>
          <w:szCs w:val="18"/>
          <w:lang w:val="es-ES"/>
        </w:rPr>
        <w:t xml:space="preserve">Corte IDH. </w:t>
      </w:r>
      <w:r w:rsidRPr="002B7035">
        <w:rPr>
          <w:rFonts w:ascii="Gill Sans MT" w:hAnsi="Gill Sans MT" w:cs="Times New Roman"/>
          <w:i/>
          <w:iCs/>
          <w:sz w:val="18"/>
          <w:szCs w:val="18"/>
          <w:lang w:val="es-ES"/>
        </w:rPr>
        <w:t xml:space="preserve">Caso Romero </w:t>
      </w:r>
      <w:proofErr w:type="spellStart"/>
      <w:r w:rsidRPr="002B7035">
        <w:rPr>
          <w:rFonts w:ascii="Gill Sans MT" w:hAnsi="Gill Sans MT" w:cs="Times New Roman"/>
          <w:i/>
          <w:iCs/>
          <w:sz w:val="18"/>
          <w:szCs w:val="18"/>
          <w:lang w:val="es-ES"/>
        </w:rPr>
        <w:t>Feris</w:t>
      </w:r>
      <w:proofErr w:type="spellEnd"/>
      <w:r w:rsidRPr="002B7035">
        <w:rPr>
          <w:rFonts w:ascii="Gill Sans MT" w:hAnsi="Gill Sans MT" w:cs="Times New Roman"/>
          <w:i/>
          <w:iCs/>
          <w:sz w:val="18"/>
          <w:szCs w:val="18"/>
          <w:lang w:val="es-ES"/>
        </w:rPr>
        <w:t xml:space="preserve"> vs. Argentina</w:t>
      </w:r>
      <w:r w:rsidRPr="002B7035">
        <w:rPr>
          <w:rFonts w:ascii="Gill Sans MT" w:hAnsi="Gill Sans MT" w:cs="Times New Roman"/>
          <w:sz w:val="18"/>
          <w:szCs w:val="18"/>
          <w:lang w:val="es-ES"/>
        </w:rPr>
        <w:t xml:space="preserve">, §§ 93-96. </w:t>
      </w:r>
    </w:p>
  </w:footnote>
  <w:footnote w:id="7">
    <w:p w14:paraId="308A1B26" w14:textId="77777777" w:rsidR="008816F9" w:rsidRPr="002B7035" w:rsidRDefault="008816F9" w:rsidP="008816F9">
      <w:pPr>
        <w:pStyle w:val="Sinespaciado"/>
        <w:jc w:val="both"/>
        <w:rPr>
          <w:rFonts w:ascii="Gill Sans MT" w:hAnsi="Gill Sans MT" w:cs="Times New Roman"/>
          <w:sz w:val="18"/>
          <w:szCs w:val="18"/>
          <w:lang w:val="es-ES"/>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w:t>
      </w:r>
      <w:r w:rsidRPr="002B7035">
        <w:rPr>
          <w:rFonts w:ascii="Gill Sans MT" w:hAnsi="Gill Sans MT" w:cs="Times New Roman"/>
          <w:sz w:val="18"/>
          <w:szCs w:val="18"/>
          <w:lang w:val="es-ES"/>
        </w:rPr>
        <w:t xml:space="preserve">TEDH. </w:t>
      </w:r>
      <w:r w:rsidRPr="002B7035">
        <w:rPr>
          <w:rFonts w:ascii="Gill Sans MT" w:hAnsi="Gill Sans MT" w:cs="Times New Roman"/>
          <w:i/>
          <w:iCs/>
          <w:sz w:val="18"/>
          <w:szCs w:val="18"/>
          <w:lang w:val="es-ES"/>
        </w:rPr>
        <w:t xml:space="preserve">Caso </w:t>
      </w:r>
      <w:proofErr w:type="spellStart"/>
      <w:r w:rsidRPr="002B7035">
        <w:rPr>
          <w:rFonts w:ascii="Gill Sans MT" w:hAnsi="Gill Sans MT" w:cs="Times New Roman"/>
          <w:i/>
          <w:iCs/>
          <w:sz w:val="18"/>
          <w:szCs w:val="18"/>
          <w:lang w:val="es-ES"/>
        </w:rPr>
        <w:t>Panchencko</w:t>
      </w:r>
      <w:proofErr w:type="spellEnd"/>
      <w:r w:rsidRPr="002B7035">
        <w:rPr>
          <w:rFonts w:ascii="Gill Sans MT" w:hAnsi="Gill Sans MT" w:cs="Times New Roman"/>
          <w:i/>
          <w:iCs/>
          <w:sz w:val="18"/>
          <w:szCs w:val="18"/>
          <w:lang w:val="es-ES"/>
        </w:rPr>
        <w:t xml:space="preserve"> v. Rusia</w:t>
      </w:r>
      <w:r w:rsidRPr="002B7035">
        <w:rPr>
          <w:rFonts w:ascii="Gill Sans MT" w:hAnsi="Gill Sans MT" w:cs="Times New Roman"/>
          <w:sz w:val="18"/>
          <w:szCs w:val="18"/>
          <w:lang w:val="es-ES"/>
        </w:rPr>
        <w:t xml:space="preserve">, § 106; </w:t>
      </w:r>
      <w:r w:rsidRPr="002B7035">
        <w:rPr>
          <w:rFonts w:ascii="Gill Sans MT" w:hAnsi="Gill Sans MT" w:cs="Times New Roman"/>
          <w:i/>
          <w:iCs/>
          <w:sz w:val="18"/>
          <w:szCs w:val="18"/>
          <w:lang w:val="es-ES"/>
        </w:rPr>
        <w:t xml:space="preserve">Caso </w:t>
      </w:r>
      <w:proofErr w:type="spellStart"/>
      <w:r w:rsidRPr="002B7035">
        <w:rPr>
          <w:rFonts w:ascii="Gill Sans MT" w:hAnsi="Gill Sans MT" w:cs="Times New Roman"/>
          <w:i/>
          <w:iCs/>
          <w:sz w:val="18"/>
          <w:szCs w:val="18"/>
          <w:lang w:val="es-ES"/>
        </w:rPr>
        <w:t>Becciev</w:t>
      </w:r>
      <w:proofErr w:type="spellEnd"/>
      <w:r w:rsidRPr="002B7035">
        <w:rPr>
          <w:rFonts w:ascii="Gill Sans MT" w:hAnsi="Gill Sans MT" w:cs="Times New Roman"/>
          <w:i/>
          <w:iCs/>
          <w:sz w:val="18"/>
          <w:szCs w:val="18"/>
          <w:lang w:val="es-ES"/>
        </w:rPr>
        <w:t xml:space="preserve"> v. Moldavia</w:t>
      </w:r>
      <w:r w:rsidRPr="002B7035">
        <w:rPr>
          <w:rFonts w:ascii="Gill Sans MT" w:hAnsi="Gill Sans MT" w:cs="Times New Roman"/>
          <w:sz w:val="18"/>
          <w:szCs w:val="18"/>
          <w:lang w:val="es-ES"/>
        </w:rPr>
        <w:t xml:space="preserve">, § 58; </w:t>
      </w:r>
      <w:r w:rsidRPr="002B7035">
        <w:rPr>
          <w:rFonts w:ascii="Gill Sans MT" w:hAnsi="Gill Sans MT" w:cs="Times New Roman"/>
          <w:i/>
          <w:iCs/>
          <w:sz w:val="18"/>
          <w:szCs w:val="18"/>
          <w:lang w:val="es-ES"/>
        </w:rPr>
        <w:t xml:space="preserve">Caso </w:t>
      </w:r>
      <w:proofErr w:type="spellStart"/>
      <w:r w:rsidRPr="002B7035">
        <w:rPr>
          <w:rFonts w:ascii="Gill Sans MT" w:hAnsi="Gill Sans MT" w:cs="Times New Roman"/>
          <w:i/>
          <w:iCs/>
          <w:sz w:val="18"/>
          <w:szCs w:val="18"/>
          <w:lang w:val="es-ES"/>
        </w:rPr>
        <w:t>Sulaoja</w:t>
      </w:r>
      <w:proofErr w:type="spellEnd"/>
      <w:r w:rsidRPr="002B7035">
        <w:rPr>
          <w:rFonts w:ascii="Gill Sans MT" w:hAnsi="Gill Sans MT" w:cs="Times New Roman"/>
          <w:i/>
          <w:iCs/>
          <w:sz w:val="18"/>
          <w:szCs w:val="18"/>
          <w:lang w:val="es-ES"/>
        </w:rPr>
        <w:t xml:space="preserve"> v. Estonia</w:t>
      </w:r>
      <w:r w:rsidRPr="002B7035">
        <w:rPr>
          <w:rFonts w:ascii="Gill Sans MT" w:hAnsi="Gill Sans MT" w:cs="Times New Roman"/>
          <w:sz w:val="18"/>
          <w:szCs w:val="18"/>
          <w:lang w:val="es-ES"/>
        </w:rPr>
        <w:t xml:space="preserve">, § 64. </w:t>
      </w:r>
    </w:p>
  </w:footnote>
  <w:footnote w:id="8">
    <w:p w14:paraId="3D404DD5" w14:textId="42E3520E" w:rsidR="008816F9" w:rsidRPr="002B7035" w:rsidRDefault="008816F9" w:rsidP="008816F9">
      <w:pPr>
        <w:pStyle w:val="Sinespaciado"/>
        <w:jc w:val="both"/>
        <w:rPr>
          <w:rFonts w:ascii="Gill Sans MT" w:hAnsi="Gill Sans MT" w:cs="Times New Roman"/>
          <w:sz w:val="18"/>
          <w:szCs w:val="18"/>
          <w:lang w:val="es-ES"/>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w:t>
      </w:r>
      <w:r w:rsidRPr="002B7035">
        <w:rPr>
          <w:rFonts w:ascii="Gill Sans MT" w:hAnsi="Gill Sans MT" w:cs="Times New Roman"/>
          <w:sz w:val="18"/>
          <w:szCs w:val="18"/>
          <w:lang w:val="es-ES"/>
        </w:rPr>
        <w:t xml:space="preserve">TEDH. </w:t>
      </w:r>
      <w:r w:rsidRPr="002B7035">
        <w:rPr>
          <w:rFonts w:ascii="Gill Sans MT" w:hAnsi="Gill Sans MT" w:cs="Times New Roman"/>
          <w:i/>
          <w:iCs/>
          <w:sz w:val="18"/>
          <w:szCs w:val="18"/>
          <w:lang w:val="es-ES"/>
        </w:rPr>
        <w:t xml:space="preserve">Caso </w:t>
      </w:r>
      <w:proofErr w:type="spellStart"/>
      <w:r w:rsidRPr="002B7035">
        <w:rPr>
          <w:rFonts w:ascii="Gill Sans MT" w:hAnsi="Gill Sans MT" w:cs="Times New Roman"/>
          <w:i/>
          <w:iCs/>
          <w:sz w:val="18"/>
          <w:szCs w:val="18"/>
          <w:lang w:val="es-ES"/>
        </w:rPr>
        <w:t>Becciev</w:t>
      </w:r>
      <w:proofErr w:type="spellEnd"/>
      <w:r w:rsidRPr="002B7035">
        <w:rPr>
          <w:rFonts w:ascii="Gill Sans MT" w:hAnsi="Gill Sans MT" w:cs="Times New Roman"/>
          <w:i/>
          <w:iCs/>
          <w:sz w:val="18"/>
          <w:szCs w:val="18"/>
          <w:lang w:val="es-ES"/>
        </w:rPr>
        <w:t xml:space="preserve"> v. Moldavia</w:t>
      </w:r>
      <w:r w:rsidRPr="002B7035">
        <w:rPr>
          <w:rFonts w:ascii="Gill Sans MT" w:hAnsi="Gill Sans MT" w:cs="Times New Roman"/>
          <w:sz w:val="18"/>
          <w:szCs w:val="18"/>
          <w:lang w:val="es-ES"/>
        </w:rPr>
        <w:t xml:space="preserve">, § 59. </w:t>
      </w:r>
    </w:p>
  </w:footnote>
  <w:footnote w:id="9">
    <w:p w14:paraId="135D9ABD" w14:textId="77777777" w:rsidR="004754CB" w:rsidRPr="002B7035" w:rsidRDefault="004754CB" w:rsidP="004754CB">
      <w:pPr>
        <w:pStyle w:val="Sinespaciado"/>
        <w:jc w:val="both"/>
        <w:rPr>
          <w:rFonts w:ascii="Gill Sans MT" w:hAnsi="Gill Sans MT" w:cs="Times New Roman"/>
          <w:sz w:val="18"/>
          <w:szCs w:val="18"/>
          <w:lang w:val="es-ES"/>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w:t>
      </w:r>
      <w:r w:rsidRPr="002B7035">
        <w:rPr>
          <w:rFonts w:ascii="Gill Sans MT" w:hAnsi="Gill Sans MT" w:cs="Times New Roman"/>
          <w:sz w:val="18"/>
          <w:szCs w:val="18"/>
          <w:lang w:val="es-ES"/>
        </w:rPr>
        <w:t xml:space="preserve">Corte IDH. </w:t>
      </w:r>
      <w:r w:rsidRPr="002B7035">
        <w:rPr>
          <w:rFonts w:ascii="Gill Sans MT" w:hAnsi="Gill Sans MT" w:cs="Times New Roman"/>
          <w:i/>
          <w:iCs/>
          <w:sz w:val="18"/>
          <w:szCs w:val="18"/>
          <w:lang w:val="es-ES"/>
        </w:rPr>
        <w:t xml:space="preserve">Caso Romero </w:t>
      </w:r>
      <w:proofErr w:type="spellStart"/>
      <w:r w:rsidRPr="002B7035">
        <w:rPr>
          <w:rFonts w:ascii="Gill Sans MT" w:hAnsi="Gill Sans MT" w:cs="Times New Roman"/>
          <w:i/>
          <w:iCs/>
          <w:sz w:val="18"/>
          <w:szCs w:val="18"/>
          <w:lang w:val="es-ES"/>
        </w:rPr>
        <w:t>Feris</w:t>
      </w:r>
      <w:proofErr w:type="spellEnd"/>
      <w:r w:rsidRPr="002B7035">
        <w:rPr>
          <w:rFonts w:ascii="Gill Sans MT" w:hAnsi="Gill Sans MT" w:cs="Times New Roman"/>
          <w:i/>
          <w:iCs/>
          <w:sz w:val="18"/>
          <w:szCs w:val="18"/>
          <w:lang w:val="es-ES"/>
        </w:rPr>
        <w:t xml:space="preserve"> vs. Argentina</w:t>
      </w:r>
      <w:r w:rsidRPr="002B7035">
        <w:rPr>
          <w:rFonts w:ascii="Gill Sans MT" w:hAnsi="Gill Sans MT" w:cs="Times New Roman"/>
          <w:sz w:val="18"/>
          <w:szCs w:val="18"/>
          <w:lang w:val="es-ES"/>
        </w:rPr>
        <w:t xml:space="preserve">, §§ 110-111; </w:t>
      </w:r>
      <w:r w:rsidRPr="002B7035">
        <w:rPr>
          <w:rFonts w:ascii="Gill Sans MT" w:hAnsi="Gill Sans MT" w:cs="Times New Roman"/>
          <w:i/>
          <w:iCs/>
          <w:sz w:val="18"/>
          <w:szCs w:val="18"/>
          <w:lang w:val="es-ES"/>
        </w:rPr>
        <w:t>Caso Norín Catrimán y otros vs Chile</w:t>
      </w:r>
      <w:r w:rsidRPr="002B7035">
        <w:rPr>
          <w:rFonts w:ascii="Gill Sans MT" w:hAnsi="Gill Sans MT" w:cs="Times New Roman"/>
          <w:sz w:val="18"/>
          <w:szCs w:val="18"/>
          <w:lang w:val="es-ES"/>
        </w:rPr>
        <w:t xml:space="preserve">, § 312. </w:t>
      </w:r>
    </w:p>
  </w:footnote>
  <w:footnote w:id="10">
    <w:p w14:paraId="13891646" w14:textId="77777777" w:rsidR="004754CB" w:rsidRPr="002B7035" w:rsidRDefault="004754CB" w:rsidP="004754CB">
      <w:pPr>
        <w:pStyle w:val="Sinespaciado"/>
        <w:jc w:val="both"/>
        <w:rPr>
          <w:rFonts w:ascii="Gill Sans MT" w:hAnsi="Gill Sans MT" w:cs="Times New Roman"/>
          <w:sz w:val="18"/>
          <w:szCs w:val="18"/>
          <w:lang w:val="es-ES"/>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w:t>
      </w:r>
      <w:r w:rsidRPr="002B7035">
        <w:rPr>
          <w:rFonts w:ascii="Gill Sans MT" w:hAnsi="Gill Sans MT" w:cs="Times New Roman"/>
          <w:sz w:val="18"/>
          <w:szCs w:val="18"/>
          <w:lang w:val="es-ES"/>
        </w:rPr>
        <w:t xml:space="preserve">Corte IDH. </w:t>
      </w:r>
      <w:r w:rsidRPr="002B7035">
        <w:rPr>
          <w:rFonts w:ascii="Gill Sans MT" w:hAnsi="Gill Sans MT" w:cs="Times New Roman"/>
          <w:i/>
          <w:iCs/>
          <w:sz w:val="18"/>
          <w:szCs w:val="18"/>
          <w:lang w:val="es-ES"/>
        </w:rPr>
        <w:t>Caso Norín Catrimán y otros</w:t>
      </w:r>
      <w:r w:rsidRPr="002B7035">
        <w:rPr>
          <w:rFonts w:ascii="Gill Sans MT" w:hAnsi="Gill Sans MT" w:cs="Times New Roman"/>
          <w:sz w:val="18"/>
          <w:szCs w:val="18"/>
          <w:lang w:val="es-ES"/>
        </w:rPr>
        <w:t xml:space="preserve">, § 322. </w:t>
      </w:r>
    </w:p>
  </w:footnote>
  <w:footnote w:id="11">
    <w:p w14:paraId="0D2833DB" w14:textId="77777777" w:rsidR="004754CB" w:rsidRPr="002B7035" w:rsidRDefault="004754CB" w:rsidP="004754CB">
      <w:pPr>
        <w:pStyle w:val="Sinespaciado"/>
        <w:jc w:val="both"/>
        <w:rPr>
          <w:rFonts w:ascii="Gill Sans MT" w:hAnsi="Gill Sans MT" w:cs="Times New Roman"/>
          <w:sz w:val="18"/>
          <w:szCs w:val="18"/>
          <w:lang w:val="es-ES"/>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w:t>
      </w:r>
      <w:r w:rsidRPr="002B7035">
        <w:rPr>
          <w:rFonts w:ascii="Gill Sans MT" w:hAnsi="Gill Sans MT" w:cs="Times New Roman"/>
          <w:sz w:val="18"/>
          <w:szCs w:val="18"/>
          <w:lang w:val="es-ES"/>
        </w:rPr>
        <w:t xml:space="preserve">Corte IDH. </w:t>
      </w:r>
      <w:r w:rsidRPr="002B7035">
        <w:rPr>
          <w:rFonts w:ascii="Gill Sans MT" w:hAnsi="Gill Sans MT" w:cs="Times New Roman"/>
          <w:i/>
          <w:iCs/>
          <w:sz w:val="18"/>
          <w:szCs w:val="18"/>
          <w:lang w:val="es-ES"/>
        </w:rPr>
        <w:t>Caso J</w:t>
      </w:r>
      <w:r w:rsidRPr="002B7035">
        <w:rPr>
          <w:rFonts w:ascii="Gill Sans MT" w:hAnsi="Gill Sans MT" w:cs="Times New Roman"/>
          <w:sz w:val="18"/>
          <w:szCs w:val="18"/>
          <w:lang w:val="es-ES"/>
        </w:rPr>
        <w:t xml:space="preserve">, §§ 159, 162-163. </w:t>
      </w:r>
    </w:p>
  </w:footnote>
  <w:footnote w:id="12">
    <w:p w14:paraId="7A6FEDF1" w14:textId="77777777" w:rsidR="004754CB" w:rsidRPr="002B7035" w:rsidRDefault="004754CB" w:rsidP="004754CB">
      <w:pPr>
        <w:pStyle w:val="Sinespaciado"/>
        <w:jc w:val="both"/>
        <w:rPr>
          <w:rFonts w:ascii="Gill Sans MT" w:hAnsi="Gill Sans MT" w:cs="Times New Roman"/>
          <w:sz w:val="18"/>
          <w:szCs w:val="18"/>
          <w:lang w:val="es-ES"/>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w:t>
      </w:r>
      <w:r w:rsidRPr="002B7035">
        <w:rPr>
          <w:rFonts w:ascii="Gill Sans MT" w:hAnsi="Gill Sans MT" w:cs="Times New Roman"/>
          <w:sz w:val="18"/>
          <w:szCs w:val="18"/>
          <w:lang w:val="es-ES"/>
        </w:rPr>
        <w:t xml:space="preserve">Corte IDH. </w:t>
      </w:r>
      <w:r w:rsidRPr="002B7035">
        <w:rPr>
          <w:rFonts w:ascii="Gill Sans MT" w:hAnsi="Gill Sans MT" w:cs="Times New Roman"/>
          <w:i/>
          <w:iCs/>
          <w:sz w:val="18"/>
          <w:szCs w:val="18"/>
          <w:lang w:val="es-ES"/>
        </w:rPr>
        <w:t>Instituto de Reeducación del Menor vs. Paraguay</w:t>
      </w:r>
      <w:r w:rsidRPr="002B7035">
        <w:rPr>
          <w:rFonts w:ascii="Gill Sans MT" w:hAnsi="Gill Sans MT" w:cs="Times New Roman"/>
          <w:sz w:val="18"/>
          <w:szCs w:val="18"/>
          <w:lang w:val="es-ES"/>
        </w:rPr>
        <w:t xml:space="preserve">, § 255. </w:t>
      </w:r>
    </w:p>
  </w:footnote>
  <w:footnote w:id="13">
    <w:p w14:paraId="33083987" w14:textId="77777777" w:rsidR="004754CB" w:rsidRPr="002B7035" w:rsidRDefault="004754CB" w:rsidP="004754CB">
      <w:pPr>
        <w:pStyle w:val="Sinespaciado"/>
        <w:jc w:val="both"/>
        <w:rPr>
          <w:rFonts w:ascii="Gill Sans MT" w:hAnsi="Gill Sans MT" w:cs="Times New Roman"/>
          <w:sz w:val="18"/>
          <w:szCs w:val="18"/>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La regla 5.1 de las Reglas </w:t>
      </w:r>
      <w:proofErr w:type="spellStart"/>
      <w:r w:rsidRPr="002B7035">
        <w:rPr>
          <w:rFonts w:ascii="Gill Sans MT" w:hAnsi="Gill Sans MT" w:cs="Times New Roman"/>
          <w:sz w:val="18"/>
          <w:szCs w:val="18"/>
        </w:rPr>
        <w:t>mínimas</w:t>
      </w:r>
      <w:proofErr w:type="spellEnd"/>
      <w:r w:rsidRPr="002B7035">
        <w:rPr>
          <w:rFonts w:ascii="Gill Sans MT" w:hAnsi="Gill Sans MT" w:cs="Times New Roman"/>
          <w:sz w:val="18"/>
          <w:szCs w:val="18"/>
        </w:rPr>
        <w:t xml:space="preserve"> de las Naciones Unidas para la </w:t>
      </w:r>
      <w:proofErr w:type="spellStart"/>
      <w:r w:rsidRPr="002B7035">
        <w:rPr>
          <w:rFonts w:ascii="Gill Sans MT" w:hAnsi="Gill Sans MT" w:cs="Times New Roman"/>
          <w:sz w:val="18"/>
          <w:szCs w:val="18"/>
        </w:rPr>
        <w:t>administración</w:t>
      </w:r>
      <w:proofErr w:type="spellEnd"/>
      <w:r w:rsidRPr="002B7035">
        <w:rPr>
          <w:rFonts w:ascii="Gill Sans MT" w:hAnsi="Gill Sans MT" w:cs="Times New Roman"/>
          <w:sz w:val="18"/>
          <w:szCs w:val="18"/>
        </w:rPr>
        <w:t xml:space="preserve"> de la justicia de menores (Reglas de Beijing) </w:t>
      </w:r>
      <w:proofErr w:type="spellStart"/>
      <w:r w:rsidRPr="002B7035">
        <w:rPr>
          <w:rFonts w:ascii="Gill Sans MT" w:hAnsi="Gill Sans MT" w:cs="Times New Roman"/>
          <w:sz w:val="18"/>
          <w:szCs w:val="18"/>
        </w:rPr>
        <w:t>señala</w:t>
      </w:r>
      <w:proofErr w:type="spellEnd"/>
      <w:r w:rsidRPr="002B7035">
        <w:rPr>
          <w:rFonts w:ascii="Gill Sans MT" w:hAnsi="Gill Sans MT" w:cs="Times New Roman"/>
          <w:sz w:val="18"/>
          <w:szCs w:val="18"/>
        </w:rPr>
        <w:t xml:space="preserve"> que: “[e]l sistema de justicia de menores </w:t>
      </w:r>
      <w:proofErr w:type="spellStart"/>
      <w:r w:rsidRPr="002B7035">
        <w:rPr>
          <w:rFonts w:ascii="Gill Sans MT" w:hAnsi="Gill Sans MT" w:cs="Times New Roman"/>
          <w:sz w:val="18"/>
          <w:szCs w:val="18"/>
        </w:rPr>
        <w:t>hara</w:t>
      </w:r>
      <w:proofErr w:type="spellEnd"/>
      <w:r w:rsidRPr="002B7035">
        <w:rPr>
          <w:rFonts w:ascii="Gill Sans MT" w:hAnsi="Gill Sans MT" w:cs="Times New Roman"/>
          <w:sz w:val="18"/>
          <w:szCs w:val="18"/>
        </w:rPr>
        <w:t xml:space="preserve">́ </w:t>
      </w:r>
      <w:proofErr w:type="spellStart"/>
      <w:r w:rsidRPr="002B7035">
        <w:rPr>
          <w:rFonts w:ascii="Gill Sans MT" w:hAnsi="Gill Sans MT" w:cs="Times New Roman"/>
          <w:sz w:val="18"/>
          <w:szCs w:val="18"/>
        </w:rPr>
        <w:t>hincapie</w:t>
      </w:r>
      <w:proofErr w:type="spellEnd"/>
      <w:r w:rsidRPr="002B7035">
        <w:rPr>
          <w:rFonts w:ascii="Gill Sans MT" w:hAnsi="Gill Sans MT" w:cs="Times New Roman"/>
          <w:sz w:val="18"/>
          <w:szCs w:val="18"/>
        </w:rPr>
        <w:t xml:space="preserve">́ en el bienestar de </w:t>
      </w:r>
      <w:proofErr w:type="spellStart"/>
      <w:r w:rsidRPr="002B7035">
        <w:rPr>
          <w:rFonts w:ascii="Gill Sans MT" w:hAnsi="Gill Sans MT" w:cs="Times New Roman"/>
          <w:sz w:val="18"/>
          <w:szCs w:val="18"/>
        </w:rPr>
        <w:t>éstos</w:t>
      </w:r>
      <w:proofErr w:type="spellEnd"/>
      <w:r w:rsidRPr="002B7035">
        <w:rPr>
          <w:rFonts w:ascii="Gill Sans MT" w:hAnsi="Gill Sans MT" w:cs="Times New Roman"/>
          <w:sz w:val="18"/>
          <w:szCs w:val="18"/>
        </w:rPr>
        <w:t xml:space="preserve"> y garantizará que cualquier respuesta a los menores delincuentes </w:t>
      </w:r>
      <w:proofErr w:type="spellStart"/>
      <w:r w:rsidRPr="002B7035">
        <w:rPr>
          <w:rFonts w:ascii="Gill Sans MT" w:hAnsi="Gill Sans MT" w:cs="Times New Roman"/>
          <w:sz w:val="18"/>
          <w:szCs w:val="18"/>
        </w:rPr>
        <w:t>sera</w:t>
      </w:r>
      <w:proofErr w:type="spellEnd"/>
      <w:r w:rsidRPr="002B7035">
        <w:rPr>
          <w:rFonts w:ascii="Gill Sans MT" w:hAnsi="Gill Sans MT" w:cs="Times New Roman"/>
          <w:sz w:val="18"/>
          <w:szCs w:val="18"/>
        </w:rPr>
        <w:t xml:space="preserve">́ en todo momento proporcionada a las circunstancias del delincuente y del delito”. Asimismo, la regla 17.1.a) indica que: “[l]a respuesta que se dé al delito </w:t>
      </w:r>
      <w:proofErr w:type="spellStart"/>
      <w:r w:rsidRPr="002B7035">
        <w:rPr>
          <w:rFonts w:ascii="Gill Sans MT" w:hAnsi="Gill Sans MT" w:cs="Times New Roman"/>
          <w:sz w:val="18"/>
          <w:szCs w:val="18"/>
        </w:rPr>
        <w:t>sera</w:t>
      </w:r>
      <w:proofErr w:type="spellEnd"/>
      <w:r w:rsidRPr="002B7035">
        <w:rPr>
          <w:rFonts w:ascii="Gill Sans MT" w:hAnsi="Gill Sans MT" w:cs="Times New Roman"/>
          <w:sz w:val="18"/>
          <w:szCs w:val="18"/>
        </w:rPr>
        <w:t xml:space="preserve">́ siempre proporcionada, no </w:t>
      </w:r>
      <w:proofErr w:type="spellStart"/>
      <w:r w:rsidRPr="002B7035">
        <w:rPr>
          <w:rFonts w:ascii="Gill Sans MT" w:hAnsi="Gill Sans MT" w:cs="Times New Roman"/>
          <w:sz w:val="18"/>
          <w:szCs w:val="18"/>
        </w:rPr>
        <w:t>sólo</w:t>
      </w:r>
      <w:proofErr w:type="spellEnd"/>
      <w:r w:rsidRPr="002B7035">
        <w:rPr>
          <w:rFonts w:ascii="Gill Sans MT" w:hAnsi="Gill Sans MT" w:cs="Times New Roman"/>
          <w:sz w:val="18"/>
          <w:szCs w:val="18"/>
        </w:rPr>
        <w:t xml:space="preserve"> a las circunstancias y la gravedad del delito, sino </w:t>
      </w:r>
      <w:proofErr w:type="spellStart"/>
      <w:r w:rsidRPr="002B7035">
        <w:rPr>
          <w:rFonts w:ascii="Gill Sans MT" w:hAnsi="Gill Sans MT" w:cs="Times New Roman"/>
          <w:sz w:val="18"/>
          <w:szCs w:val="18"/>
        </w:rPr>
        <w:t>también</w:t>
      </w:r>
      <w:proofErr w:type="spellEnd"/>
      <w:r w:rsidRPr="002B7035">
        <w:rPr>
          <w:rFonts w:ascii="Gill Sans MT" w:hAnsi="Gill Sans MT" w:cs="Times New Roman"/>
          <w:sz w:val="18"/>
          <w:szCs w:val="18"/>
        </w:rPr>
        <w:t xml:space="preserve"> a las circunstancias y necesidades del menor, </w:t>
      </w:r>
      <w:proofErr w:type="spellStart"/>
      <w:r w:rsidRPr="002B7035">
        <w:rPr>
          <w:rFonts w:ascii="Gill Sans MT" w:hAnsi="Gill Sans MT" w:cs="Times New Roman"/>
          <w:sz w:val="18"/>
          <w:szCs w:val="18"/>
        </w:rPr>
        <w:t>asi</w:t>
      </w:r>
      <w:proofErr w:type="spellEnd"/>
      <w:r w:rsidRPr="002B7035">
        <w:rPr>
          <w:rFonts w:ascii="Gill Sans MT" w:hAnsi="Gill Sans MT" w:cs="Times New Roman"/>
          <w:sz w:val="18"/>
          <w:szCs w:val="18"/>
        </w:rPr>
        <w:t xml:space="preserve">́ como a las necesidades de la sociedad”. </w:t>
      </w:r>
    </w:p>
  </w:footnote>
  <w:footnote w:id="14">
    <w:p w14:paraId="5D93B700" w14:textId="77777777" w:rsidR="004754CB" w:rsidRPr="002B7035" w:rsidRDefault="004754CB" w:rsidP="004754CB">
      <w:pPr>
        <w:pStyle w:val="Sinespaciado"/>
        <w:jc w:val="both"/>
        <w:rPr>
          <w:rFonts w:ascii="Gill Sans MT" w:hAnsi="Gill Sans MT" w:cs="Times New Roman"/>
          <w:sz w:val="18"/>
          <w:szCs w:val="18"/>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w:t>
      </w:r>
      <w:proofErr w:type="spellStart"/>
      <w:r w:rsidRPr="002B7035">
        <w:rPr>
          <w:rFonts w:ascii="Gill Sans MT" w:hAnsi="Gill Sans MT" w:cs="Times New Roman"/>
          <w:sz w:val="18"/>
          <w:szCs w:val="18"/>
        </w:rPr>
        <w:t>Comite</w:t>
      </w:r>
      <w:proofErr w:type="spellEnd"/>
      <w:r w:rsidRPr="002B7035">
        <w:rPr>
          <w:rFonts w:ascii="Gill Sans MT" w:hAnsi="Gill Sans MT" w:cs="Times New Roman"/>
          <w:sz w:val="18"/>
          <w:szCs w:val="18"/>
        </w:rPr>
        <w:t xml:space="preserve">́ de los Derechos del </w:t>
      </w:r>
      <w:proofErr w:type="spellStart"/>
      <w:r w:rsidRPr="002B7035">
        <w:rPr>
          <w:rFonts w:ascii="Gill Sans MT" w:hAnsi="Gill Sans MT" w:cs="Times New Roman"/>
          <w:sz w:val="18"/>
          <w:szCs w:val="18"/>
        </w:rPr>
        <w:t>Niño</w:t>
      </w:r>
      <w:proofErr w:type="spellEnd"/>
      <w:r w:rsidRPr="002B7035">
        <w:rPr>
          <w:rFonts w:ascii="Gill Sans MT" w:hAnsi="Gill Sans MT" w:cs="Times New Roman"/>
          <w:sz w:val="18"/>
          <w:szCs w:val="18"/>
        </w:rPr>
        <w:t xml:space="preserve">, </w:t>
      </w:r>
      <w:proofErr w:type="spellStart"/>
      <w:r w:rsidRPr="002B7035">
        <w:rPr>
          <w:rFonts w:ascii="Gill Sans MT" w:hAnsi="Gill Sans MT" w:cs="Times New Roman"/>
          <w:sz w:val="18"/>
          <w:szCs w:val="18"/>
        </w:rPr>
        <w:t>Observación</w:t>
      </w:r>
      <w:proofErr w:type="spellEnd"/>
      <w:r w:rsidRPr="002B7035">
        <w:rPr>
          <w:rFonts w:ascii="Gill Sans MT" w:hAnsi="Gill Sans MT" w:cs="Times New Roman"/>
          <w:sz w:val="18"/>
          <w:szCs w:val="18"/>
        </w:rPr>
        <w:t xml:space="preserve"> General No. 10, </w:t>
      </w:r>
      <w:r w:rsidRPr="002B7035">
        <w:rPr>
          <w:rFonts w:ascii="Gill Sans MT" w:hAnsi="Gill Sans MT" w:cs="Times New Roman"/>
          <w:i/>
          <w:iCs/>
          <w:sz w:val="18"/>
          <w:szCs w:val="18"/>
        </w:rPr>
        <w:t xml:space="preserve">Los derechos del </w:t>
      </w:r>
      <w:proofErr w:type="spellStart"/>
      <w:r w:rsidRPr="002B7035">
        <w:rPr>
          <w:rFonts w:ascii="Gill Sans MT" w:hAnsi="Gill Sans MT" w:cs="Times New Roman"/>
          <w:i/>
          <w:iCs/>
          <w:sz w:val="18"/>
          <w:szCs w:val="18"/>
        </w:rPr>
        <w:t>niño</w:t>
      </w:r>
      <w:proofErr w:type="spellEnd"/>
      <w:r w:rsidRPr="002B7035">
        <w:rPr>
          <w:rFonts w:ascii="Gill Sans MT" w:hAnsi="Gill Sans MT" w:cs="Times New Roman"/>
          <w:i/>
          <w:iCs/>
          <w:sz w:val="18"/>
          <w:szCs w:val="18"/>
        </w:rPr>
        <w:t xml:space="preserve"> en la justicia de menores</w:t>
      </w:r>
      <w:r w:rsidRPr="002B7035">
        <w:rPr>
          <w:rFonts w:ascii="Gill Sans MT" w:hAnsi="Gill Sans MT" w:cs="Times New Roman"/>
          <w:sz w:val="18"/>
          <w:szCs w:val="18"/>
        </w:rPr>
        <w:t xml:space="preserve">, </w:t>
      </w:r>
      <w:proofErr w:type="spellStart"/>
      <w:r w:rsidRPr="002B7035">
        <w:rPr>
          <w:rFonts w:ascii="Gill Sans MT" w:hAnsi="Gill Sans MT" w:cs="Times New Roman"/>
          <w:sz w:val="18"/>
          <w:szCs w:val="18"/>
        </w:rPr>
        <w:t>párr</w:t>
      </w:r>
      <w:proofErr w:type="spellEnd"/>
      <w:r w:rsidRPr="002B7035">
        <w:rPr>
          <w:rFonts w:ascii="Gill Sans MT" w:hAnsi="Gill Sans MT" w:cs="Times New Roman"/>
          <w:sz w:val="18"/>
          <w:szCs w:val="18"/>
        </w:rPr>
        <w:t xml:space="preserve">. 77. </w:t>
      </w:r>
    </w:p>
  </w:footnote>
  <w:footnote w:id="15">
    <w:p w14:paraId="06E0555E" w14:textId="77777777" w:rsidR="004754CB" w:rsidRPr="002B7035" w:rsidRDefault="004754CB" w:rsidP="004754CB">
      <w:pPr>
        <w:pStyle w:val="Sinespaciado"/>
        <w:jc w:val="both"/>
        <w:rPr>
          <w:rFonts w:ascii="Gill Sans MT" w:hAnsi="Gill Sans MT" w:cs="Times New Roman"/>
          <w:sz w:val="18"/>
          <w:szCs w:val="18"/>
          <w:lang w:val="es-ES"/>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w:t>
      </w:r>
      <w:r w:rsidRPr="002B7035">
        <w:rPr>
          <w:rFonts w:ascii="Gill Sans MT" w:hAnsi="Gill Sans MT" w:cs="Times New Roman"/>
          <w:sz w:val="18"/>
          <w:szCs w:val="18"/>
          <w:lang w:val="es-ES"/>
        </w:rPr>
        <w:t xml:space="preserve">Corte IDH. </w:t>
      </w:r>
      <w:r w:rsidRPr="002B7035">
        <w:rPr>
          <w:rFonts w:ascii="Gill Sans MT" w:hAnsi="Gill Sans MT" w:cs="Times New Roman"/>
          <w:i/>
          <w:iCs/>
          <w:sz w:val="18"/>
          <w:szCs w:val="18"/>
          <w:lang w:val="es-ES"/>
        </w:rPr>
        <w:t>Caso Mendoza y otros vs. Argentina</w:t>
      </w:r>
      <w:r w:rsidRPr="002B7035">
        <w:rPr>
          <w:rFonts w:ascii="Gill Sans MT" w:hAnsi="Gill Sans MT" w:cs="Times New Roman"/>
          <w:sz w:val="18"/>
          <w:szCs w:val="18"/>
          <w:lang w:val="es-ES"/>
        </w:rPr>
        <w:t xml:space="preserve">, § 162. </w:t>
      </w:r>
    </w:p>
  </w:footnote>
  <w:footnote w:id="16">
    <w:p w14:paraId="6737ACDF" w14:textId="77777777" w:rsidR="004754CB" w:rsidRPr="002B7035" w:rsidRDefault="004754CB" w:rsidP="004754CB">
      <w:pPr>
        <w:pStyle w:val="Sinespaciado"/>
        <w:jc w:val="both"/>
        <w:rPr>
          <w:rFonts w:ascii="Gill Sans MT" w:hAnsi="Gill Sans MT" w:cs="Times New Roman"/>
          <w:sz w:val="18"/>
          <w:szCs w:val="18"/>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Comunicación núm. 23/2009, </w:t>
      </w:r>
      <w:proofErr w:type="spellStart"/>
      <w:r w:rsidRPr="002B7035">
        <w:rPr>
          <w:rFonts w:ascii="Gill Sans MT" w:hAnsi="Gill Sans MT" w:cs="Times New Roman"/>
          <w:sz w:val="18"/>
          <w:szCs w:val="18"/>
        </w:rPr>
        <w:t>Abramova</w:t>
      </w:r>
      <w:proofErr w:type="spellEnd"/>
      <w:r w:rsidRPr="002B7035">
        <w:rPr>
          <w:rFonts w:ascii="Gill Sans MT" w:hAnsi="Gill Sans MT" w:cs="Times New Roman"/>
          <w:sz w:val="18"/>
          <w:szCs w:val="18"/>
        </w:rPr>
        <w:t xml:space="preserve"> c. </w:t>
      </w:r>
      <w:proofErr w:type="spellStart"/>
      <w:r w:rsidRPr="002B7035">
        <w:rPr>
          <w:rFonts w:ascii="Gill Sans MT" w:hAnsi="Gill Sans MT" w:cs="Times New Roman"/>
          <w:sz w:val="18"/>
          <w:szCs w:val="18"/>
        </w:rPr>
        <w:t>Belarús</w:t>
      </w:r>
      <w:proofErr w:type="spellEnd"/>
      <w:r w:rsidRPr="002B7035">
        <w:rPr>
          <w:rFonts w:ascii="Gill Sans MT" w:hAnsi="Gill Sans MT" w:cs="Times New Roman"/>
          <w:sz w:val="18"/>
          <w:szCs w:val="18"/>
        </w:rPr>
        <w:t>, opiniones adoptadas el 25 de julio de 2011; véase también y Reglas de las Naciones Unidas para el Tratamiento de las Reclusas y medidas no privativas de la libertad para las Mujeres Delincuentes (Reglas de Bangkok), adoptadas por la Asamblea General en su resolución 65/229.</w:t>
      </w:r>
    </w:p>
  </w:footnote>
  <w:footnote w:id="17">
    <w:p w14:paraId="5DEFC9EA" w14:textId="77777777" w:rsidR="004754CB" w:rsidRPr="002B7035" w:rsidRDefault="004754CB" w:rsidP="004754CB">
      <w:pPr>
        <w:pStyle w:val="Sinespaciado"/>
        <w:jc w:val="both"/>
        <w:rPr>
          <w:rFonts w:ascii="Gill Sans MT" w:hAnsi="Gill Sans MT" w:cs="Times New Roman"/>
          <w:sz w:val="18"/>
          <w:szCs w:val="18"/>
          <w:lang w:val="es-ES"/>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w:t>
      </w:r>
      <w:r w:rsidRPr="002B7035">
        <w:rPr>
          <w:rFonts w:ascii="Gill Sans MT" w:hAnsi="Gill Sans MT" w:cs="Times New Roman"/>
          <w:sz w:val="18"/>
          <w:szCs w:val="18"/>
          <w:lang w:val="es-ES"/>
        </w:rPr>
        <w:t xml:space="preserve">Comité CEDAW. Recomendación general No. 33, § 48. </w:t>
      </w:r>
    </w:p>
  </w:footnote>
  <w:footnote w:id="18">
    <w:p w14:paraId="53220D38" w14:textId="77777777" w:rsidR="004754CB" w:rsidRPr="002B7035" w:rsidRDefault="004754CB" w:rsidP="004754CB">
      <w:pPr>
        <w:pStyle w:val="Sinespaciado"/>
        <w:jc w:val="both"/>
        <w:rPr>
          <w:rFonts w:ascii="Gill Sans MT" w:hAnsi="Gill Sans MT" w:cs="Times New Roman"/>
          <w:sz w:val="18"/>
          <w:szCs w:val="18"/>
          <w:lang w:val="es-ES"/>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w:t>
      </w:r>
      <w:r w:rsidRPr="002B7035">
        <w:rPr>
          <w:rFonts w:ascii="Gill Sans MT" w:hAnsi="Gill Sans MT" w:cs="Times New Roman"/>
          <w:sz w:val="18"/>
          <w:szCs w:val="18"/>
          <w:lang w:val="es-ES"/>
        </w:rPr>
        <w:t xml:space="preserve">Comité CEDAW. Recomendación General No. 33, § 51, letra p). </w:t>
      </w:r>
    </w:p>
  </w:footnote>
  <w:footnote w:id="19">
    <w:p w14:paraId="5C61F6CF" w14:textId="77777777" w:rsidR="004754CB" w:rsidRPr="002B7035" w:rsidRDefault="004754CB" w:rsidP="004754CB">
      <w:pPr>
        <w:pStyle w:val="Sinespaciado"/>
        <w:jc w:val="both"/>
        <w:rPr>
          <w:rFonts w:ascii="Gill Sans MT" w:hAnsi="Gill Sans MT" w:cs="Times New Roman"/>
          <w:sz w:val="18"/>
          <w:szCs w:val="18"/>
          <w:lang w:val="es-ES"/>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w:t>
      </w:r>
      <w:r w:rsidRPr="002B7035">
        <w:rPr>
          <w:rFonts w:ascii="Gill Sans MT" w:hAnsi="Gill Sans MT" w:cs="Times New Roman"/>
          <w:sz w:val="18"/>
          <w:szCs w:val="18"/>
          <w:lang w:val="es-ES"/>
        </w:rPr>
        <w:t xml:space="preserve">Cfr. Corte IDH. </w:t>
      </w:r>
      <w:r w:rsidRPr="002B7035">
        <w:rPr>
          <w:rFonts w:ascii="Gill Sans MT" w:hAnsi="Gill Sans MT" w:cs="Times New Roman"/>
          <w:i/>
          <w:iCs/>
          <w:sz w:val="18"/>
          <w:szCs w:val="18"/>
          <w:lang w:val="es-ES"/>
        </w:rPr>
        <w:t>Caso Vélez Loor vs. Panamá</w:t>
      </w:r>
      <w:r w:rsidRPr="002B7035">
        <w:rPr>
          <w:rFonts w:ascii="Gill Sans MT" w:hAnsi="Gill Sans MT" w:cs="Times New Roman"/>
          <w:sz w:val="18"/>
          <w:szCs w:val="18"/>
          <w:lang w:val="es-ES"/>
        </w:rPr>
        <w:t xml:space="preserve">, § 207. </w:t>
      </w:r>
    </w:p>
  </w:footnote>
  <w:footnote w:id="20">
    <w:p w14:paraId="0C733682" w14:textId="77777777" w:rsidR="004754CB" w:rsidRPr="002B7035" w:rsidRDefault="004754CB" w:rsidP="004754CB">
      <w:pPr>
        <w:pStyle w:val="Sinespaciado"/>
        <w:jc w:val="both"/>
        <w:rPr>
          <w:rFonts w:ascii="Gill Sans MT" w:hAnsi="Gill Sans MT" w:cs="Times New Roman"/>
          <w:sz w:val="18"/>
          <w:szCs w:val="18"/>
          <w:lang w:val="es-ES"/>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w:t>
      </w:r>
      <w:r w:rsidRPr="002B7035">
        <w:rPr>
          <w:rFonts w:ascii="Gill Sans MT" w:hAnsi="Gill Sans MT" w:cs="Times New Roman"/>
          <w:sz w:val="18"/>
          <w:szCs w:val="18"/>
          <w:lang w:val="es-ES"/>
        </w:rPr>
        <w:t xml:space="preserve">Informe de la Oficina del ACNUD. Derecho de acceso a la justicia en virtud del artículo 13 de la Convención sobre los Derechos de las Personas con Discapacidad. A/HRC/37/25, de 27 de diciembre de 2017, § 36. </w:t>
      </w:r>
    </w:p>
  </w:footnote>
  <w:footnote w:id="21">
    <w:p w14:paraId="3AFED039" w14:textId="77777777" w:rsidR="004754CB" w:rsidRPr="002B7035" w:rsidRDefault="004754CB" w:rsidP="004754CB">
      <w:pPr>
        <w:pStyle w:val="Sinespaciado"/>
        <w:jc w:val="both"/>
        <w:rPr>
          <w:rFonts w:ascii="Gill Sans MT" w:hAnsi="Gill Sans MT" w:cs="Times New Roman"/>
          <w:sz w:val="18"/>
          <w:szCs w:val="18"/>
          <w:lang w:val="es-ES"/>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w:t>
      </w:r>
      <w:r w:rsidRPr="002B7035">
        <w:rPr>
          <w:rFonts w:ascii="Gill Sans MT" w:hAnsi="Gill Sans MT" w:cs="Times New Roman"/>
          <w:sz w:val="18"/>
          <w:szCs w:val="18"/>
          <w:lang w:val="es-ES"/>
        </w:rPr>
        <w:t xml:space="preserve">Informe de la Oficina del ACNUD. Derecho de acceso a la justicia en virtud del artículo 13 de la Convención sobre los Derechos de las Personas con Discapacidad. A/HRC/37/25, de 27 de diciembre de 2017, § 39. </w:t>
      </w:r>
    </w:p>
  </w:footnote>
  <w:footnote w:id="22">
    <w:p w14:paraId="5C8700FC" w14:textId="77777777" w:rsidR="004754CB" w:rsidRPr="002B7035" w:rsidRDefault="004754CB" w:rsidP="004754CB">
      <w:pPr>
        <w:pStyle w:val="Sinespaciado"/>
        <w:jc w:val="both"/>
        <w:rPr>
          <w:rFonts w:ascii="Gill Sans MT" w:hAnsi="Gill Sans MT" w:cs="Times New Roman"/>
          <w:sz w:val="18"/>
          <w:szCs w:val="18"/>
          <w:lang w:val="es-ES"/>
        </w:rPr>
      </w:pPr>
      <w:r w:rsidRPr="002B7035">
        <w:rPr>
          <w:rStyle w:val="Refdenotaalpie"/>
          <w:rFonts w:ascii="Gill Sans MT" w:hAnsi="Gill Sans MT" w:cs="Times New Roman"/>
          <w:sz w:val="18"/>
          <w:szCs w:val="18"/>
        </w:rPr>
        <w:footnoteRef/>
      </w:r>
      <w:r w:rsidRPr="002B7035">
        <w:rPr>
          <w:rFonts w:ascii="Gill Sans MT" w:hAnsi="Gill Sans MT" w:cs="Times New Roman"/>
          <w:sz w:val="18"/>
          <w:szCs w:val="18"/>
        </w:rPr>
        <w:t xml:space="preserve"> </w:t>
      </w:r>
      <w:r w:rsidRPr="002B7035">
        <w:rPr>
          <w:rFonts w:ascii="Gill Sans MT" w:hAnsi="Gill Sans MT" w:cs="Times New Roman"/>
          <w:sz w:val="18"/>
          <w:szCs w:val="18"/>
          <w:lang w:val="es-ES"/>
        </w:rPr>
        <w:t xml:space="preserve">Corte IDH. </w:t>
      </w:r>
      <w:r w:rsidRPr="002B7035">
        <w:rPr>
          <w:rFonts w:ascii="Gill Sans MT" w:hAnsi="Gill Sans MT" w:cs="Times New Roman"/>
          <w:i/>
          <w:iCs/>
          <w:sz w:val="18"/>
          <w:szCs w:val="18"/>
          <w:lang w:val="es-ES"/>
        </w:rPr>
        <w:t>Caso Fernández Ortega y otros vs. México</w:t>
      </w:r>
      <w:r w:rsidRPr="002B7035">
        <w:rPr>
          <w:rFonts w:ascii="Gill Sans MT" w:hAnsi="Gill Sans MT" w:cs="Times New Roman"/>
          <w:sz w:val="18"/>
          <w:szCs w:val="18"/>
          <w:lang w:val="es-ES"/>
        </w:rPr>
        <w:t xml:space="preserve">, § 200.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BAD15" w14:textId="3A9E1D2E" w:rsidR="002B7035" w:rsidRDefault="002B7035" w:rsidP="002B7035">
    <w:pPr>
      <w:pStyle w:val="Encabezado"/>
      <w:jc w:val="center"/>
    </w:pPr>
    <w:r>
      <w:rPr>
        <w:rFonts w:cs="Arial"/>
        <w:noProof/>
        <w:lang w:eastAsia="es-CL"/>
      </w:rPr>
      <w:drawing>
        <wp:inline distT="0" distB="0" distL="0" distR="0" wp14:anchorId="5ED24227" wp14:editId="705A5E88">
          <wp:extent cx="1282890" cy="622595"/>
          <wp:effectExtent l="0" t="0" r="0" b="0"/>
          <wp:docPr id="14" name="Imagen 10" descr="A picture containing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A picture containing pie ch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890" cy="6225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6B45"/>
    <w:multiLevelType w:val="hybridMultilevel"/>
    <w:tmpl w:val="72021D96"/>
    <w:lvl w:ilvl="0" w:tplc="340A0019">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F2A7875"/>
    <w:multiLevelType w:val="hybridMultilevel"/>
    <w:tmpl w:val="8306F830"/>
    <w:lvl w:ilvl="0" w:tplc="D066613A">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8ED3868"/>
    <w:multiLevelType w:val="hybridMultilevel"/>
    <w:tmpl w:val="40405320"/>
    <w:lvl w:ilvl="0" w:tplc="B82A93CA">
      <w:start w:val="1"/>
      <w:numFmt w:val="upperLetter"/>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4070019"/>
    <w:multiLevelType w:val="hybridMultilevel"/>
    <w:tmpl w:val="812284FC"/>
    <w:lvl w:ilvl="0" w:tplc="C0621FA0">
      <w:start w:val="1"/>
      <w:numFmt w:val="upperRoman"/>
      <w:lvlText w:val="%1."/>
      <w:lvlJc w:val="left"/>
      <w:pPr>
        <w:ind w:left="1080" w:hanging="72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DFD335C"/>
    <w:multiLevelType w:val="hybridMultilevel"/>
    <w:tmpl w:val="416AEA06"/>
    <w:lvl w:ilvl="0" w:tplc="24808426">
      <w:start w:val="2"/>
      <w:numFmt w:val="bullet"/>
      <w:lvlText w:val=""/>
      <w:lvlJc w:val="left"/>
      <w:pPr>
        <w:ind w:left="720" w:hanging="360"/>
      </w:pPr>
      <w:rPr>
        <w:rFonts w:ascii="Wingdings" w:eastAsiaTheme="minorHAnsi" w:hAnsi="Wingding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3D12178"/>
    <w:multiLevelType w:val="hybridMultilevel"/>
    <w:tmpl w:val="758AC236"/>
    <w:lvl w:ilvl="0" w:tplc="F24CF9B0">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FE86142"/>
    <w:multiLevelType w:val="hybridMultilevel"/>
    <w:tmpl w:val="99C23D46"/>
    <w:lvl w:ilvl="0" w:tplc="DE6EB0FE">
      <w:start w:val="1"/>
      <w:numFmt w:val="upperLetter"/>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749C6867"/>
    <w:multiLevelType w:val="hybridMultilevel"/>
    <w:tmpl w:val="715A0DB6"/>
    <w:lvl w:ilvl="0" w:tplc="68C85B5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60"/>
    <w:rsid w:val="001D3CF0"/>
    <w:rsid w:val="002B7035"/>
    <w:rsid w:val="002D5F9D"/>
    <w:rsid w:val="004754CB"/>
    <w:rsid w:val="004E193D"/>
    <w:rsid w:val="00614F63"/>
    <w:rsid w:val="008816F9"/>
    <w:rsid w:val="0093193C"/>
    <w:rsid w:val="009B6AC9"/>
    <w:rsid w:val="00B22460"/>
    <w:rsid w:val="00B703B1"/>
    <w:rsid w:val="00D92D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E7190"/>
  <w15:chartTrackingRefBased/>
  <w15:docId w15:val="{0F630ADE-28DD-FC41-88C7-9B7419EB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460"/>
    <w:pPr>
      <w:spacing w:after="160" w:line="259" w:lineRule="auto"/>
    </w:pPr>
    <w:rPr>
      <w:sz w:val="22"/>
      <w:szCs w:val="22"/>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2460"/>
    <w:pPr>
      <w:ind w:left="720"/>
      <w:contextualSpacing/>
    </w:pPr>
  </w:style>
  <w:style w:type="paragraph" w:styleId="Sinespaciado">
    <w:name w:val="No Spacing"/>
    <w:uiPriority w:val="1"/>
    <w:qFormat/>
    <w:rsid w:val="009B6AC9"/>
    <w:rPr>
      <w:rFonts w:ascii="Calibri" w:eastAsia="Calibri" w:hAnsi="Calibri" w:cs="Calibri"/>
      <w:sz w:val="22"/>
      <w:szCs w:val="22"/>
      <w:lang w:val="es-CL" w:eastAsia="es-ES"/>
    </w:rPr>
  </w:style>
  <w:style w:type="character" w:styleId="Refdenotaalpie">
    <w:name w:val="footnote reference"/>
    <w:uiPriority w:val="99"/>
    <w:unhideWhenUsed/>
    <w:rsid w:val="008816F9"/>
    <w:rPr>
      <w:vertAlign w:val="superscript"/>
    </w:rPr>
  </w:style>
  <w:style w:type="paragraph" w:styleId="Encabezado">
    <w:name w:val="header"/>
    <w:basedOn w:val="Normal"/>
    <w:link w:val="EncabezadoCar"/>
    <w:uiPriority w:val="99"/>
    <w:unhideWhenUsed/>
    <w:rsid w:val="002B703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B7035"/>
    <w:rPr>
      <w:sz w:val="22"/>
      <w:szCs w:val="22"/>
      <w:lang w:val="es-CL"/>
    </w:rPr>
  </w:style>
  <w:style w:type="paragraph" w:styleId="Piedepgina">
    <w:name w:val="footer"/>
    <w:basedOn w:val="Normal"/>
    <w:link w:val="PiedepginaCar"/>
    <w:uiPriority w:val="99"/>
    <w:unhideWhenUsed/>
    <w:rsid w:val="002B703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B7035"/>
    <w:rPr>
      <w:sz w:val="22"/>
      <w:szCs w:val="22"/>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2083</Words>
  <Characters>11460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tpascualr@outlook.com</dc:creator>
  <cp:keywords/>
  <dc:description/>
  <cp:lastModifiedBy>María Antonieta Ubillo Venegas</cp:lastModifiedBy>
  <cp:revision>4</cp:revision>
  <dcterms:created xsi:type="dcterms:W3CDTF">2021-06-23T17:34:00Z</dcterms:created>
  <dcterms:modified xsi:type="dcterms:W3CDTF">2021-06-24T16:49:00Z</dcterms:modified>
</cp:coreProperties>
</file>