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A3D6" w14:textId="4B9A80F2" w:rsidR="003C5477" w:rsidRDefault="00F253E5" w:rsidP="003C54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50769">
        <w:rPr>
          <w:rFonts w:ascii="Times New Roman" w:hAnsi="Times New Roman" w:cs="Times New Roman"/>
          <w:i/>
          <w:sz w:val="24"/>
          <w:szCs w:val="24"/>
        </w:rPr>
        <w:t>Nahanni Construction Ltd</w:t>
      </w:r>
      <w:r w:rsidR="00D31844">
        <w:rPr>
          <w:rFonts w:ascii="Times New Roman" w:hAnsi="Times New Roman" w:cs="Times New Roman"/>
          <w:i/>
          <w:sz w:val="24"/>
          <w:szCs w:val="24"/>
        </w:rPr>
        <w:t>.</w:t>
      </w:r>
      <w:r w:rsidRPr="00750769">
        <w:rPr>
          <w:rFonts w:ascii="Times New Roman" w:hAnsi="Times New Roman" w:cs="Times New Roman"/>
          <w:i/>
          <w:sz w:val="24"/>
          <w:szCs w:val="24"/>
        </w:rPr>
        <w:t xml:space="preserve"> v Bonito Capital Corp et al</w:t>
      </w:r>
      <w:r w:rsidR="003C54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C5477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25</w:t>
      </w:r>
      <w:r w:rsidR="003C5477">
        <w:rPr>
          <w:rFonts w:ascii="Times New Roman" w:hAnsi="Times New Roman" w:cs="Times New Roman"/>
          <w:iCs/>
          <w:sz w:val="24"/>
          <w:szCs w:val="24"/>
        </w:rPr>
        <w:t xml:space="preserve"> NWTSC </w:t>
      </w:r>
      <w:r w:rsidR="00D31844">
        <w:rPr>
          <w:rFonts w:ascii="Times New Roman" w:hAnsi="Times New Roman" w:cs="Times New Roman"/>
          <w:iCs/>
          <w:sz w:val="24"/>
          <w:szCs w:val="24"/>
        </w:rPr>
        <w:t>50</w:t>
      </w:r>
    </w:p>
    <w:p w14:paraId="7E20D5B0" w14:textId="77777777" w:rsidR="00FD128E" w:rsidRPr="00BD445A" w:rsidRDefault="00FD128E" w:rsidP="003C54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B1D0D14" w14:textId="42C064B1" w:rsidR="003C5477" w:rsidRDefault="003C5477" w:rsidP="003C54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68D">
        <w:rPr>
          <w:rFonts w:ascii="Times New Roman" w:hAnsi="Times New Roman" w:cs="Times New Roman"/>
          <w:sz w:val="28"/>
          <w:szCs w:val="28"/>
        </w:rPr>
        <w:fldChar w:fldCharType="begin"/>
      </w:r>
      <w:r w:rsidRPr="0063768D">
        <w:rPr>
          <w:rFonts w:ascii="Times New Roman" w:hAnsi="Times New Roman" w:cs="Times New Roman"/>
          <w:sz w:val="28"/>
          <w:szCs w:val="28"/>
        </w:rPr>
        <w:instrText xml:space="preserve"> SEQ CHAPTER \h \r 1</w:instrText>
      </w:r>
      <w:r w:rsidRPr="0063768D">
        <w:rPr>
          <w:rFonts w:ascii="Times New Roman" w:hAnsi="Times New Roman" w:cs="Times New Roman"/>
          <w:sz w:val="28"/>
          <w:szCs w:val="28"/>
        </w:rPr>
        <w:fldChar w:fldCharType="end"/>
      </w:r>
      <w:r w:rsidRPr="0063768D">
        <w:rPr>
          <w:rFonts w:ascii="Times New Roman" w:hAnsi="Times New Roman" w:cs="Times New Roman"/>
          <w:sz w:val="28"/>
          <w:szCs w:val="28"/>
        </w:rPr>
        <w:t xml:space="preserve">Date: </w:t>
      </w:r>
      <w:bookmarkStart w:id="0" w:name="1"/>
      <w:bookmarkEnd w:id="0"/>
      <w:r w:rsidRPr="0063768D">
        <w:rPr>
          <w:rFonts w:ascii="Times New Roman" w:hAnsi="Times New Roman" w:cs="Times New Roman"/>
          <w:sz w:val="28"/>
          <w:szCs w:val="28"/>
        </w:rPr>
        <w:t xml:space="preserve"> </w:t>
      </w:r>
      <w:r w:rsidR="00406F85">
        <w:rPr>
          <w:rFonts w:ascii="Times New Roman" w:hAnsi="Times New Roman" w:cs="Times New Roman"/>
          <w:sz w:val="28"/>
          <w:szCs w:val="28"/>
        </w:rPr>
        <w:t>2025-07-</w:t>
      </w:r>
      <w:r w:rsidR="00D935C5">
        <w:rPr>
          <w:rFonts w:ascii="Times New Roman" w:hAnsi="Times New Roman" w:cs="Times New Roman"/>
          <w:sz w:val="28"/>
          <w:szCs w:val="28"/>
        </w:rPr>
        <w:t>1</w:t>
      </w:r>
      <w:r w:rsidR="005134FA">
        <w:rPr>
          <w:rFonts w:ascii="Times New Roman" w:hAnsi="Times New Roman" w:cs="Times New Roman"/>
          <w:sz w:val="28"/>
          <w:szCs w:val="28"/>
        </w:rPr>
        <w:t>5</w:t>
      </w:r>
    </w:p>
    <w:p w14:paraId="348B84EB" w14:textId="3ADF8AA8" w:rsidR="003C5477" w:rsidRPr="0063768D" w:rsidRDefault="00406F85" w:rsidP="003C54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2136">
        <w:rPr>
          <w:rFonts w:ascii="Times New Roman" w:hAnsi="Times New Roman" w:cs="Times New Roman"/>
          <w:sz w:val="28"/>
          <w:szCs w:val="28"/>
        </w:rPr>
        <w:t>S-1-CV-202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2136">
        <w:rPr>
          <w:rFonts w:ascii="Times New Roman" w:hAnsi="Times New Roman" w:cs="Times New Roman"/>
          <w:sz w:val="28"/>
          <w:szCs w:val="28"/>
        </w:rPr>
        <w:t>-000</w:t>
      </w:r>
      <w:r>
        <w:rPr>
          <w:rFonts w:ascii="Times New Roman" w:hAnsi="Times New Roman" w:cs="Times New Roman"/>
          <w:sz w:val="28"/>
          <w:szCs w:val="28"/>
        </w:rPr>
        <w:t xml:space="preserve"> 265</w:t>
      </w:r>
    </w:p>
    <w:p w14:paraId="6776FE3D" w14:textId="77777777" w:rsidR="003C5477" w:rsidRPr="00EA4171" w:rsidRDefault="003C5477" w:rsidP="003C54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046651" w14:textId="77777777" w:rsidR="003C5477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171">
        <w:rPr>
          <w:rFonts w:ascii="Times New Roman" w:hAnsi="Times New Roman" w:cs="Times New Roman"/>
          <w:b/>
          <w:bCs/>
          <w:sz w:val="28"/>
          <w:szCs w:val="28"/>
        </w:rPr>
        <w:t>IN THE SUPREME COURT OF THE NORTHWEST TERRITORIES</w:t>
      </w:r>
    </w:p>
    <w:p w14:paraId="52D60A71" w14:textId="77777777" w:rsidR="003C5477" w:rsidRPr="00EA4171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EA0C77" w14:textId="77777777" w:rsidR="003C5477" w:rsidRPr="00EA4171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ED21DA" w14:textId="77777777" w:rsidR="003C5477" w:rsidRDefault="003C5477" w:rsidP="003C547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A4171">
        <w:rPr>
          <w:rFonts w:ascii="Times New Roman" w:hAnsi="Times New Roman" w:cs="Times New Roman"/>
          <w:b/>
          <w:bCs/>
          <w:sz w:val="28"/>
          <w:szCs w:val="28"/>
        </w:rPr>
        <w:t xml:space="preserve">BETWEEN: </w:t>
      </w:r>
    </w:p>
    <w:p w14:paraId="01385BE6" w14:textId="77777777" w:rsidR="003C5477" w:rsidRDefault="003C5477" w:rsidP="003C54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2A46C5" w14:textId="5A2161FC" w:rsidR="003C5477" w:rsidRPr="00792869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2869">
        <w:rPr>
          <w:rFonts w:ascii="Times New Roman" w:hAnsi="Times New Roman" w:cs="Times New Roman"/>
          <w:sz w:val="28"/>
          <w:szCs w:val="28"/>
        </w:rPr>
        <w:t>NAHANNI CONSTRUCTION LTD</w:t>
      </w:r>
      <w:r w:rsidR="0068166B">
        <w:rPr>
          <w:rFonts w:ascii="Times New Roman" w:hAnsi="Times New Roman" w:cs="Times New Roman"/>
          <w:sz w:val="28"/>
          <w:szCs w:val="28"/>
        </w:rPr>
        <w:t>.</w:t>
      </w:r>
    </w:p>
    <w:p w14:paraId="72E9D796" w14:textId="77777777" w:rsidR="005134FA" w:rsidRDefault="005134FA" w:rsidP="003C54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009566" w14:textId="0861375F" w:rsidR="003C5477" w:rsidRPr="00792869" w:rsidRDefault="003C5477" w:rsidP="003C54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92869">
        <w:rPr>
          <w:rFonts w:ascii="Times New Roman" w:hAnsi="Times New Roman" w:cs="Times New Roman"/>
          <w:sz w:val="28"/>
          <w:szCs w:val="28"/>
        </w:rPr>
        <w:t>Plaintiff</w:t>
      </w:r>
    </w:p>
    <w:p w14:paraId="01701FEF" w14:textId="77777777" w:rsidR="003C5477" w:rsidRPr="00792869" w:rsidRDefault="003C5477" w:rsidP="003C54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85B7F1" w14:textId="77777777" w:rsidR="003C5477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2869">
        <w:rPr>
          <w:rFonts w:ascii="Times New Roman" w:hAnsi="Times New Roman" w:cs="Times New Roman"/>
          <w:sz w:val="28"/>
          <w:szCs w:val="28"/>
        </w:rPr>
        <w:t>-and-</w:t>
      </w:r>
    </w:p>
    <w:p w14:paraId="7F32A4A2" w14:textId="77777777" w:rsidR="00FD128E" w:rsidRPr="00792869" w:rsidRDefault="00FD128E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EE6129" w14:textId="77777777" w:rsidR="003C5477" w:rsidRPr="00792869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122136" w14:textId="228CC006" w:rsidR="003C5477" w:rsidRPr="00792869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2869">
        <w:rPr>
          <w:rFonts w:ascii="Times New Roman" w:hAnsi="Times New Roman" w:cs="Times New Roman"/>
          <w:sz w:val="28"/>
          <w:szCs w:val="28"/>
        </w:rPr>
        <w:t xml:space="preserve">BONITO CAPITAL CORP and LUPIN MINES INCORPORATED </w:t>
      </w:r>
    </w:p>
    <w:p w14:paraId="7390DABF" w14:textId="77777777" w:rsidR="003C5477" w:rsidRDefault="003C5477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F3CA26" w14:textId="77777777" w:rsidR="00864DCC" w:rsidRDefault="00864DCC" w:rsidP="003C54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24D231" w14:textId="77777777" w:rsidR="003C5477" w:rsidRPr="00EA4171" w:rsidRDefault="003C5477" w:rsidP="003C54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Defendants</w:t>
      </w:r>
    </w:p>
    <w:p w14:paraId="7AA05E90" w14:textId="77777777" w:rsidR="003C5477" w:rsidRDefault="003C5477" w:rsidP="003C54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C13736" w14:textId="77777777" w:rsidR="003C5477" w:rsidRPr="006B3C9A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618412" w14:textId="20538DB5" w:rsidR="003C5477" w:rsidRPr="006B3C9A" w:rsidRDefault="003C5477" w:rsidP="003C5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MEMORANDUM OF JUDGMENT ON COSTS </w:t>
      </w:r>
    </w:p>
    <w:p w14:paraId="26147E6F" w14:textId="77777777" w:rsidR="003C5477" w:rsidRDefault="003C5477" w:rsidP="003C54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E6DD9F" w14:textId="77777777" w:rsidR="003C5477" w:rsidRDefault="003C5477" w:rsidP="003C54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2E1C3A" w14:textId="246E613E" w:rsidR="003C5477" w:rsidRDefault="003C5477" w:rsidP="003C547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C2331">
        <w:rPr>
          <w:rFonts w:ascii="Times New Roman" w:hAnsi="Times New Roman" w:cs="Times New Roman"/>
          <w:bCs/>
          <w:sz w:val="28"/>
          <w:szCs w:val="28"/>
        </w:rPr>
        <w:t>Nahanni Construction Ltd</w:t>
      </w:r>
      <w:r w:rsidR="00A77E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C2331">
        <w:rPr>
          <w:rFonts w:ascii="Times New Roman" w:hAnsi="Times New Roman" w:cs="Times New Roman"/>
          <w:bCs/>
          <w:sz w:val="28"/>
          <w:szCs w:val="28"/>
        </w:rPr>
        <w:t>(“NCL”),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has brought an action against Bonito Capital Corp (“BCC”) and Lupin Mines Incorporated (“LMI”) for breach of a settlement agreement. NCL </w:t>
      </w:r>
      <w:r w:rsidR="005A48A4">
        <w:rPr>
          <w:rFonts w:ascii="Times New Roman" w:hAnsi="Times New Roman" w:cs="Times New Roman"/>
          <w:bCs/>
          <w:sz w:val="28"/>
          <w:szCs w:val="28"/>
        </w:rPr>
        <w:t>applied for a</w:t>
      </w:r>
      <w:r>
        <w:rPr>
          <w:rFonts w:ascii="Times New Roman" w:hAnsi="Times New Roman" w:cs="Times New Roman"/>
          <w:bCs/>
          <w:sz w:val="28"/>
          <w:szCs w:val="28"/>
        </w:rPr>
        <w:t xml:space="preserve"> partial summary judgment. I dismissed </w:t>
      </w:r>
      <w:r w:rsidR="005A48A4">
        <w:rPr>
          <w:rFonts w:ascii="Times New Roman" w:hAnsi="Times New Roman" w:cs="Times New Roman"/>
          <w:bCs/>
          <w:sz w:val="28"/>
          <w:szCs w:val="28"/>
        </w:rPr>
        <w:t>the</w:t>
      </w:r>
      <w:r>
        <w:rPr>
          <w:rFonts w:ascii="Times New Roman" w:hAnsi="Times New Roman" w:cs="Times New Roman"/>
          <w:bCs/>
          <w:sz w:val="28"/>
          <w:szCs w:val="28"/>
        </w:rPr>
        <w:t xml:space="preserve"> application. At the time, I had not received submissions from NCL on the issue of costs</w:t>
      </w:r>
      <w:r w:rsidR="00FD138E">
        <w:rPr>
          <w:rFonts w:ascii="Times New Roman" w:hAnsi="Times New Roman" w:cs="Times New Roman"/>
          <w:bCs/>
          <w:sz w:val="28"/>
          <w:szCs w:val="28"/>
        </w:rPr>
        <w:t xml:space="preserve"> and</w:t>
      </w:r>
      <w:r w:rsidR="00FF6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I allowed the parties to file written submissions on this issue</w:t>
      </w:r>
      <w:r w:rsidR="0054637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4DA688E" w14:textId="77777777" w:rsidR="00FF6DC1" w:rsidRDefault="00FF6DC1" w:rsidP="00FF6DC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67671" w14:textId="3C8D8906" w:rsidR="00FF6DC1" w:rsidRPr="00A515C1" w:rsidRDefault="0091585A" w:rsidP="003C547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Defendants BCC and LMI </w:t>
      </w:r>
      <w:r w:rsidR="00B754A7">
        <w:rPr>
          <w:rFonts w:ascii="Times New Roman" w:hAnsi="Times New Roman" w:cs="Times New Roman"/>
          <w:bCs/>
          <w:sz w:val="28"/>
          <w:szCs w:val="28"/>
        </w:rPr>
        <w:t xml:space="preserve">rely on Rule 180 of the </w:t>
      </w:r>
      <w:r w:rsidR="00B754A7" w:rsidRPr="00B754A7">
        <w:rPr>
          <w:rFonts w:ascii="Times New Roman" w:hAnsi="Times New Roman" w:cs="Times New Roman"/>
          <w:bCs/>
          <w:i/>
          <w:iCs/>
          <w:sz w:val="28"/>
          <w:szCs w:val="28"/>
        </w:rPr>
        <w:t>Rules of the Supreme Court of the Northwest Territories</w:t>
      </w:r>
      <w:r w:rsidR="00B754A7">
        <w:rPr>
          <w:rFonts w:ascii="Times New Roman" w:hAnsi="Times New Roman" w:cs="Times New Roman"/>
          <w:bCs/>
          <w:sz w:val="28"/>
          <w:szCs w:val="28"/>
        </w:rPr>
        <w:t xml:space="preserve"> [</w:t>
      </w:r>
      <w:r w:rsidR="00B754A7" w:rsidRPr="00FD138E">
        <w:rPr>
          <w:rFonts w:ascii="Times New Roman" w:hAnsi="Times New Roman" w:cs="Times New Roman"/>
          <w:bCs/>
          <w:sz w:val="28"/>
          <w:szCs w:val="28"/>
        </w:rPr>
        <w:t>the</w:t>
      </w:r>
      <w:r w:rsidR="00B754A7" w:rsidRPr="00B754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Rules</w:t>
      </w:r>
      <w:r w:rsidR="00B754A7">
        <w:rPr>
          <w:rFonts w:ascii="Times New Roman" w:hAnsi="Times New Roman" w:cs="Times New Roman"/>
          <w:bCs/>
          <w:sz w:val="28"/>
          <w:szCs w:val="28"/>
        </w:rPr>
        <w:t>] to seek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559">
        <w:rPr>
          <w:rFonts w:ascii="Times New Roman" w:hAnsi="Times New Roman" w:cs="Times New Roman"/>
          <w:bCs/>
          <w:sz w:val="28"/>
          <w:szCs w:val="28"/>
        </w:rPr>
        <w:t>costs on a solicitor</w:t>
      </w:r>
      <w:r w:rsidR="00B754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C3D">
        <w:rPr>
          <w:rFonts w:ascii="Times New Roman" w:hAnsi="Times New Roman" w:cs="Times New Roman"/>
          <w:bCs/>
          <w:sz w:val="28"/>
          <w:szCs w:val="28"/>
        </w:rPr>
        <w:t>and</w:t>
      </w:r>
      <w:r w:rsidR="00B754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559">
        <w:rPr>
          <w:rFonts w:ascii="Times New Roman" w:hAnsi="Times New Roman" w:cs="Times New Roman"/>
          <w:bCs/>
          <w:sz w:val="28"/>
          <w:szCs w:val="28"/>
        </w:rPr>
        <w:t>client basis</w:t>
      </w:r>
      <w:r w:rsidR="00FA2754">
        <w:rPr>
          <w:rFonts w:ascii="Times New Roman" w:hAnsi="Times New Roman" w:cs="Times New Roman"/>
          <w:bCs/>
          <w:sz w:val="28"/>
          <w:szCs w:val="28"/>
        </w:rPr>
        <w:t>, payable immediately.</w:t>
      </w:r>
      <w:r w:rsidR="002945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754">
        <w:rPr>
          <w:rFonts w:ascii="Times New Roman" w:hAnsi="Times New Roman" w:cs="Times New Roman"/>
          <w:bCs/>
          <w:sz w:val="28"/>
          <w:szCs w:val="28"/>
        </w:rPr>
        <w:t xml:space="preserve">NCL </w:t>
      </w:r>
      <w:r w:rsidR="00A515C1">
        <w:rPr>
          <w:rFonts w:ascii="Times New Roman" w:hAnsi="Times New Roman" w:cs="Times New Roman"/>
          <w:bCs/>
          <w:sz w:val="28"/>
          <w:szCs w:val="28"/>
        </w:rPr>
        <w:t>takes the position that the question of the costs of the summary judgment application should be dealt with by the trial judge or, alternatively, that only party</w:t>
      </w:r>
      <w:r w:rsidR="0084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624">
        <w:rPr>
          <w:rFonts w:ascii="Times New Roman" w:hAnsi="Times New Roman" w:cs="Times New Roman"/>
          <w:bCs/>
          <w:sz w:val="28"/>
          <w:szCs w:val="28"/>
        </w:rPr>
        <w:t>and</w:t>
      </w:r>
      <w:r w:rsidR="0084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7A7">
        <w:rPr>
          <w:rFonts w:ascii="Times New Roman" w:hAnsi="Times New Roman" w:cs="Times New Roman"/>
          <w:bCs/>
          <w:sz w:val="28"/>
          <w:szCs w:val="28"/>
        </w:rPr>
        <w:t>p</w:t>
      </w:r>
      <w:r w:rsidR="00A515C1">
        <w:rPr>
          <w:rFonts w:ascii="Times New Roman" w:hAnsi="Times New Roman" w:cs="Times New Roman"/>
          <w:bCs/>
          <w:sz w:val="28"/>
          <w:szCs w:val="28"/>
        </w:rPr>
        <w:t xml:space="preserve">arty costs should be awarded. </w:t>
      </w:r>
      <w:r w:rsidR="00515280" w:rsidRPr="00A515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7AA4DE" w14:textId="77777777" w:rsidR="00FF6DC1" w:rsidRPr="00FF6DC1" w:rsidRDefault="00FF6DC1" w:rsidP="00FF6DC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766BDDFD" w14:textId="53C11E21" w:rsidR="0054637D" w:rsidRDefault="00294559" w:rsidP="003C547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For the following reasons, I am</w:t>
      </w:r>
      <w:r w:rsidR="00732807">
        <w:rPr>
          <w:rFonts w:ascii="Times New Roman" w:hAnsi="Times New Roman" w:cs="Times New Roman"/>
          <w:bCs/>
          <w:sz w:val="28"/>
          <w:szCs w:val="28"/>
        </w:rPr>
        <w:t xml:space="preserve"> not </w:t>
      </w:r>
      <w:r>
        <w:rPr>
          <w:rFonts w:ascii="Times New Roman" w:hAnsi="Times New Roman" w:cs="Times New Roman"/>
          <w:bCs/>
          <w:sz w:val="28"/>
          <w:szCs w:val="28"/>
        </w:rPr>
        <w:t xml:space="preserve">awarding costs </w:t>
      </w:r>
      <w:r w:rsidR="0044515E">
        <w:rPr>
          <w:rFonts w:ascii="Times New Roman" w:hAnsi="Times New Roman" w:cs="Times New Roman"/>
          <w:bCs/>
          <w:sz w:val="28"/>
          <w:szCs w:val="28"/>
        </w:rPr>
        <w:t>of</w:t>
      </w:r>
      <w:r w:rsidR="00B754A7">
        <w:rPr>
          <w:rFonts w:ascii="Times New Roman" w:hAnsi="Times New Roman" w:cs="Times New Roman"/>
          <w:bCs/>
          <w:sz w:val="28"/>
          <w:szCs w:val="28"/>
        </w:rPr>
        <w:t xml:space="preserve"> this application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15E">
        <w:rPr>
          <w:rFonts w:ascii="Times New Roman" w:hAnsi="Times New Roman" w:cs="Times New Roman"/>
          <w:bCs/>
          <w:sz w:val="28"/>
          <w:szCs w:val="28"/>
        </w:rPr>
        <w:t>on a</w:t>
      </w:r>
      <w:r w:rsidR="00D27792">
        <w:rPr>
          <w:rFonts w:ascii="Times New Roman" w:hAnsi="Times New Roman" w:cs="Times New Roman"/>
          <w:bCs/>
          <w:sz w:val="28"/>
          <w:szCs w:val="28"/>
        </w:rPr>
        <w:t xml:space="preserve"> solicitor</w:t>
      </w:r>
      <w:r w:rsidR="009D56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792">
        <w:rPr>
          <w:rFonts w:ascii="Times New Roman" w:hAnsi="Times New Roman" w:cs="Times New Roman"/>
          <w:bCs/>
          <w:sz w:val="28"/>
          <w:szCs w:val="28"/>
        </w:rPr>
        <w:t>and</w:t>
      </w:r>
      <w:r w:rsidR="009D56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792">
        <w:rPr>
          <w:rFonts w:ascii="Times New Roman" w:hAnsi="Times New Roman" w:cs="Times New Roman"/>
          <w:bCs/>
          <w:sz w:val="28"/>
          <w:szCs w:val="28"/>
        </w:rPr>
        <w:t xml:space="preserve">client </w:t>
      </w:r>
      <w:r w:rsidR="00A306EE">
        <w:rPr>
          <w:rFonts w:ascii="Times New Roman" w:hAnsi="Times New Roman" w:cs="Times New Roman"/>
          <w:bCs/>
          <w:sz w:val="28"/>
          <w:szCs w:val="28"/>
        </w:rPr>
        <w:t>basis</w:t>
      </w:r>
      <w:r w:rsidR="00D27792">
        <w:rPr>
          <w:rFonts w:ascii="Times New Roman" w:hAnsi="Times New Roman" w:cs="Times New Roman"/>
          <w:bCs/>
          <w:sz w:val="28"/>
          <w:szCs w:val="28"/>
        </w:rPr>
        <w:t xml:space="preserve"> but rather on an </w:t>
      </w:r>
      <w:r w:rsidR="0044515E">
        <w:rPr>
          <w:rFonts w:ascii="Times New Roman" w:hAnsi="Times New Roman" w:cs="Times New Roman"/>
          <w:bCs/>
          <w:sz w:val="28"/>
          <w:szCs w:val="28"/>
        </w:rPr>
        <w:t>enhanced</w:t>
      </w:r>
      <w:r w:rsidR="00D27792">
        <w:rPr>
          <w:rFonts w:ascii="Times New Roman" w:hAnsi="Times New Roman" w:cs="Times New Roman"/>
          <w:bCs/>
          <w:sz w:val="28"/>
          <w:szCs w:val="28"/>
        </w:rPr>
        <w:t xml:space="preserve"> party</w:t>
      </w:r>
      <w:r w:rsidR="0084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C46">
        <w:rPr>
          <w:rFonts w:ascii="Times New Roman" w:hAnsi="Times New Roman" w:cs="Times New Roman"/>
          <w:bCs/>
          <w:sz w:val="28"/>
          <w:szCs w:val="28"/>
        </w:rPr>
        <w:t>and</w:t>
      </w:r>
      <w:r w:rsidR="0084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792">
        <w:rPr>
          <w:rFonts w:ascii="Times New Roman" w:hAnsi="Times New Roman" w:cs="Times New Roman"/>
          <w:bCs/>
          <w:sz w:val="28"/>
          <w:szCs w:val="28"/>
        </w:rPr>
        <w:t>party</w:t>
      </w:r>
      <w:r w:rsidR="0044515E">
        <w:rPr>
          <w:rFonts w:ascii="Times New Roman" w:hAnsi="Times New Roman" w:cs="Times New Roman"/>
          <w:bCs/>
          <w:sz w:val="28"/>
          <w:szCs w:val="28"/>
        </w:rPr>
        <w:t xml:space="preserve"> scale</w:t>
      </w:r>
      <w:r w:rsidR="00FA27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4AC166" w14:textId="77777777" w:rsidR="003C5477" w:rsidRPr="00D27792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CF90F21" w14:textId="58FF27CD" w:rsidR="003C5477" w:rsidRDefault="003C5477" w:rsidP="004218B2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The Defendants submit that</w:t>
      </w:r>
      <w:r w:rsidR="004218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test set out in</w:t>
      </w:r>
      <w:r w:rsidRPr="00D45C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</w:t>
      </w:r>
      <w:r w:rsidR="00326B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ule </w:t>
      </w:r>
      <w:r w:rsidRPr="00D45CE8">
        <w:rPr>
          <w:rFonts w:ascii="Times New Roman" w:hAnsi="Times New Roman" w:cs="Times New Roman"/>
          <w:bCs/>
          <w:sz w:val="28"/>
          <w:szCs w:val="28"/>
          <w:lang w:val="en-US"/>
        </w:rPr>
        <w:t>180</w:t>
      </w:r>
      <w:r w:rsidR="004218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 met and that consequently, they are entitled to solicitor </w:t>
      </w:r>
      <w:r w:rsidR="001D3C3D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4218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client costs</w:t>
      </w:r>
      <w:r w:rsidRPr="00D45C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5561ECAE" w14:textId="77777777" w:rsidR="004218B2" w:rsidRPr="004218B2" w:rsidRDefault="004218B2" w:rsidP="004218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88FB838" w14:textId="60DE6174" w:rsidR="003C5477" w:rsidRDefault="003C5477" w:rsidP="0027139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Rule 180 </w:t>
      </w:r>
      <w:r w:rsidR="00094E4F">
        <w:rPr>
          <w:rFonts w:ascii="Times New Roman" w:hAnsi="Times New Roman" w:cs="Times New Roman"/>
          <w:bCs/>
          <w:sz w:val="28"/>
          <w:szCs w:val="28"/>
          <w:lang w:val="en-US"/>
        </w:rPr>
        <w:t>states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0EDED312" w14:textId="77777777" w:rsidR="00271399" w:rsidRPr="00271399" w:rsidRDefault="00271399" w:rsidP="0027139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C9B0A7E" w14:textId="66522485" w:rsidR="003C5477" w:rsidRDefault="003C5477" w:rsidP="00D571D4">
      <w:pPr>
        <w:spacing w:after="0" w:line="240" w:lineRule="auto"/>
        <w:ind w:left="709" w:right="5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8BA">
        <w:rPr>
          <w:rFonts w:ascii="Times New Roman" w:hAnsi="Times New Roman" w:cs="Times New Roman"/>
          <w:bCs/>
          <w:sz w:val="24"/>
          <w:szCs w:val="24"/>
        </w:rPr>
        <w:t>180.</w:t>
      </w:r>
      <w:r w:rsidR="006309FE">
        <w:rPr>
          <w:rFonts w:ascii="Times New Roman" w:hAnsi="Times New Roman" w:cs="Times New Roman"/>
          <w:bCs/>
          <w:sz w:val="24"/>
          <w:szCs w:val="24"/>
        </w:rPr>
        <w:tab/>
      </w:r>
      <w:r w:rsidRPr="00C018BA">
        <w:rPr>
          <w:rFonts w:ascii="Times New Roman" w:hAnsi="Times New Roman" w:cs="Times New Roman"/>
          <w:bCs/>
          <w:sz w:val="24"/>
          <w:szCs w:val="24"/>
        </w:rPr>
        <w:t xml:space="preserve">(1) Subject to subrule (2), where the applicant obtains no relief on an application for summary judgment, the Court may fix the </w:t>
      </w:r>
      <w:proofErr w:type="spellStart"/>
      <w:r w:rsidRPr="00AD01C1">
        <w:rPr>
          <w:rFonts w:ascii="Times New Roman" w:hAnsi="Times New Roman" w:cs="Times New Roman"/>
          <w:bCs/>
          <w:sz w:val="24"/>
          <w:szCs w:val="24"/>
        </w:rPr>
        <w:t>respondant’s</w:t>
      </w:r>
      <w:proofErr w:type="spellEnd"/>
      <w:r w:rsidRPr="00C018BA">
        <w:rPr>
          <w:rFonts w:ascii="Times New Roman" w:hAnsi="Times New Roman" w:cs="Times New Roman"/>
          <w:bCs/>
          <w:sz w:val="24"/>
          <w:szCs w:val="24"/>
        </w:rPr>
        <w:t xml:space="preserve"> costs on the application on a solicitor and client basis and order the applicant to pay the costs without delay. </w:t>
      </w:r>
    </w:p>
    <w:p w14:paraId="42EE6EEC" w14:textId="77777777" w:rsidR="003C5477" w:rsidRDefault="003C5477" w:rsidP="00D571D4">
      <w:pPr>
        <w:spacing w:after="0" w:line="240" w:lineRule="auto"/>
        <w:ind w:left="709" w:right="5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2223D5" w14:textId="77777777" w:rsidR="003C5477" w:rsidRDefault="003C5477" w:rsidP="006309FE">
      <w:pPr>
        <w:spacing w:after="0" w:line="240" w:lineRule="auto"/>
        <w:ind w:left="720" w:right="571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8BA">
        <w:rPr>
          <w:rFonts w:ascii="Times New Roman" w:hAnsi="Times New Roman" w:cs="Times New Roman"/>
          <w:bCs/>
          <w:sz w:val="24"/>
          <w:szCs w:val="24"/>
        </w:rPr>
        <w:t xml:space="preserve">(2) The Court may decline to fix and order costs under subrule (1) where it is satisfied that the making of an application, although unsuccessful, was nevertheless reasonable. </w:t>
      </w:r>
    </w:p>
    <w:p w14:paraId="48C582E3" w14:textId="77777777" w:rsidR="003C5477" w:rsidRDefault="003C5477" w:rsidP="00D571D4">
      <w:pPr>
        <w:spacing w:after="0" w:line="240" w:lineRule="auto"/>
        <w:ind w:left="709" w:right="5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B1681" w14:textId="1E0A365F" w:rsidR="003C5477" w:rsidRDefault="003C5477" w:rsidP="006309FE">
      <w:pPr>
        <w:spacing w:after="0" w:line="240" w:lineRule="auto"/>
        <w:ind w:left="720" w:right="571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8BA">
        <w:rPr>
          <w:rFonts w:ascii="Times New Roman" w:hAnsi="Times New Roman" w:cs="Times New Roman"/>
          <w:bCs/>
          <w:sz w:val="24"/>
          <w:szCs w:val="24"/>
        </w:rPr>
        <w:t>(3) Where it appears to the Court that a party to an application for summary judgment has acted in bad faith or primarily for the purpose of delay, the Court shall fix the costs of the application on a solicitor and client basis and order the party to pay them without delay</w:t>
      </w:r>
      <w:r w:rsidR="001428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DB3D1C" w14:textId="77777777" w:rsidR="003C5477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570A005" w14:textId="6D5DAEB1" w:rsidR="004218B2" w:rsidRDefault="00911C3E" w:rsidP="00E4560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Defendants </w:t>
      </w:r>
      <w:r w:rsidR="009C05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note that </w:t>
      </w:r>
      <w:r w:rsidR="009C05A8" w:rsidRPr="00A235CE">
        <w:rPr>
          <w:rFonts w:ascii="Times New Roman" w:hAnsi="Times New Roman" w:cs="Times New Roman"/>
          <w:bCs/>
          <w:sz w:val="28"/>
          <w:szCs w:val="28"/>
          <w:lang w:val="en-US"/>
        </w:rPr>
        <w:t>solicitor and client</w:t>
      </w:r>
      <w:r w:rsidR="009C05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costs are usually only gr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9C05A8">
        <w:rPr>
          <w:rFonts w:ascii="Times New Roman" w:hAnsi="Times New Roman" w:cs="Times New Roman"/>
          <w:bCs/>
          <w:sz w:val="28"/>
          <w:szCs w:val="28"/>
          <w:lang w:val="en-US"/>
        </w:rPr>
        <w:t>nted</w:t>
      </w:r>
      <w:r w:rsidR="0099758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if the court finds reprehensible, scandalous, or outrageous conduct occurred during the litigation. </w:t>
      </w:r>
      <w:r w:rsidR="007E04CC">
        <w:rPr>
          <w:rFonts w:ascii="Times New Roman" w:hAnsi="Times New Roman" w:cs="Times New Roman"/>
          <w:bCs/>
          <w:sz w:val="28"/>
          <w:szCs w:val="28"/>
          <w:lang w:val="en-US"/>
        </w:rPr>
        <w:t>However, t</w:t>
      </w:r>
      <w:r w:rsidR="0099758D">
        <w:rPr>
          <w:rFonts w:ascii="Times New Roman" w:hAnsi="Times New Roman" w:cs="Times New Roman"/>
          <w:bCs/>
          <w:sz w:val="28"/>
          <w:szCs w:val="28"/>
          <w:lang w:val="en-US"/>
        </w:rPr>
        <w:t>hey argue th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at </w:t>
      </w:r>
      <w:r w:rsidR="00A7656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Rule 180 expands the </w:t>
      </w:r>
      <w:r w:rsidR="002F661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court’s discretion to award </w:t>
      </w:r>
      <w:r w:rsidR="002F6613" w:rsidRPr="00A235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solicitor </w:t>
      </w:r>
      <w:r w:rsidR="001D3C3D" w:rsidRPr="00A235CE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2F6613" w:rsidRPr="00A235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client</w:t>
      </w:r>
      <w:r w:rsidR="002F661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costs</w:t>
      </w:r>
      <w:r w:rsidR="00E03B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allows such an award</w:t>
      </w:r>
      <w:r w:rsidR="00977E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on a lower threshold </w:t>
      </w:r>
      <w:r w:rsidR="006F701E">
        <w:rPr>
          <w:rFonts w:ascii="Times New Roman" w:hAnsi="Times New Roman" w:cs="Times New Roman"/>
          <w:bCs/>
          <w:sz w:val="28"/>
          <w:szCs w:val="28"/>
          <w:lang w:val="en-US"/>
        </w:rPr>
        <w:t>of establishing</w:t>
      </w:r>
      <w:r w:rsidR="00DF54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C07D4">
        <w:rPr>
          <w:rFonts w:ascii="Times New Roman" w:hAnsi="Times New Roman" w:cs="Times New Roman"/>
          <w:bCs/>
          <w:sz w:val="28"/>
          <w:szCs w:val="28"/>
          <w:lang w:val="en-US"/>
        </w:rPr>
        <w:t>the applicant for summary judgment obtain</w:t>
      </w:r>
      <w:r w:rsidR="006F701E">
        <w:rPr>
          <w:rFonts w:ascii="Times New Roman" w:hAnsi="Times New Roman" w:cs="Times New Roman"/>
          <w:bCs/>
          <w:sz w:val="28"/>
          <w:szCs w:val="28"/>
          <w:lang w:val="en-US"/>
        </w:rPr>
        <w:t>ed</w:t>
      </w:r>
      <w:r w:rsidR="00DC07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no relief and the application was unreasonable. </w:t>
      </w:r>
    </w:p>
    <w:p w14:paraId="764E253F" w14:textId="77777777" w:rsidR="007270C5" w:rsidRPr="00E4560B" w:rsidRDefault="007270C5" w:rsidP="007270C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DA68D02" w14:textId="6EEF0B59" w:rsidR="009073C0" w:rsidRDefault="009073C0" w:rsidP="00B75E2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They submit that</w:t>
      </w:r>
      <w:r w:rsidR="0030398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NCL’s application for partial summary judgment was </w:t>
      </w:r>
      <w:r w:rsidR="0016207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unreasonable. They point to </w:t>
      </w:r>
      <w:r w:rsidR="00764C6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several </w:t>
      </w:r>
      <w:r w:rsidR="00764C6F" w:rsidRPr="007A16E7">
        <w:rPr>
          <w:rFonts w:ascii="Times New Roman" w:hAnsi="Times New Roman" w:cs="Times New Roman"/>
          <w:bCs/>
          <w:sz w:val="28"/>
          <w:szCs w:val="28"/>
          <w:lang w:val="en-US"/>
        </w:rPr>
        <w:t>factors</w:t>
      </w:r>
      <w:r w:rsidR="00982C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82C07" w:rsidRPr="006F701E">
        <w:rPr>
          <w:rFonts w:ascii="Times New Roman" w:hAnsi="Times New Roman" w:cs="Times New Roman"/>
          <w:bCs/>
          <w:sz w:val="28"/>
          <w:szCs w:val="28"/>
          <w:lang w:val="en-US"/>
        </w:rPr>
        <w:t>which</w:t>
      </w:r>
      <w:r w:rsidR="00764C6F" w:rsidRPr="006F70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they argue</w:t>
      </w:r>
      <w:r w:rsidR="00764C6F" w:rsidRPr="007A16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support a conclusion</w:t>
      </w:r>
      <w:r w:rsidR="00764C6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that the </w:t>
      </w:r>
      <w:r w:rsidR="00DB37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application was unnecessary and caused the </w:t>
      </w:r>
      <w:r w:rsidR="00814E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Defendants to expend significant time and resources to respond. They </w:t>
      </w:r>
      <w:r w:rsidR="00B74C2E">
        <w:rPr>
          <w:rFonts w:ascii="Times New Roman" w:hAnsi="Times New Roman" w:cs="Times New Roman"/>
          <w:bCs/>
          <w:sz w:val="28"/>
          <w:szCs w:val="28"/>
          <w:lang w:val="en-US"/>
        </w:rPr>
        <w:t>note one</w:t>
      </w:r>
      <w:r w:rsidR="008F43E5" w:rsidRPr="00814E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 reasons I denied the partial summary judgment application was that NCL </w:t>
      </w:r>
      <w:r w:rsidR="00CF7009" w:rsidRPr="00814E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had not complied with </w:t>
      </w:r>
      <w:r w:rsidR="003D37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mandatory procedural </w:t>
      </w:r>
      <w:r w:rsidR="00135DF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steps under the </w:t>
      </w:r>
      <w:r w:rsidR="00135DF3" w:rsidRPr="00135DF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Rules</w:t>
      </w:r>
      <w:r w:rsidR="00CF7009" w:rsidRPr="00814E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NCL </w:t>
      </w:r>
      <w:r w:rsidR="005E79BC" w:rsidRPr="00814E74">
        <w:rPr>
          <w:rFonts w:ascii="Times New Roman" w:hAnsi="Times New Roman" w:cs="Times New Roman"/>
          <w:bCs/>
          <w:sz w:val="28"/>
          <w:szCs w:val="28"/>
          <w:lang w:val="en-US"/>
        </w:rPr>
        <w:t>brought</w:t>
      </w:r>
      <w:r w:rsidR="008F43E5" w:rsidRPr="00814E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application before the close of the pleadings </w:t>
      </w:r>
      <w:r w:rsidR="0038543C" w:rsidRPr="00814E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and not having filed a Statement as to Documents, </w:t>
      </w:r>
      <w:r w:rsidR="005E79BC" w:rsidRPr="00814E74">
        <w:rPr>
          <w:rFonts w:ascii="Times New Roman" w:hAnsi="Times New Roman" w:cs="Times New Roman"/>
          <w:bCs/>
          <w:sz w:val="28"/>
          <w:szCs w:val="28"/>
          <w:lang w:val="en-US"/>
        </w:rPr>
        <w:t>despite several requests from the Defendant</w:t>
      </w:r>
      <w:r w:rsidR="00CF7009" w:rsidRPr="00814E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s. </w:t>
      </w:r>
      <w:r w:rsidR="00814E74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7F7F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 further point out that I concluded </w:t>
      </w:r>
      <w:r w:rsidR="007A6F45">
        <w:rPr>
          <w:rFonts w:ascii="Times New Roman" w:hAnsi="Times New Roman" w:cs="Times New Roman"/>
          <w:bCs/>
          <w:sz w:val="28"/>
          <w:szCs w:val="28"/>
          <w:lang w:val="en-US"/>
        </w:rPr>
        <w:t>the application was prematur</w:t>
      </w:r>
      <w:r w:rsidR="00E26F9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 because the failure to comply with the </w:t>
      </w:r>
      <w:r w:rsidR="00E26F99" w:rsidRPr="00844CE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Rules</w:t>
      </w:r>
      <w:r w:rsidR="00E26F9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A6F45">
        <w:rPr>
          <w:rFonts w:ascii="Times New Roman" w:hAnsi="Times New Roman" w:cs="Times New Roman"/>
          <w:bCs/>
          <w:sz w:val="28"/>
          <w:szCs w:val="28"/>
          <w:lang w:val="en-US"/>
        </w:rPr>
        <w:t>prejudiced the Defendants’ ability to respond adequately</w:t>
      </w:r>
      <w:r w:rsidR="00E26F99">
        <w:rPr>
          <w:rFonts w:ascii="Times New Roman" w:hAnsi="Times New Roman" w:cs="Times New Roman"/>
          <w:bCs/>
          <w:sz w:val="28"/>
          <w:szCs w:val="28"/>
          <w:lang w:val="en-US"/>
        </w:rPr>
        <w:t>. The Defendants</w:t>
      </w:r>
      <w:r w:rsidR="00BE7BA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also</w:t>
      </w:r>
      <w:r w:rsidR="00E26F9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E7BA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note that I found the </w:t>
      </w:r>
      <w:r w:rsidR="004E3CED">
        <w:rPr>
          <w:rFonts w:ascii="Times New Roman" w:hAnsi="Times New Roman" w:cs="Times New Roman"/>
          <w:bCs/>
          <w:sz w:val="28"/>
          <w:szCs w:val="28"/>
          <w:lang w:val="en-US"/>
        </w:rPr>
        <w:t>issues raised by the claim and the counterclaim were so intertwined that</w:t>
      </w:r>
      <w:r w:rsidR="001207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they had to be determined </w:t>
      </w:r>
      <w:r w:rsidR="008D476F">
        <w:rPr>
          <w:rFonts w:ascii="Times New Roman" w:hAnsi="Times New Roman" w:cs="Times New Roman"/>
          <w:bCs/>
          <w:sz w:val="28"/>
          <w:szCs w:val="28"/>
          <w:lang w:val="en-US"/>
        </w:rPr>
        <w:t>at trial because of the risk of inconsistent findings of facts. Finally, they submit that NCL rai</w:t>
      </w:r>
      <w:r w:rsidR="009C4F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sed </w:t>
      </w:r>
      <w:r w:rsidR="00467EB8">
        <w:rPr>
          <w:rFonts w:ascii="Times New Roman" w:hAnsi="Times New Roman" w:cs="Times New Roman"/>
          <w:bCs/>
          <w:sz w:val="28"/>
          <w:szCs w:val="28"/>
          <w:lang w:val="en-US"/>
        </w:rPr>
        <w:t>a legal argument</w:t>
      </w:r>
      <w:r w:rsidR="009C4F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that required the parties to file addi</w:t>
      </w:r>
      <w:r w:rsidR="0000624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tional written submissions only for NCL to later concede </w:t>
      </w:r>
      <w:r w:rsidR="00467EB8">
        <w:rPr>
          <w:rFonts w:ascii="Times New Roman" w:hAnsi="Times New Roman" w:cs="Times New Roman"/>
          <w:bCs/>
          <w:sz w:val="28"/>
          <w:szCs w:val="28"/>
          <w:lang w:val="en-US"/>
        </w:rPr>
        <w:t>the issue</w:t>
      </w:r>
      <w:r w:rsidR="0000624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397CC8">
        <w:rPr>
          <w:rFonts w:ascii="Times New Roman" w:hAnsi="Times New Roman" w:cs="Times New Roman"/>
          <w:bCs/>
          <w:sz w:val="28"/>
          <w:szCs w:val="28"/>
          <w:lang w:val="en-US"/>
        </w:rPr>
        <w:t>did</w:t>
      </w:r>
      <w:r w:rsidR="0000624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not apply </w:t>
      </w:r>
      <w:r w:rsidR="0000624E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in this case, which unnecessarily</w:t>
      </w:r>
      <w:r w:rsidR="00B75E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amplified the complexity of the case and the costs of the proceedings for the Defendants. </w:t>
      </w:r>
    </w:p>
    <w:p w14:paraId="043F3556" w14:textId="77777777" w:rsidR="00CD0A8A" w:rsidRPr="00B75E2B" w:rsidRDefault="00CD0A8A" w:rsidP="00CD0A8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C4CFF48" w14:textId="60DD41F4" w:rsidR="00A50658" w:rsidRPr="00B04BD1" w:rsidRDefault="009073C0" w:rsidP="00EE695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Defendants </w:t>
      </w:r>
      <w:r w:rsidR="00303981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claim this situation </w:t>
      </w:r>
      <w:r w:rsidR="00E45517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is </w:t>
      </w:r>
      <w:proofErr w:type="gramStart"/>
      <w:r w:rsidR="00E45517" w:rsidRPr="00B04BD1">
        <w:rPr>
          <w:rFonts w:ascii="Times New Roman" w:hAnsi="Times New Roman" w:cs="Times New Roman"/>
          <w:bCs/>
          <w:sz w:val="28"/>
          <w:szCs w:val="28"/>
          <w:lang w:val="en-US"/>
        </w:rPr>
        <w:t>similar to</w:t>
      </w:r>
      <w:proofErr w:type="gramEnd"/>
      <w:r w:rsidR="00E45517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8C36F9" w:rsidRPr="00B04BD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Sese</w:t>
      </w:r>
      <w:r w:rsidR="008C36F9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8C36F9" w:rsidRPr="00930DC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</w:t>
      </w:r>
      <w:r w:rsidR="008C36F9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C36F9" w:rsidRPr="00B04BD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Valu</w:t>
      </w:r>
      <w:r w:rsidR="00B04BD1" w:rsidRPr="00B04BD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phram</w:t>
      </w:r>
      <w:proofErr w:type="spellEnd"/>
      <w:r w:rsidR="00B04BD1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04BD1" w:rsidRPr="009D562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Drugs et al</w:t>
      </w:r>
      <w:r w:rsidR="00B04BD1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2017 NUCJ 8</w:t>
      </w:r>
      <w:r w:rsidR="009015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r w:rsidR="00901562" w:rsidRPr="0090156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Sese</w:t>
      </w:r>
      <w:r w:rsidR="00901562">
        <w:rPr>
          <w:rFonts w:ascii="Times New Roman" w:hAnsi="Times New Roman" w:cs="Times New Roman"/>
          <w:bCs/>
          <w:sz w:val="28"/>
          <w:szCs w:val="28"/>
          <w:lang w:val="en-US"/>
        </w:rPr>
        <w:t>]</w:t>
      </w:r>
      <w:r w:rsidR="009D5624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1E0A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civil </w:t>
      </w:r>
      <w:r w:rsidR="0033063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procedure </w:t>
      </w:r>
      <w:r w:rsidR="001E0A44">
        <w:rPr>
          <w:rFonts w:ascii="Times New Roman" w:hAnsi="Times New Roman" w:cs="Times New Roman"/>
          <w:bCs/>
          <w:sz w:val="28"/>
          <w:szCs w:val="28"/>
          <w:lang w:val="en-US"/>
        </w:rPr>
        <w:t>rules in</w:t>
      </w:r>
      <w:r w:rsidR="00EC5C1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</w:t>
      </w:r>
      <w:r w:rsidR="001E0A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Nunavut</w:t>
      </w:r>
      <w:r w:rsidR="00EC5C1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Court of Justice</w:t>
      </w:r>
      <w:r w:rsidR="001E0A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E4D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include </w:t>
      </w:r>
      <w:r w:rsidR="00DD7295">
        <w:rPr>
          <w:rFonts w:ascii="Times New Roman" w:hAnsi="Times New Roman" w:cs="Times New Roman"/>
          <w:bCs/>
          <w:sz w:val="28"/>
          <w:szCs w:val="28"/>
          <w:lang w:val="en-US"/>
        </w:rPr>
        <w:t>the same Rule 180</w:t>
      </w:r>
      <w:r w:rsidR="008B4448" w:rsidRPr="00B04BD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2D40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</w:t>
      </w:r>
      <w:r w:rsidR="002D4002" w:rsidRPr="002D400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Sese</w:t>
      </w:r>
      <w:r w:rsidR="002D4002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8B4448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C43EB" w:rsidRPr="00B04BD1">
        <w:rPr>
          <w:rFonts w:ascii="Times New Roman" w:hAnsi="Times New Roman" w:cs="Times New Roman"/>
          <w:bCs/>
          <w:sz w:val="28"/>
          <w:szCs w:val="28"/>
          <w:lang w:val="en-US"/>
        </w:rPr>
        <w:t>Bychok</w:t>
      </w:r>
      <w:proofErr w:type="spellEnd"/>
      <w:r w:rsidR="00BC43EB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J. </w:t>
      </w:r>
      <w:r w:rsidR="00330CA6">
        <w:rPr>
          <w:rFonts w:ascii="Times New Roman" w:hAnsi="Times New Roman" w:cs="Times New Roman"/>
          <w:bCs/>
          <w:sz w:val="28"/>
          <w:szCs w:val="28"/>
          <w:lang w:val="en-US"/>
        </w:rPr>
        <w:t>granted solicitor and client costs pursuant to</w:t>
      </w:r>
      <w:r w:rsidR="00AD2EC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</w:t>
      </w:r>
      <w:r w:rsidR="00330CA6">
        <w:rPr>
          <w:rFonts w:ascii="Times New Roman" w:hAnsi="Times New Roman" w:cs="Times New Roman"/>
          <w:bCs/>
          <w:sz w:val="28"/>
          <w:szCs w:val="28"/>
          <w:lang w:val="en-US"/>
        </w:rPr>
        <w:t>ule</w:t>
      </w:r>
      <w:r w:rsidR="00AD2EC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180</w:t>
      </w:r>
      <w:r w:rsidR="00323A6A">
        <w:rPr>
          <w:rFonts w:ascii="Times New Roman" w:hAnsi="Times New Roman" w:cs="Times New Roman"/>
          <w:bCs/>
          <w:sz w:val="28"/>
          <w:szCs w:val="28"/>
          <w:lang w:val="en-US"/>
        </w:rPr>
        <w:t>. He found</w:t>
      </w:r>
      <w:r w:rsidR="00EB5C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830A8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162070" w:rsidRPr="00B04B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summary judgment application was unreasonable </w:t>
      </w:r>
      <w:r w:rsidR="00323A6A">
        <w:rPr>
          <w:rFonts w:ascii="Times New Roman" w:hAnsi="Times New Roman" w:cs="Times New Roman"/>
          <w:bCs/>
          <w:sz w:val="28"/>
          <w:szCs w:val="28"/>
          <w:lang w:val="en-US"/>
        </w:rPr>
        <w:t>because</w:t>
      </w:r>
      <w:r w:rsidR="0067375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factual issues at play could not be resolved without the benefit of </w:t>
      </w:r>
      <w:r w:rsidR="00673750" w:rsidRPr="0067375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viva voce</w:t>
      </w:r>
      <w:r w:rsidR="0067375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evidence, which ought to have been obvious to the moving party on the application. </w:t>
      </w:r>
    </w:p>
    <w:p w14:paraId="611B73D2" w14:textId="77777777" w:rsidR="006C39A8" w:rsidRDefault="006C39A8" w:rsidP="006C39A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2157521" w14:textId="515C9EAA" w:rsidR="00EB7B82" w:rsidRDefault="00EB7B82" w:rsidP="00EE695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Defendants also advance a position in the alternative that </w:t>
      </w:r>
      <w:r w:rsidR="007A3534">
        <w:rPr>
          <w:rFonts w:ascii="Times New Roman" w:hAnsi="Times New Roman" w:cs="Times New Roman"/>
          <w:bCs/>
          <w:sz w:val="28"/>
          <w:szCs w:val="28"/>
          <w:lang w:val="en-US"/>
        </w:rPr>
        <w:t>NCL did not bring the application</w:t>
      </w:r>
      <w:r w:rsidR="006C39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good faith but rather for the primary purpose of delaying the proceedings. </w:t>
      </w:r>
      <w:r w:rsidR="00E93FB6">
        <w:rPr>
          <w:rFonts w:ascii="Times New Roman" w:hAnsi="Times New Roman" w:cs="Times New Roman"/>
          <w:bCs/>
          <w:sz w:val="28"/>
          <w:szCs w:val="28"/>
          <w:lang w:val="en-US"/>
        </w:rPr>
        <w:t>They</w:t>
      </w:r>
      <w:r w:rsidR="00A85A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rely on NCL’s </w:t>
      </w:r>
      <w:r w:rsidR="00754321">
        <w:rPr>
          <w:rFonts w:ascii="Times New Roman" w:hAnsi="Times New Roman" w:cs="Times New Roman"/>
          <w:bCs/>
          <w:sz w:val="28"/>
          <w:szCs w:val="28"/>
          <w:lang w:val="en-US"/>
        </w:rPr>
        <w:t>failure to file a Statement as to Documents despite repeated request</w:t>
      </w:r>
      <w:r w:rsidR="00E43ED6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754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the </w:t>
      </w:r>
      <w:r w:rsidR="00A85A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delay </w:t>
      </w:r>
      <w:r w:rsidR="00CC3637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r w:rsidR="00A85A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close of pleadings</w:t>
      </w:r>
      <w:r w:rsidR="00754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which </w:t>
      </w:r>
      <w:r w:rsidR="00AF22F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prevented the Defendants from pursuing legitimate discovery and disclosure processes. </w:t>
      </w:r>
      <w:r w:rsidR="005124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Defendants argue that </w:t>
      </w:r>
      <w:r w:rsidR="005B29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 </w:t>
      </w:r>
      <w:r w:rsidR="005124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pursuing </w:t>
      </w:r>
      <w:r w:rsidR="00404D7D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5124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application for partial summary judgment </w:t>
      </w:r>
      <w:r w:rsidR="00404D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when </w:t>
      </w:r>
      <w:r w:rsidR="00E3258A">
        <w:rPr>
          <w:rFonts w:ascii="Times New Roman" w:hAnsi="Times New Roman" w:cs="Times New Roman"/>
          <w:bCs/>
          <w:sz w:val="28"/>
          <w:szCs w:val="28"/>
          <w:lang w:val="en-US"/>
        </w:rPr>
        <w:t>the Defendants</w:t>
      </w:r>
      <w:r w:rsidR="00404D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had raised procedural concerns in </w:t>
      </w:r>
      <w:r w:rsidR="00681E69">
        <w:rPr>
          <w:rFonts w:ascii="Times New Roman" w:hAnsi="Times New Roman" w:cs="Times New Roman"/>
          <w:bCs/>
          <w:sz w:val="28"/>
          <w:szCs w:val="28"/>
          <w:lang w:val="en-US"/>
        </w:rPr>
        <w:t>writing establishes</w:t>
      </w:r>
      <w:r w:rsidR="003F0E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C03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 </w:t>
      </w:r>
      <w:r w:rsidR="003F0E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brought </w:t>
      </w:r>
      <w:r w:rsidR="00EC03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application </w:t>
      </w:r>
      <w:r w:rsidR="003F0E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bad faith which </w:t>
      </w:r>
      <w:r w:rsidR="001757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justifies solicitor and client costs pursuant to Rule 180(3). </w:t>
      </w:r>
      <w:r w:rsidR="003F0E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1A1C8310" w14:textId="77777777" w:rsidR="00B75E2B" w:rsidRDefault="00B75E2B" w:rsidP="00B75E2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B0680D4" w14:textId="4AD5ABB6" w:rsidR="00B75E2B" w:rsidRDefault="00B75E2B" w:rsidP="00B75E2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 </w:t>
      </w:r>
      <w:r w:rsidR="008874D8">
        <w:rPr>
          <w:rFonts w:ascii="Times New Roman" w:hAnsi="Times New Roman" w:cs="Times New Roman"/>
          <w:bCs/>
          <w:sz w:val="28"/>
          <w:szCs w:val="28"/>
          <w:lang w:val="en-US"/>
        </w:rPr>
        <w:t>submits that th</w:t>
      </w:r>
      <w:r w:rsidR="00434576">
        <w:rPr>
          <w:rFonts w:ascii="Times New Roman" w:hAnsi="Times New Roman" w:cs="Times New Roman"/>
          <w:bCs/>
          <w:sz w:val="28"/>
          <w:szCs w:val="28"/>
          <w:lang w:val="en-US"/>
        </w:rPr>
        <w:t>is Court has</w:t>
      </w:r>
      <w:r w:rsidR="00E242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ruled that an</w:t>
      </w:r>
      <w:r w:rsidR="008874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34576">
        <w:rPr>
          <w:rFonts w:ascii="Times New Roman" w:hAnsi="Times New Roman" w:cs="Times New Roman"/>
          <w:bCs/>
          <w:sz w:val="28"/>
          <w:szCs w:val="28"/>
          <w:lang w:val="en-US"/>
        </w:rPr>
        <w:t>unsuccessful applicant on a summary judgment</w:t>
      </w:r>
      <w:r w:rsidR="00C505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application</w:t>
      </w:r>
      <w:r w:rsidR="004345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24243">
        <w:rPr>
          <w:rFonts w:ascii="Times New Roman" w:hAnsi="Times New Roman" w:cs="Times New Roman"/>
          <w:bCs/>
          <w:sz w:val="28"/>
          <w:szCs w:val="28"/>
          <w:lang w:val="en-US"/>
        </w:rPr>
        <w:t>must not necessarily pay solicitor and client costs (</w:t>
      </w:r>
      <w:r w:rsidR="004B0B07" w:rsidRPr="004B0B0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Igloo Specialties Ltd. v Royal Oak Mines Inc., </w:t>
      </w:r>
      <w:r w:rsidR="004B0B07" w:rsidRPr="004B0B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1998 </w:t>
      </w:r>
      <w:proofErr w:type="spellStart"/>
      <w:r w:rsidR="004B0B07" w:rsidRPr="004B0B07">
        <w:rPr>
          <w:rFonts w:ascii="Times New Roman" w:hAnsi="Times New Roman" w:cs="Times New Roman"/>
          <w:bCs/>
          <w:sz w:val="28"/>
          <w:szCs w:val="28"/>
          <w:lang w:val="en-US"/>
        </w:rPr>
        <w:t>CanLII</w:t>
      </w:r>
      <w:proofErr w:type="spellEnd"/>
      <w:r w:rsidR="004B0B07" w:rsidRPr="004B0B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6972 (NWT SC)</w:t>
      </w:r>
      <w:r w:rsidR="004B0B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</w:t>
      </w:r>
      <w:r w:rsidR="004B0B07" w:rsidRPr="00BB3C3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Paul’s Aircraft Services</w:t>
      </w:r>
      <w:r w:rsidR="004B0B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B0B07" w:rsidRPr="0076468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v </w:t>
      </w:r>
      <w:r w:rsidR="004B0B07" w:rsidRPr="00BB3C3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Kenn Borek Air Ltd., </w:t>
      </w:r>
      <w:r w:rsidR="004B0B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2012 NWTSC 85 </w:t>
      </w:r>
      <w:r w:rsidR="002F24EB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="002F24EB" w:rsidRPr="004F08B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Paul’</w:t>
      </w:r>
      <w:r w:rsidR="004F08BF" w:rsidRPr="004F08B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</w:t>
      </w:r>
      <w:r w:rsidR="002F24EB" w:rsidRPr="004F08B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Aircraft Services</w:t>
      </w:r>
      <w:r w:rsidR="004F08BF">
        <w:rPr>
          <w:rFonts w:ascii="Times New Roman" w:hAnsi="Times New Roman" w:cs="Times New Roman"/>
          <w:bCs/>
          <w:sz w:val="28"/>
          <w:szCs w:val="28"/>
          <w:lang w:val="en-US"/>
        </w:rPr>
        <w:t>]</w:t>
      </w:r>
      <w:r w:rsidR="004B0B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). </w:t>
      </w:r>
      <w:r w:rsidR="002F24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It </w:t>
      </w:r>
      <w:r w:rsidR="004B76A9">
        <w:rPr>
          <w:rFonts w:ascii="Times New Roman" w:hAnsi="Times New Roman" w:cs="Times New Roman"/>
          <w:bCs/>
          <w:sz w:val="28"/>
          <w:szCs w:val="28"/>
          <w:lang w:val="en-US"/>
        </w:rPr>
        <w:t>points out</w:t>
      </w:r>
      <w:r w:rsidR="002F24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that in </w:t>
      </w:r>
      <w:r w:rsidR="004F08BF" w:rsidRPr="004F08B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Paul’s Aircraft Services</w:t>
      </w:r>
      <w:r w:rsidR="004F0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E3258A">
        <w:rPr>
          <w:rFonts w:ascii="Times New Roman" w:hAnsi="Times New Roman" w:cs="Times New Roman"/>
          <w:bCs/>
          <w:sz w:val="28"/>
          <w:szCs w:val="28"/>
          <w:lang w:val="en-US"/>
        </w:rPr>
        <w:t>Charbonneau J., who was</w:t>
      </w:r>
      <w:r w:rsidR="004F0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deciding whether to award </w:t>
      </w:r>
      <w:r w:rsidR="004F08BF" w:rsidRPr="00A235CE">
        <w:rPr>
          <w:rFonts w:ascii="Times New Roman" w:hAnsi="Times New Roman" w:cs="Times New Roman"/>
          <w:bCs/>
          <w:sz w:val="28"/>
          <w:szCs w:val="28"/>
          <w:lang w:val="en-US"/>
        </w:rPr>
        <w:t>solicitor and client</w:t>
      </w:r>
      <w:r w:rsidR="004F0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costs under R</w:t>
      </w:r>
      <w:r w:rsidR="00EC03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ule </w:t>
      </w:r>
      <w:r w:rsidR="004F08BF">
        <w:rPr>
          <w:rFonts w:ascii="Times New Roman" w:hAnsi="Times New Roman" w:cs="Times New Roman"/>
          <w:bCs/>
          <w:sz w:val="28"/>
          <w:szCs w:val="28"/>
          <w:lang w:val="en-US"/>
        </w:rPr>
        <w:t>180</w:t>
      </w:r>
      <w:r w:rsidR="00E3258A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4F0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2660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noted that in general, solicitor and client costs are exceptional and reserved for situations where the parties have </w:t>
      </w:r>
      <w:r w:rsidR="00BD086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engaged in reprehensible conduct deserving of the Court’s sanction. </w:t>
      </w:r>
      <w:r w:rsidR="00AF5E40">
        <w:rPr>
          <w:rFonts w:ascii="Times New Roman" w:hAnsi="Times New Roman" w:cs="Times New Roman"/>
          <w:bCs/>
          <w:sz w:val="28"/>
          <w:szCs w:val="28"/>
          <w:lang w:val="en-US"/>
        </w:rPr>
        <w:t>NCL submits that the Defendants</w:t>
      </w:r>
      <w:r w:rsidR="0019533D">
        <w:rPr>
          <w:rFonts w:ascii="Times New Roman" w:hAnsi="Times New Roman" w:cs="Times New Roman"/>
          <w:bCs/>
          <w:sz w:val="28"/>
          <w:szCs w:val="28"/>
          <w:lang w:val="en-US"/>
        </w:rPr>
        <w:t>’ position</w:t>
      </w:r>
      <w:r w:rsidR="00054B2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6066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is akin to arguing that </w:t>
      </w:r>
      <w:r w:rsidR="001C3514">
        <w:rPr>
          <w:rFonts w:ascii="Times New Roman" w:hAnsi="Times New Roman" w:cs="Times New Roman"/>
          <w:bCs/>
          <w:sz w:val="28"/>
          <w:szCs w:val="28"/>
          <w:lang w:val="en-US"/>
        </w:rPr>
        <w:t>NCL</w:t>
      </w:r>
      <w:r w:rsidR="00054B2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’s position </w:t>
      </w:r>
      <w:r w:rsidR="00605E8E">
        <w:rPr>
          <w:rFonts w:ascii="Times New Roman" w:hAnsi="Times New Roman" w:cs="Times New Roman"/>
          <w:bCs/>
          <w:sz w:val="28"/>
          <w:szCs w:val="28"/>
          <w:lang w:val="en-US"/>
        </w:rPr>
        <w:t>was</w:t>
      </w:r>
      <w:r w:rsidR="00054B2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1C3514">
        <w:rPr>
          <w:rFonts w:ascii="Times New Roman" w:hAnsi="Times New Roman" w:cs="Times New Roman"/>
          <w:bCs/>
          <w:sz w:val="28"/>
          <w:szCs w:val="28"/>
          <w:lang w:val="en-US"/>
        </w:rPr>
        <w:t>unreasonable because it was not accepted by the application judge</w:t>
      </w:r>
      <w:r w:rsidR="005E4407">
        <w:rPr>
          <w:rFonts w:ascii="Times New Roman" w:hAnsi="Times New Roman" w:cs="Times New Roman"/>
          <w:bCs/>
          <w:sz w:val="28"/>
          <w:szCs w:val="28"/>
          <w:lang w:val="en-US"/>
        </w:rPr>
        <w:t>. Such an interpretation would</w:t>
      </w:r>
      <w:r w:rsidR="00BA42C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E4407">
        <w:rPr>
          <w:rFonts w:ascii="Times New Roman" w:hAnsi="Times New Roman" w:cs="Times New Roman"/>
          <w:bCs/>
          <w:sz w:val="28"/>
          <w:szCs w:val="28"/>
          <w:lang w:val="en-US"/>
        </w:rPr>
        <w:t>result in</w:t>
      </w:r>
      <w:r w:rsidR="001C351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solicitor and client costs always be</w:t>
      </w:r>
      <w:r w:rsidR="005E4407">
        <w:rPr>
          <w:rFonts w:ascii="Times New Roman" w:hAnsi="Times New Roman" w:cs="Times New Roman"/>
          <w:bCs/>
          <w:sz w:val="28"/>
          <w:szCs w:val="28"/>
          <w:lang w:val="en-US"/>
        </w:rPr>
        <w:t>ing</w:t>
      </w:r>
      <w:r w:rsidR="001C351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awarded when </w:t>
      </w:r>
      <w:r w:rsidR="009E387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 summary judgment application is dismissed, which is not the test set out </w:t>
      </w:r>
      <w:r w:rsidR="004F48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</w:t>
      </w:r>
      <w:r w:rsidR="009E3875">
        <w:rPr>
          <w:rFonts w:ascii="Times New Roman" w:hAnsi="Times New Roman" w:cs="Times New Roman"/>
          <w:bCs/>
          <w:sz w:val="28"/>
          <w:szCs w:val="28"/>
          <w:lang w:val="en-US"/>
        </w:rPr>
        <w:t>Rule 180.</w:t>
      </w:r>
    </w:p>
    <w:p w14:paraId="376AB91E" w14:textId="77777777" w:rsidR="00BD086F" w:rsidRPr="00BD086F" w:rsidRDefault="00BD086F" w:rsidP="00BD086F">
      <w:pPr>
        <w:pStyle w:val="ListParagrap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556A0FD" w14:textId="667E1741" w:rsidR="00BD086F" w:rsidRDefault="0082363C" w:rsidP="00B75E2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 </w:t>
      </w:r>
      <w:r w:rsidR="00F47A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notes that the Supreme Court of Canada has encouraged parties to make increasing use of summary </w:t>
      </w:r>
      <w:r w:rsidR="00F30E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disposition. It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argues that </w:t>
      </w:r>
      <w:r w:rsidR="00F30E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this case,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the application was not</w:t>
      </w:r>
      <w:r w:rsidR="00ED7C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clearly without merit</w:t>
      </w:r>
      <w:r w:rsidR="00F47AF8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F30E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NCL points out </w:t>
      </w:r>
      <w:r w:rsidR="00B25F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that </w:t>
      </w:r>
      <w:r w:rsidR="00F30ED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Defendants filed a lengthy response brief and </w:t>
      </w:r>
      <w:r w:rsidR="00B25F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that the </w:t>
      </w:r>
      <w:r w:rsidR="00653C7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oral hearing lasted several hours, which </w:t>
      </w:r>
      <w:r w:rsidR="00844CE1">
        <w:rPr>
          <w:rFonts w:ascii="Times New Roman" w:hAnsi="Times New Roman" w:cs="Times New Roman"/>
          <w:bCs/>
          <w:sz w:val="28"/>
          <w:szCs w:val="28"/>
          <w:lang w:val="en-US"/>
        </w:rPr>
        <w:t>show</w:t>
      </w:r>
      <w:r w:rsidR="00450246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653C7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there were genuine issues to debate. </w:t>
      </w:r>
      <w:r w:rsidR="000A3C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 </w:t>
      </w:r>
      <w:r w:rsidR="0041116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argues </w:t>
      </w:r>
      <w:r w:rsidR="00411167" w:rsidRPr="00496A49">
        <w:rPr>
          <w:rFonts w:ascii="Times New Roman" w:hAnsi="Times New Roman" w:cs="Times New Roman"/>
          <w:bCs/>
          <w:sz w:val="28"/>
          <w:szCs w:val="28"/>
          <w:lang w:val="en-US"/>
        </w:rPr>
        <w:t>that I did not rule</w:t>
      </w:r>
      <w:r w:rsidR="0041116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A496F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="0041116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failed to comply with the </w:t>
      </w:r>
      <w:r w:rsidR="00411167" w:rsidRPr="0041116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lastRenderedPageBreak/>
        <w:t>Rules</w:t>
      </w:r>
      <w:r w:rsidR="0041116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the way the Defendants describe.</w:t>
      </w:r>
      <w:r w:rsidR="009015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NCL claims </w:t>
      </w:r>
      <w:r w:rsidR="00901562" w:rsidRPr="0090156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Sese</w:t>
      </w:r>
      <w:r w:rsidR="009015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has no application in this case because </w:t>
      </w:r>
      <w:r w:rsidR="00B25F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here, </w:t>
      </w:r>
      <w:r w:rsidR="009D325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unlike </w:t>
      </w:r>
      <w:r w:rsidR="00CF0D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</w:t>
      </w:r>
      <w:r w:rsidR="00494EA4" w:rsidRPr="00494EA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Sese</w:t>
      </w:r>
      <w:r w:rsidR="00494EA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901562">
        <w:rPr>
          <w:rFonts w:ascii="Times New Roman" w:hAnsi="Times New Roman" w:cs="Times New Roman"/>
          <w:bCs/>
          <w:sz w:val="28"/>
          <w:szCs w:val="28"/>
          <w:lang w:val="en-US"/>
        </w:rPr>
        <w:t>the evidence does not</w:t>
      </w:r>
      <w:r w:rsidR="00494EA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establish that NCL brought the application for the purpose of delaying the action. </w:t>
      </w:r>
    </w:p>
    <w:p w14:paraId="5EF0D195" w14:textId="77777777" w:rsidR="00297A6D" w:rsidRPr="00297A6D" w:rsidRDefault="00297A6D" w:rsidP="00297A6D">
      <w:pPr>
        <w:pStyle w:val="ListParagrap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B57B137" w14:textId="077E9878" w:rsidR="00B75E2B" w:rsidRPr="00F510AF" w:rsidRDefault="00297A6D" w:rsidP="00B75E2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am not satisfied that </w:t>
      </w:r>
      <w:r w:rsidR="002261C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NCL’s </w:t>
      </w:r>
      <w:r w:rsidR="001E4FE6">
        <w:rPr>
          <w:rFonts w:ascii="Times New Roman" w:hAnsi="Times New Roman" w:cs="Times New Roman"/>
          <w:bCs/>
          <w:sz w:val="28"/>
          <w:szCs w:val="28"/>
          <w:lang w:val="en-US"/>
        </w:rPr>
        <w:t>application for summary judgment was unre</w:t>
      </w:r>
      <w:r w:rsidR="003D0E4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asonable. I agree with NCL that </w:t>
      </w:r>
      <w:r w:rsidR="00E07F5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Rule 180 must </w:t>
      </w:r>
      <w:r w:rsidR="00E07F50" w:rsidRPr="00E07F5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be interpreted </w:t>
      </w:r>
      <w:r w:rsidR="00E348A2">
        <w:rPr>
          <w:rFonts w:ascii="Times New Roman" w:hAnsi="Times New Roman" w:cs="Times New Roman"/>
          <w:bCs/>
          <w:sz w:val="28"/>
          <w:szCs w:val="28"/>
          <w:lang w:val="en-US"/>
        </w:rPr>
        <w:t>considering</w:t>
      </w:r>
      <w:r w:rsidR="007E08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E55F9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E07F50" w:rsidRPr="00E07F5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shift in culture </w:t>
      </w:r>
      <w:r w:rsidR="00690E93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="008818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summary disposition initiated in</w:t>
      </w:r>
      <w:r w:rsidR="005D755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91452" w:rsidRPr="003828A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Hryniak v Mauldin</w:t>
      </w:r>
      <w:r w:rsidR="00491452" w:rsidRPr="006433CD">
        <w:rPr>
          <w:rFonts w:ascii="Times New Roman" w:hAnsi="Times New Roman" w:cs="Times New Roman"/>
          <w:bCs/>
          <w:sz w:val="28"/>
          <w:szCs w:val="28"/>
          <w:lang w:val="en-US"/>
        </w:rPr>
        <w:t>, 2014 SCC 7</w:t>
      </w:r>
      <w:r w:rsidR="008357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A3101B">
        <w:rPr>
          <w:rFonts w:ascii="Times New Roman" w:hAnsi="Times New Roman" w:cs="Times New Roman"/>
          <w:bCs/>
          <w:sz w:val="28"/>
          <w:szCs w:val="28"/>
          <w:lang w:val="en-US"/>
        </w:rPr>
        <w:t>The Supreme Court of Canada has clearly signaled to litigants that they can</w:t>
      </w:r>
      <w:r w:rsidR="00434460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A310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they should</w:t>
      </w:r>
      <w:r w:rsidR="00434460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A310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make more use of summary judgment applications. </w:t>
      </w:r>
      <w:r w:rsid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Accordingly, </w:t>
      </w:r>
      <w:r w:rsidR="006D7141" w:rsidRP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Rule 180 </w:t>
      </w:r>
      <w:r w:rsidR="001D27E8">
        <w:rPr>
          <w:rFonts w:ascii="Times New Roman" w:hAnsi="Times New Roman" w:cs="Times New Roman"/>
          <w:bCs/>
          <w:sz w:val="28"/>
          <w:szCs w:val="28"/>
          <w:lang w:val="en-US"/>
        </w:rPr>
        <w:t>must</w:t>
      </w:r>
      <w:r w:rsidR="006D7141" w:rsidRP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not </w:t>
      </w:r>
      <w:r w:rsidR="006D7141" w:rsidRPr="006D7141">
        <w:rPr>
          <w:rFonts w:ascii="Times New Roman" w:hAnsi="Times New Roman" w:cs="Times New Roman"/>
          <w:bCs/>
          <w:sz w:val="28"/>
          <w:szCs w:val="28"/>
          <w:lang w:val="en-US"/>
        </w:rPr>
        <w:t>set such a low threshold to</w:t>
      </w:r>
      <w:r w:rsidR="00CF0D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</w:t>
      </w:r>
      <w:r w:rsidR="006D7141" w:rsidRP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award</w:t>
      </w:r>
      <w:r w:rsidR="00CF0D12">
        <w:rPr>
          <w:rFonts w:ascii="Times New Roman" w:hAnsi="Times New Roman" w:cs="Times New Roman"/>
          <w:bCs/>
          <w:sz w:val="28"/>
          <w:szCs w:val="28"/>
          <w:lang w:val="en-US"/>
        </w:rPr>
        <w:t>ing</w:t>
      </w:r>
      <w:r w:rsidR="006D7141" w:rsidRP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F0D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</w:t>
      </w:r>
      <w:r w:rsidR="006D7141" w:rsidRP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solicitor </w:t>
      </w:r>
      <w:r w:rsidR="001D27E8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6D7141" w:rsidRPr="006D714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client costs that it would have a significant chilling effect on litigants</w:t>
      </w:r>
      <w:r w:rsidR="001D27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What </w:t>
      </w:r>
      <w:proofErr w:type="gramStart"/>
      <w:r w:rsidR="001D27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is considered </w:t>
      </w:r>
      <w:r w:rsidR="007C5039">
        <w:rPr>
          <w:rFonts w:ascii="Times New Roman" w:hAnsi="Times New Roman" w:cs="Times New Roman"/>
          <w:bCs/>
          <w:sz w:val="28"/>
          <w:szCs w:val="28"/>
          <w:lang w:val="en-US"/>
        </w:rPr>
        <w:t>to be</w:t>
      </w:r>
      <w:proofErr w:type="gramEnd"/>
      <w:r w:rsidR="007C50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reasonable position for the application of Rule 180 must be informed by the Supreme Court of Canada’s expansive approach to summary judgment. </w:t>
      </w:r>
    </w:p>
    <w:p w14:paraId="11AB266A" w14:textId="77777777" w:rsidR="001D1D05" w:rsidRPr="007C5039" w:rsidRDefault="001D1D05" w:rsidP="007C50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2D107A6" w14:textId="3E4DB361" w:rsidR="003C5477" w:rsidRDefault="00855A80" w:rsidP="00461E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dismissed </w:t>
      </w:r>
      <w:r w:rsidR="00EE69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NCL’s application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because it </w:t>
      </w:r>
      <w:r w:rsidR="00EE69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was </w:t>
      </w:r>
      <w:r w:rsidR="00FF67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premature </w:t>
      </w:r>
      <w:r w:rsidR="00F612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considering </w:t>
      </w:r>
      <w:r w:rsidR="00DD726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procedural steps were still required for the process to fairly </w:t>
      </w:r>
      <w:r w:rsidR="00DD7D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allow the Defendants to pursue discoveries </w:t>
      </w:r>
      <w:r w:rsidR="00FF6733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623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disclosure and </w:t>
      </w:r>
      <w:r w:rsidR="00A661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because the </w:t>
      </w:r>
      <w:r w:rsidR="00A661F2" w:rsidRPr="00255D2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claim and the counterclaim are so intertwined that </w:t>
      </w:r>
      <w:r w:rsidR="00A661F2">
        <w:rPr>
          <w:rFonts w:ascii="Times New Roman" w:hAnsi="Times New Roman" w:cs="Times New Roman"/>
          <w:bCs/>
          <w:sz w:val="28"/>
          <w:szCs w:val="28"/>
          <w:lang w:val="en-US"/>
        </w:rPr>
        <w:t>they must both be decided at trial</w:t>
      </w:r>
      <w:r w:rsidR="00EF588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0527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 disagreed with NCL</w:t>
      </w:r>
      <w:r w:rsidR="00FF7C46">
        <w:rPr>
          <w:rFonts w:ascii="Times New Roman" w:hAnsi="Times New Roman" w:cs="Times New Roman"/>
          <w:bCs/>
          <w:sz w:val="28"/>
          <w:szCs w:val="28"/>
          <w:lang w:val="en-US"/>
        </w:rPr>
        <w:t>’s position on the application</w:t>
      </w:r>
      <w:r w:rsidR="00690E93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9623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but</w:t>
      </w:r>
      <w:r w:rsidR="00FF7C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F67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am not convinced it was unreasonable. </w:t>
      </w:r>
    </w:p>
    <w:p w14:paraId="25E750C3" w14:textId="77777777" w:rsidR="009623E1" w:rsidRPr="009623E1" w:rsidRDefault="009623E1" w:rsidP="009623E1">
      <w:pPr>
        <w:pStyle w:val="ListParagrap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AC4AB2A" w14:textId="5EC1C26F" w:rsidR="009623E1" w:rsidRPr="006436B0" w:rsidRDefault="00917CC5" w:rsidP="00461E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addition, I do not accept the Defendants’ position that </w:t>
      </w:r>
      <w:r w:rsidR="001711EE">
        <w:rPr>
          <w:rFonts w:ascii="Times New Roman" w:hAnsi="Times New Roman" w:cs="Times New Roman"/>
          <w:bCs/>
          <w:sz w:val="28"/>
          <w:szCs w:val="28"/>
          <w:lang w:val="en-US"/>
        </w:rPr>
        <w:t>the record reveals that this application was brought in bad faith and for the primary purpose of delaying the proceedings.</w:t>
      </w:r>
      <w:r w:rsidR="00B962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F2C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Although </w:t>
      </w:r>
      <w:r w:rsidR="00B962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accept NCL’s </w:t>
      </w:r>
      <w:r w:rsidR="002018D6">
        <w:rPr>
          <w:rFonts w:ascii="Times New Roman" w:hAnsi="Times New Roman" w:cs="Times New Roman"/>
          <w:bCs/>
          <w:sz w:val="28"/>
          <w:szCs w:val="28"/>
          <w:lang w:val="en-US"/>
        </w:rPr>
        <w:t>conduct had the effect of delaying the litigation</w:t>
      </w:r>
      <w:r w:rsidR="00BF2C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2018D6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1711EE">
        <w:rPr>
          <w:rFonts w:ascii="Times New Roman" w:hAnsi="Times New Roman" w:cs="Times New Roman"/>
          <w:bCs/>
          <w:sz w:val="28"/>
          <w:szCs w:val="28"/>
          <w:lang w:val="en-US"/>
        </w:rPr>
        <w:t>he evidence before me does not allow</w:t>
      </w:r>
      <w:r w:rsidR="00A000E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</w:t>
      </w:r>
      <w:r w:rsidR="001711E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draw </w:t>
      </w:r>
      <w:r w:rsidR="002018D6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531A21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711E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inference</w:t>
      </w:r>
      <w:r w:rsidR="002018D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that </w:t>
      </w:r>
      <w:r w:rsidR="00425D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purpose of the conduct was </w:t>
      </w:r>
      <w:r w:rsidR="00CF0D12">
        <w:rPr>
          <w:rFonts w:ascii="Times New Roman" w:hAnsi="Times New Roman" w:cs="Times New Roman"/>
          <w:bCs/>
          <w:sz w:val="28"/>
          <w:szCs w:val="28"/>
          <w:lang w:val="en-US"/>
        </w:rPr>
        <w:t>to cause delay.</w:t>
      </w:r>
      <w:r w:rsidR="001711E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681F5254" w14:textId="77777777" w:rsidR="003C5477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BB7BD33" w14:textId="6AEFC095" w:rsidR="00AF5997" w:rsidRPr="00780566" w:rsidRDefault="00FE6C78" w:rsidP="0078056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8161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olicitor and client costs are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not </w:t>
      </w:r>
      <w:r w:rsidR="008161C1">
        <w:rPr>
          <w:rFonts w:ascii="Times New Roman" w:hAnsi="Times New Roman" w:cs="Times New Roman"/>
          <w:bCs/>
          <w:sz w:val="28"/>
          <w:szCs w:val="28"/>
          <w:lang w:val="en-US"/>
        </w:rPr>
        <w:t>justified in this case</w:t>
      </w:r>
      <w:r w:rsidR="00BF2C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780566" w:rsidRPr="00A6698A">
        <w:rPr>
          <w:rFonts w:ascii="Times New Roman" w:hAnsi="Times New Roman" w:cs="Times New Roman"/>
          <w:bCs/>
          <w:sz w:val="28"/>
          <w:szCs w:val="28"/>
        </w:rPr>
        <w:t xml:space="preserve">Enhanced costs are a lower scale of costs based on a multiple of the tariff costs. </w:t>
      </w:r>
      <w:r w:rsidR="002008D1">
        <w:rPr>
          <w:rFonts w:ascii="Times New Roman" w:hAnsi="Times New Roman" w:cs="Times New Roman"/>
          <w:bCs/>
          <w:sz w:val="28"/>
          <w:szCs w:val="28"/>
        </w:rPr>
        <w:t>Enhanced costs</w:t>
      </w:r>
      <w:r w:rsidR="002008D1" w:rsidRPr="00A6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566" w:rsidRPr="00A6698A">
        <w:rPr>
          <w:rFonts w:ascii="Times New Roman" w:hAnsi="Times New Roman" w:cs="Times New Roman"/>
          <w:bCs/>
          <w:sz w:val="28"/>
          <w:szCs w:val="28"/>
        </w:rPr>
        <w:t xml:space="preserve">can be ordered as a sanction by the court </w:t>
      </w:r>
      <w:r w:rsidR="00850FE3">
        <w:rPr>
          <w:rFonts w:ascii="Times New Roman" w:hAnsi="Times New Roman" w:cs="Times New Roman"/>
          <w:bCs/>
          <w:sz w:val="28"/>
          <w:szCs w:val="28"/>
        </w:rPr>
        <w:t>for</w:t>
      </w:r>
      <w:r w:rsidR="00780566" w:rsidRPr="00A6698A">
        <w:rPr>
          <w:rFonts w:ascii="Times New Roman" w:hAnsi="Times New Roman" w:cs="Times New Roman"/>
          <w:bCs/>
          <w:sz w:val="28"/>
          <w:szCs w:val="28"/>
        </w:rPr>
        <w:t xml:space="preserve"> conduct that unduly delays </w:t>
      </w:r>
      <w:r w:rsidR="009D5624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780566" w:rsidRPr="00A6698A">
        <w:rPr>
          <w:rFonts w:ascii="Times New Roman" w:hAnsi="Times New Roman" w:cs="Times New Roman"/>
          <w:bCs/>
          <w:sz w:val="28"/>
          <w:szCs w:val="28"/>
        </w:rPr>
        <w:t xml:space="preserve">litigation or unnecessarily lengthens proceedings </w:t>
      </w:r>
      <w:r w:rsidR="00850FE3">
        <w:rPr>
          <w:rFonts w:ascii="Times New Roman" w:hAnsi="Times New Roman" w:cs="Times New Roman"/>
          <w:bCs/>
          <w:sz w:val="28"/>
          <w:szCs w:val="28"/>
        </w:rPr>
        <w:t>resultin</w:t>
      </w:r>
      <w:r w:rsidR="0083572B">
        <w:rPr>
          <w:rFonts w:ascii="Times New Roman" w:hAnsi="Times New Roman" w:cs="Times New Roman"/>
          <w:bCs/>
          <w:sz w:val="28"/>
          <w:szCs w:val="28"/>
        </w:rPr>
        <w:t xml:space="preserve">g in </w:t>
      </w:r>
      <w:r w:rsidR="00780566" w:rsidRPr="00A6698A">
        <w:rPr>
          <w:rFonts w:ascii="Times New Roman" w:hAnsi="Times New Roman" w:cs="Times New Roman"/>
          <w:bCs/>
          <w:sz w:val="28"/>
          <w:szCs w:val="28"/>
        </w:rPr>
        <w:t>additional costs for the opposing party (</w:t>
      </w:r>
      <w:r w:rsidR="00780566" w:rsidRPr="00A6698A">
        <w:rPr>
          <w:rFonts w:ascii="Times New Roman" w:hAnsi="Times New Roman" w:cs="Times New Roman"/>
          <w:bCs/>
          <w:i/>
          <w:iCs/>
          <w:sz w:val="28"/>
          <w:szCs w:val="28"/>
        </w:rPr>
        <w:t>Marlowe et al v Barlas et al</w:t>
      </w:r>
      <w:r w:rsidR="00780566" w:rsidRPr="00A6698A">
        <w:rPr>
          <w:rFonts w:ascii="Times New Roman" w:hAnsi="Times New Roman" w:cs="Times New Roman"/>
          <w:bCs/>
          <w:sz w:val="28"/>
          <w:szCs w:val="28"/>
        </w:rPr>
        <w:t>, 2025 NWTSC 12, para 49).</w:t>
      </w:r>
      <w:r w:rsidR="00780566" w:rsidRPr="00A669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8056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F2C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my decision on the application for partial summary judgment, I found that NCL failed to comply with the </w:t>
      </w:r>
      <w:r w:rsidR="00BF2CA0" w:rsidRPr="00E0235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Rules</w:t>
      </w:r>
      <w:r w:rsidR="00BF2C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a way that prejudiced the Defendants. Recognizing that the main reason the litigation had not progressed was NCL’s failure to produce a Statement as to Documents, I used the power to give direction under Rule 179 to order NCL to produce it within 60 days. </w:t>
      </w:r>
      <w:r w:rsidR="008161C1" w:rsidRPr="00A669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NCL’s failure to comply with the </w:t>
      </w:r>
      <w:r w:rsidR="008161C1" w:rsidRPr="00A669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Rules</w:t>
      </w:r>
      <w:r w:rsidR="008161C1" w:rsidRPr="00A669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warrants</w:t>
      </w:r>
      <w:r w:rsidR="009D562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enhanced</w:t>
      </w:r>
      <w:r w:rsidR="008161C1" w:rsidRPr="00A669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costs</w:t>
      </w:r>
      <w:r w:rsidR="002753DA" w:rsidRPr="00A669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A6698A" w:rsidRPr="0078056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Considering the nature of the conduct and </w:t>
      </w:r>
      <w:r w:rsidR="006049E0">
        <w:rPr>
          <w:rFonts w:ascii="Times New Roman" w:hAnsi="Times New Roman" w:cs="Times New Roman"/>
          <w:bCs/>
          <w:sz w:val="28"/>
          <w:szCs w:val="28"/>
          <w:lang w:val="en-US"/>
        </w:rPr>
        <w:t>its</w:t>
      </w:r>
      <w:r w:rsidR="00A6698A" w:rsidRPr="0078056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impact on the </w:t>
      </w:r>
      <w:r w:rsidR="00EC231A" w:rsidRPr="00780566">
        <w:rPr>
          <w:rFonts w:ascii="Times New Roman" w:hAnsi="Times New Roman" w:cs="Times New Roman"/>
          <w:bCs/>
          <w:sz w:val="28"/>
          <w:szCs w:val="28"/>
          <w:lang w:val="en-US"/>
        </w:rPr>
        <w:t>proceedings</w:t>
      </w:r>
      <w:r w:rsidR="00ED456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7008D6" w:rsidRPr="0078056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</w:t>
      </w:r>
      <w:r w:rsidR="00461D46" w:rsidRPr="0078056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conclude that a multiple of 3 of the </w:t>
      </w:r>
      <w:r w:rsidR="006D4E18" w:rsidRPr="0078056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applicable tariff </w:t>
      </w:r>
      <w:r w:rsidR="00EC231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and immediate payment of these costs are justified. </w:t>
      </w:r>
    </w:p>
    <w:p w14:paraId="739DE647" w14:textId="77777777" w:rsidR="00072A63" w:rsidRPr="00072A63" w:rsidRDefault="00072A63" w:rsidP="00072A6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9B4A568" w14:textId="77777777" w:rsidR="003C5477" w:rsidRDefault="003C5477" w:rsidP="003C547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E2E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make the following order: </w:t>
      </w:r>
    </w:p>
    <w:p w14:paraId="0AECA082" w14:textId="77777777" w:rsidR="00461ED3" w:rsidRDefault="00461ED3" w:rsidP="00461ED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2F9D0F4" w14:textId="77777777" w:rsidR="002E4D27" w:rsidRDefault="00031DA9" w:rsidP="00031DA9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Defendants are awarded </w:t>
      </w:r>
      <w:r w:rsidR="002E4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enhanced costs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on this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application</w:t>
      </w:r>
      <w:r w:rsidR="002E4D27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proofErr w:type="gramEnd"/>
    </w:p>
    <w:p w14:paraId="05508B45" w14:textId="77777777" w:rsidR="00C059A9" w:rsidRDefault="00C059A9" w:rsidP="00C059A9">
      <w:pPr>
        <w:pStyle w:val="ListParagraph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79F0FA5" w14:textId="1E68584A" w:rsidR="00031DA9" w:rsidRPr="006E2E49" w:rsidRDefault="002E4D27" w:rsidP="00031DA9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The Plaintiff must</w:t>
      </w:r>
      <w:r w:rsidR="008161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3E44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pay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party</w:t>
      </w:r>
      <w:r w:rsidR="00842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235CE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842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party costs on a multiplier of 3 of the tariff amounts in any event of the cause, </w:t>
      </w:r>
      <w:r w:rsidR="008161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payable immediately. </w:t>
      </w:r>
    </w:p>
    <w:p w14:paraId="423A44AC" w14:textId="77777777" w:rsidR="003C5477" w:rsidRPr="006E2E49" w:rsidRDefault="003C5477" w:rsidP="003C54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1E35CF2" w14:textId="77777777" w:rsidR="003C5477" w:rsidRPr="00227F35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C383FE4" w14:textId="77777777" w:rsidR="003C5477" w:rsidRDefault="003C5477" w:rsidP="003C54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811658" w14:textId="77777777" w:rsidR="00C059A9" w:rsidRPr="006B3C9A" w:rsidRDefault="00C059A9" w:rsidP="003C54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F7E9EA" w14:textId="60E42AD7" w:rsidR="003C5477" w:rsidRPr="005D53E4" w:rsidRDefault="003C5477" w:rsidP="003C547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  <w:lang w:val="fr-CA"/>
        </w:rPr>
      </w:pPr>
      <w:r w:rsidRPr="006B3C9A">
        <w:rPr>
          <w:rFonts w:ascii="Times New Roman" w:hAnsi="Times New Roman" w:cs="Times New Roman"/>
          <w:sz w:val="28"/>
          <w:szCs w:val="28"/>
        </w:rPr>
        <w:fldChar w:fldCharType="begin"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instrText xml:space="preserve"> SEQ CHAPTER \h \r 1</w:instrText>
      </w:r>
      <w:r w:rsidRPr="006B3C9A">
        <w:rPr>
          <w:rFonts w:ascii="Times New Roman" w:hAnsi="Times New Roman" w:cs="Times New Roman"/>
          <w:sz w:val="28"/>
          <w:szCs w:val="28"/>
        </w:rPr>
        <w:fldChar w:fldCharType="end"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="00B56786" w:rsidRPr="007017C9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>Annie Pich</w:t>
      </w:r>
      <w:r>
        <w:rPr>
          <w:rFonts w:ascii="Times New Roman" w:hAnsi="Times New Roman" w:cs="Times New Roman"/>
          <w:sz w:val="28"/>
          <w:szCs w:val="28"/>
          <w:lang w:val="fr-CA"/>
        </w:rPr>
        <w:t>é</w:t>
      </w:r>
    </w:p>
    <w:p w14:paraId="45D598EA" w14:textId="359021D5" w:rsidR="003C5477" w:rsidRPr="005D53E4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ab/>
      </w:r>
      <w:r w:rsidR="00B56786">
        <w:rPr>
          <w:rFonts w:ascii="Times New Roman" w:hAnsi="Times New Roman" w:cs="Times New Roman"/>
          <w:sz w:val="28"/>
          <w:szCs w:val="28"/>
          <w:lang w:val="fr-CA"/>
        </w:rPr>
        <w:tab/>
      </w:r>
      <w:r w:rsidRPr="005D53E4">
        <w:rPr>
          <w:rFonts w:ascii="Times New Roman" w:hAnsi="Times New Roman" w:cs="Times New Roman"/>
          <w:sz w:val="28"/>
          <w:szCs w:val="28"/>
          <w:lang w:val="fr-CA"/>
        </w:rPr>
        <w:t xml:space="preserve">    J.S.C.</w:t>
      </w:r>
    </w:p>
    <w:p w14:paraId="2E5819DB" w14:textId="77777777" w:rsidR="003C5477" w:rsidRPr="005D53E4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CA"/>
        </w:rPr>
      </w:pPr>
    </w:p>
    <w:p w14:paraId="04E4C007" w14:textId="77777777" w:rsidR="003C5477" w:rsidRPr="006B3C9A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9A">
        <w:rPr>
          <w:rFonts w:ascii="Times New Roman" w:hAnsi="Times New Roman" w:cs="Times New Roman"/>
          <w:sz w:val="28"/>
          <w:szCs w:val="28"/>
        </w:rPr>
        <w:t>Dated at Yellowknife, NT, this</w:t>
      </w:r>
    </w:p>
    <w:p w14:paraId="56A77B5F" w14:textId="18B9C918" w:rsidR="003C5477" w:rsidRPr="006B3C9A" w:rsidRDefault="00C059A9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C059A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477">
        <w:rPr>
          <w:rFonts w:ascii="Times New Roman" w:hAnsi="Times New Roman" w:cs="Times New Roman"/>
          <w:sz w:val="28"/>
          <w:szCs w:val="28"/>
        </w:rPr>
        <w:t xml:space="preserve">of </w:t>
      </w:r>
      <w:r w:rsidR="00CA7929">
        <w:rPr>
          <w:rFonts w:ascii="Times New Roman" w:hAnsi="Times New Roman" w:cs="Times New Roman"/>
          <w:sz w:val="28"/>
          <w:szCs w:val="28"/>
        </w:rPr>
        <w:t>J</w:t>
      </w:r>
      <w:r w:rsidR="008161C1">
        <w:rPr>
          <w:rFonts w:ascii="Times New Roman" w:hAnsi="Times New Roman" w:cs="Times New Roman"/>
          <w:sz w:val="28"/>
          <w:szCs w:val="28"/>
        </w:rPr>
        <w:t>uly</w:t>
      </w:r>
      <w:r w:rsidR="003C5477">
        <w:rPr>
          <w:rFonts w:ascii="Times New Roman" w:hAnsi="Times New Roman" w:cs="Times New Roman"/>
          <w:sz w:val="28"/>
          <w:szCs w:val="28"/>
        </w:rPr>
        <w:t xml:space="preserve"> 2025 </w:t>
      </w:r>
    </w:p>
    <w:p w14:paraId="7234D981" w14:textId="77777777" w:rsidR="003C5477" w:rsidRPr="006B3C9A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91C93" w14:textId="77777777" w:rsidR="003C5477" w:rsidRPr="006B3C9A" w:rsidRDefault="003C5477" w:rsidP="003C54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</w:p>
    <w:p w14:paraId="571A3733" w14:textId="7FC06CFF" w:rsidR="003C5477" w:rsidRDefault="003C5477" w:rsidP="003C5477">
      <w:pPr>
        <w:tabs>
          <w:tab w:val="left" w:pos="720"/>
          <w:tab w:val="left" w:pos="1440"/>
          <w:tab w:val="left" w:pos="2160"/>
          <w:tab w:val="left" w:pos="2880"/>
          <w:tab w:val="left" w:pos="3510"/>
          <w:tab w:val="left" w:pos="3600"/>
        </w:tabs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Counsel for Plaintiff:</w:t>
      </w:r>
      <w:r w:rsidR="00C059A9">
        <w:rPr>
          <w:rFonts w:ascii="Times New Roman" w:hAnsi="Times New Roman" w:cs="Times New Roman"/>
          <w:sz w:val="28"/>
          <w:szCs w:val="28"/>
        </w:rPr>
        <w:tab/>
      </w:r>
      <w:r w:rsidR="004A03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Jonathan Hillson</w:t>
      </w:r>
    </w:p>
    <w:p w14:paraId="23C48CDA" w14:textId="77777777" w:rsidR="003C5477" w:rsidRDefault="003C5477" w:rsidP="003C5477">
      <w:pPr>
        <w:tabs>
          <w:tab w:val="left" w:pos="720"/>
          <w:tab w:val="left" w:pos="1440"/>
          <w:tab w:val="left" w:pos="2160"/>
          <w:tab w:val="left" w:pos="2880"/>
          <w:tab w:val="left" w:pos="3510"/>
          <w:tab w:val="left" w:pos="3600"/>
        </w:tabs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</w:p>
    <w:p w14:paraId="465C3B32" w14:textId="14227A7C" w:rsidR="003C5477" w:rsidRDefault="003C5477" w:rsidP="003C5477">
      <w:pPr>
        <w:tabs>
          <w:tab w:val="left" w:pos="720"/>
          <w:tab w:val="left" w:pos="1440"/>
          <w:tab w:val="left" w:pos="2160"/>
          <w:tab w:val="left" w:pos="2880"/>
          <w:tab w:val="left" w:pos="351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Counsel for Defendant</w:t>
      </w:r>
      <w:r w:rsidR="00F773C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B6DD6">
        <w:rPr>
          <w:rFonts w:ascii="Times New Roman" w:hAnsi="Times New Roman" w:cs="Times New Roman"/>
          <w:sz w:val="28"/>
          <w:szCs w:val="28"/>
        </w:rPr>
        <w:tab/>
      </w:r>
      <w:r w:rsidR="004A03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Michael Morgan</w:t>
      </w:r>
    </w:p>
    <w:p w14:paraId="5B57C940" w14:textId="77777777" w:rsidR="003C5477" w:rsidRDefault="003C5477" w:rsidP="003C5477">
      <w:pPr>
        <w:tabs>
          <w:tab w:val="left" w:pos="720"/>
          <w:tab w:val="left" w:pos="1440"/>
          <w:tab w:val="left" w:pos="2160"/>
          <w:tab w:val="left" w:pos="2880"/>
          <w:tab w:val="left" w:pos="3510"/>
          <w:tab w:val="left" w:pos="3600"/>
        </w:tabs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</w:p>
    <w:p w14:paraId="51D07F28" w14:textId="77777777" w:rsidR="003C5477" w:rsidRPr="006B3C9A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C5477" w:rsidRPr="006B3C9A" w:rsidSect="003C5477"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AAF261" w14:textId="77777777" w:rsidR="003C5477" w:rsidRPr="006B3C9A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XSpec="right" w:tblpY="5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08"/>
      </w:tblGrid>
      <w:tr w:rsidR="003C5477" w:rsidRPr="006B3C9A" w14:paraId="43886A96" w14:textId="77777777" w:rsidTr="00064750">
        <w:tc>
          <w:tcPr>
            <w:tcW w:w="6408" w:type="dxa"/>
          </w:tcPr>
          <w:p w14:paraId="2217962B" w14:textId="77777777" w:rsidR="003C5477" w:rsidRDefault="00CA3A03" w:rsidP="00CA3A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6">
              <w:rPr>
                <w:rFonts w:ascii="Times New Roman" w:hAnsi="Times New Roman" w:cs="Times New Roman"/>
                <w:sz w:val="28"/>
                <w:szCs w:val="28"/>
              </w:rPr>
              <w:t>S-1-CV-202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2136">
              <w:rPr>
                <w:rFonts w:ascii="Times New Roman" w:hAnsi="Times New Roman" w:cs="Times New Roman"/>
                <w:sz w:val="28"/>
                <w:szCs w:val="28"/>
              </w:rPr>
              <w:t>-000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265</w:t>
            </w:r>
          </w:p>
          <w:p w14:paraId="27214CB4" w14:textId="050907C7" w:rsidR="00CA3A03" w:rsidRPr="006B3C9A" w:rsidRDefault="00CA3A03" w:rsidP="00CA3A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77" w:rsidRPr="006B3C9A" w14:paraId="20B00E6E" w14:textId="77777777" w:rsidTr="00064750">
        <w:tc>
          <w:tcPr>
            <w:tcW w:w="6408" w:type="dxa"/>
          </w:tcPr>
          <w:p w14:paraId="636DC41F" w14:textId="77777777" w:rsidR="003C5477" w:rsidRPr="006B3C9A" w:rsidRDefault="003C5477" w:rsidP="00064750">
            <w:pPr>
              <w:tabs>
                <w:tab w:val="center" w:pos="27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14:paraId="0509CBFB" w14:textId="77777777" w:rsidR="003C5477" w:rsidRPr="006B3C9A" w:rsidRDefault="003C5477" w:rsidP="00064750">
            <w:pPr>
              <w:tabs>
                <w:tab w:val="center" w:pos="27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6B3C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IN THE SUPREME COURT OF THE</w:t>
            </w:r>
          </w:p>
          <w:p w14:paraId="63E3132E" w14:textId="77777777" w:rsidR="003C5477" w:rsidRPr="006B3C9A" w:rsidRDefault="003C5477" w:rsidP="00064750">
            <w:pPr>
              <w:tabs>
                <w:tab w:val="center" w:pos="2784"/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6B3C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NORTHWEST TERRITORIES</w:t>
            </w:r>
          </w:p>
          <w:p w14:paraId="1963B1FE" w14:textId="77777777" w:rsidR="003C5477" w:rsidRPr="006B3C9A" w:rsidRDefault="003C5477" w:rsidP="000647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3C5477" w:rsidRPr="001612F2" w14:paraId="062ED739" w14:textId="77777777" w:rsidTr="00064750">
        <w:tc>
          <w:tcPr>
            <w:tcW w:w="6408" w:type="dxa"/>
          </w:tcPr>
          <w:p w14:paraId="6EB5D910" w14:textId="77777777" w:rsidR="003C5477" w:rsidRPr="00A86356" w:rsidRDefault="003C5477" w:rsidP="0006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BETWEEN:</w:t>
            </w:r>
          </w:p>
          <w:p w14:paraId="28CAAEEC" w14:textId="4DB8D97C" w:rsidR="005616CD" w:rsidRPr="00792869" w:rsidRDefault="005616CD" w:rsidP="005616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869">
              <w:rPr>
                <w:rFonts w:ascii="Times New Roman" w:hAnsi="Times New Roman" w:cs="Times New Roman"/>
                <w:sz w:val="28"/>
                <w:szCs w:val="28"/>
              </w:rPr>
              <w:t>NAHANNI CONSTRUCTION LTD</w:t>
            </w:r>
            <w:r w:rsidR="006816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A6DC8A" w14:textId="77777777" w:rsidR="003C5477" w:rsidRDefault="003C5477" w:rsidP="00064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77971" w14:textId="77777777" w:rsidR="003C5477" w:rsidRDefault="003C5477" w:rsidP="000647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Plaintiff</w:t>
            </w:r>
          </w:p>
          <w:p w14:paraId="5EAABFB0" w14:textId="77777777" w:rsidR="003C5477" w:rsidRDefault="003C5477" w:rsidP="00064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-and-</w:t>
            </w:r>
          </w:p>
          <w:p w14:paraId="5788A265" w14:textId="77777777" w:rsidR="003C5477" w:rsidRDefault="003C5477" w:rsidP="00064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74EAD" w14:textId="0CAF6AD1" w:rsidR="005616CD" w:rsidRPr="00792869" w:rsidRDefault="005616CD" w:rsidP="004A03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869">
              <w:rPr>
                <w:rFonts w:ascii="Times New Roman" w:hAnsi="Times New Roman" w:cs="Times New Roman"/>
                <w:sz w:val="28"/>
                <w:szCs w:val="28"/>
              </w:rPr>
              <w:t xml:space="preserve">BONITO CAPITAL CORP and LUPIN MINES INCORPORATED </w:t>
            </w:r>
          </w:p>
          <w:p w14:paraId="236F76D7" w14:textId="39C5E909" w:rsidR="003C5477" w:rsidRPr="000E1C43" w:rsidRDefault="003C5477" w:rsidP="000E1C4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6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Defendant</w:t>
            </w:r>
          </w:p>
        </w:tc>
      </w:tr>
      <w:tr w:rsidR="003C5477" w:rsidRPr="006B3C9A" w14:paraId="1DE71790" w14:textId="77777777" w:rsidTr="000E1C43">
        <w:trPr>
          <w:trHeight w:val="1522"/>
        </w:trPr>
        <w:tc>
          <w:tcPr>
            <w:tcW w:w="6408" w:type="dxa"/>
          </w:tcPr>
          <w:p w14:paraId="709E1BF6" w14:textId="2B306E54" w:rsidR="003C5477" w:rsidRPr="000C67A3" w:rsidRDefault="003C5477" w:rsidP="00064750">
            <w:pPr>
              <w:tabs>
                <w:tab w:val="left" w:pos="720"/>
                <w:tab w:val="left" w:pos="1452"/>
                <w:tab w:val="left" w:pos="239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</w:pPr>
            <w:r w:rsidRPr="000C67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MEMORANDUM OF JUDGMENT</w:t>
            </w:r>
            <w:r w:rsidR="00F010F8" w:rsidRPr="000C67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ON COSTS</w:t>
            </w:r>
            <w:r w:rsidRPr="000C67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OF</w:t>
            </w:r>
          </w:p>
          <w:p w14:paraId="43B550BC" w14:textId="6DE6EE46" w:rsidR="003C5477" w:rsidRPr="006B3C9A" w:rsidRDefault="003C5477" w:rsidP="000E1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C67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THE HONOURABLE JUSTICE ANNIE PICHÉ</w:t>
            </w:r>
          </w:p>
        </w:tc>
      </w:tr>
    </w:tbl>
    <w:p w14:paraId="457FABEE" w14:textId="77777777" w:rsidR="003C5477" w:rsidRPr="006B3C9A" w:rsidRDefault="003C5477" w:rsidP="003C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C5477" w:rsidRPr="006B3C9A" w:rsidSect="003C5477">
          <w:pgSz w:w="12240" w:h="15840"/>
          <w:pgMar w:top="1440" w:right="810" w:bottom="1440" w:left="1440" w:header="720" w:footer="720" w:gutter="0"/>
          <w:cols w:space="720"/>
          <w:titlePg/>
          <w:docGrid w:linePitch="360"/>
        </w:sectPr>
      </w:pPr>
    </w:p>
    <w:p w14:paraId="4DF3A147" w14:textId="77777777" w:rsidR="003C5477" w:rsidRPr="006B3C9A" w:rsidRDefault="003C5477" w:rsidP="003C5477">
      <w:pPr>
        <w:tabs>
          <w:tab w:val="right" w:pos="4230"/>
        </w:tabs>
        <w:spacing w:after="0" w:line="240" w:lineRule="auto"/>
        <w:ind w:right="-43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67EF624" w14:textId="77777777" w:rsidR="003C5477" w:rsidRPr="006B3C9A" w:rsidRDefault="003C5477" w:rsidP="003C5477">
      <w:pPr>
        <w:tabs>
          <w:tab w:val="right" w:pos="4230"/>
        </w:tabs>
        <w:spacing w:after="0" w:line="240" w:lineRule="auto"/>
        <w:ind w:right="-43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FB57249" w14:textId="77777777" w:rsidR="003C5477" w:rsidRDefault="003C5477" w:rsidP="003C5477"/>
    <w:p w14:paraId="5F0FF547" w14:textId="77777777" w:rsidR="003E489A" w:rsidRDefault="003E489A"/>
    <w:sectPr w:rsidR="003E489A" w:rsidSect="003C5477">
      <w:head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cols w:num="2" w:space="288" w:equalWidth="0">
        <w:col w:w="3600" w:space="288"/>
        <w:col w:w="547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D7B4" w14:textId="77777777" w:rsidR="00530424" w:rsidRDefault="00530424">
      <w:pPr>
        <w:spacing w:after="0" w:line="240" w:lineRule="auto"/>
      </w:pPr>
      <w:r>
        <w:separator/>
      </w:r>
    </w:p>
  </w:endnote>
  <w:endnote w:type="continuationSeparator" w:id="0">
    <w:p w14:paraId="691CFDE2" w14:textId="77777777" w:rsidR="00530424" w:rsidRDefault="00530424">
      <w:pPr>
        <w:spacing w:after="0" w:line="240" w:lineRule="auto"/>
      </w:pPr>
      <w:r>
        <w:continuationSeparator/>
      </w:r>
    </w:p>
  </w:endnote>
  <w:endnote w:type="continuationNotice" w:id="1">
    <w:p w14:paraId="1F0F6A7F" w14:textId="77777777" w:rsidR="00530424" w:rsidRDefault="005304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37C0" w14:textId="77777777" w:rsidR="00530424" w:rsidRDefault="00530424">
      <w:pPr>
        <w:spacing w:after="0" w:line="240" w:lineRule="auto"/>
      </w:pPr>
      <w:r>
        <w:separator/>
      </w:r>
    </w:p>
  </w:footnote>
  <w:footnote w:type="continuationSeparator" w:id="0">
    <w:p w14:paraId="26BD30A1" w14:textId="77777777" w:rsidR="00530424" w:rsidRDefault="00530424">
      <w:pPr>
        <w:spacing w:after="0" w:line="240" w:lineRule="auto"/>
      </w:pPr>
      <w:r>
        <w:continuationSeparator/>
      </w:r>
    </w:p>
  </w:footnote>
  <w:footnote w:type="continuationNotice" w:id="1">
    <w:p w14:paraId="596E6368" w14:textId="77777777" w:rsidR="00530424" w:rsidRDefault="005304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1EA2" w14:textId="77777777" w:rsidR="00031DA9" w:rsidRPr="0032647A" w:rsidRDefault="00031DA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2647A">
      <w:rPr>
        <w:rFonts w:ascii="Times New Roman" w:hAnsi="Times New Roman" w:cs="Times New Roman"/>
        <w:sz w:val="24"/>
        <w:szCs w:val="24"/>
      </w:rPr>
      <w:t xml:space="preserve">Page:  </w:t>
    </w:r>
    <w:sdt>
      <w:sdtPr>
        <w:rPr>
          <w:rFonts w:ascii="Times New Roman" w:hAnsi="Times New Roman" w:cs="Times New Roman"/>
          <w:sz w:val="24"/>
          <w:szCs w:val="24"/>
        </w:rPr>
        <w:id w:val="234848530"/>
        <w:docPartObj>
          <w:docPartGallery w:val="Page Numbers (Top of Page)"/>
          <w:docPartUnique/>
        </w:docPartObj>
      </w:sdtPr>
      <w:sdtEndPr/>
      <w:sdtContent>
        <w:r w:rsidRPr="003264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64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64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647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019E499" w14:textId="77777777" w:rsidR="00031DA9" w:rsidRDefault="00031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4698" w14:textId="77777777" w:rsidR="00031DA9" w:rsidRDefault="00031DA9">
    <w:pPr>
      <w:pStyle w:val="Header"/>
      <w:jc w:val="right"/>
    </w:pPr>
  </w:p>
  <w:p w14:paraId="7F2A18CC" w14:textId="77777777" w:rsidR="00031DA9" w:rsidRDefault="00031DA9" w:rsidP="005B5B19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1862" w14:textId="77777777" w:rsidR="00031DA9" w:rsidRDefault="00031DA9">
    <w:pPr>
      <w:pStyle w:val="Header"/>
      <w:jc w:val="right"/>
    </w:pPr>
    <w:r>
      <w:t xml:space="preserve">Page:  </w:t>
    </w:r>
    <w:sdt>
      <w:sdtPr>
        <w:id w:val="60323736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62A4303" w14:textId="77777777" w:rsidR="00031DA9" w:rsidRDefault="00031D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0B4D" w14:textId="77777777" w:rsidR="00031DA9" w:rsidRDefault="00031DA9">
    <w:pPr>
      <w:pStyle w:val="Header"/>
      <w:jc w:val="right"/>
    </w:pPr>
  </w:p>
  <w:p w14:paraId="59865F37" w14:textId="77777777" w:rsidR="00031DA9" w:rsidRDefault="00031DA9" w:rsidP="005B5B19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730"/>
    <w:multiLevelType w:val="hybridMultilevel"/>
    <w:tmpl w:val="32986668"/>
    <w:lvl w:ilvl="0" w:tplc="E5D6F08E">
      <w:start w:val="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3D8A"/>
    <w:multiLevelType w:val="hybridMultilevel"/>
    <w:tmpl w:val="31005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578E"/>
    <w:multiLevelType w:val="hybridMultilevel"/>
    <w:tmpl w:val="78F6E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70A09"/>
    <w:multiLevelType w:val="hybridMultilevel"/>
    <w:tmpl w:val="D97E4092"/>
    <w:lvl w:ilvl="0" w:tplc="059C944E">
      <w:start w:val="1"/>
      <w:numFmt w:val="decimal"/>
      <w:lvlText w:val="[%1]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06B5"/>
    <w:multiLevelType w:val="hybridMultilevel"/>
    <w:tmpl w:val="C362FE7C"/>
    <w:lvl w:ilvl="0" w:tplc="618CA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0B85"/>
    <w:multiLevelType w:val="hybridMultilevel"/>
    <w:tmpl w:val="2D6CD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270B2"/>
    <w:multiLevelType w:val="hybridMultilevel"/>
    <w:tmpl w:val="35B6D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9483">
    <w:abstractNumId w:val="3"/>
  </w:num>
  <w:num w:numId="2" w16cid:durableId="1946305513">
    <w:abstractNumId w:val="0"/>
  </w:num>
  <w:num w:numId="3" w16cid:durableId="528225631">
    <w:abstractNumId w:val="1"/>
  </w:num>
  <w:num w:numId="4" w16cid:durableId="2003778455">
    <w:abstractNumId w:val="6"/>
  </w:num>
  <w:num w:numId="5" w16cid:durableId="1079672492">
    <w:abstractNumId w:val="4"/>
  </w:num>
  <w:num w:numId="6" w16cid:durableId="1416904883">
    <w:abstractNumId w:val="5"/>
  </w:num>
  <w:num w:numId="7" w16cid:durableId="88514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77"/>
    <w:rsid w:val="0000624E"/>
    <w:rsid w:val="00031DA9"/>
    <w:rsid w:val="000527A6"/>
    <w:rsid w:val="00054B25"/>
    <w:rsid w:val="00067769"/>
    <w:rsid w:val="00072A63"/>
    <w:rsid w:val="000904C6"/>
    <w:rsid w:val="00090805"/>
    <w:rsid w:val="00094E4F"/>
    <w:rsid w:val="000A3CC5"/>
    <w:rsid w:val="000B7CE6"/>
    <w:rsid w:val="000C29F9"/>
    <w:rsid w:val="000C67A3"/>
    <w:rsid w:val="000D2499"/>
    <w:rsid w:val="000E1C43"/>
    <w:rsid w:val="000E5DF6"/>
    <w:rsid w:val="000F665B"/>
    <w:rsid w:val="001046D1"/>
    <w:rsid w:val="0011428E"/>
    <w:rsid w:val="0012073D"/>
    <w:rsid w:val="00124AC1"/>
    <w:rsid w:val="00135DF3"/>
    <w:rsid w:val="001428A0"/>
    <w:rsid w:val="00162070"/>
    <w:rsid w:val="00164C9F"/>
    <w:rsid w:val="001711EE"/>
    <w:rsid w:val="00173303"/>
    <w:rsid w:val="001757DA"/>
    <w:rsid w:val="00191A9F"/>
    <w:rsid w:val="0019533D"/>
    <w:rsid w:val="001C3514"/>
    <w:rsid w:val="001D1D05"/>
    <w:rsid w:val="001D27E8"/>
    <w:rsid w:val="001D3C3D"/>
    <w:rsid w:val="001E0A44"/>
    <w:rsid w:val="001E4FE6"/>
    <w:rsid w:val="002008D1"/>
    <w:rsid w:val="002018D6"/>
    <w:rsid w:val="00203452"/>
    <w:rsid w:val="002044A5"/>
    <w:rsid w:val="00210612"/>
    <w:rsid w:val="00211073"/>
    <w:rsid w:val="00213CEA"/>
    <w:rsid w:val="0021601C"/>
    <w:rsid w:val="002261C9"/>
    <w:rsid w:val="00234A92"/>
    <w:rsid w:val="00271399"/>
    <w:rsid w:val="002753DA"/>
    <w:rsid w:val="002830A8"/>
    <w:rsid w:val="00294559"/>
    <w:rsid w:val="00297A6D"/>
    <w:rsid w:val="002C408E"/>
    <w:rsid w:val="002D1767"/>
    <w:rsid w:val="002D4002"/>
    <w:rsid w:val="002D47FC"/>
    <w:rsid w:val="002E4D27"/>
    <w:rsid w:val="002E5C96"/>
    <w:rsid w:val="002F24EB"/>
    <w:rsid w:val="002F6613"/>
    <w:rsid w:val="00303981"/>
    <w:rsid w:val="003119F1"/>
    <w:rsid w:val="00320C7A"/>
    <w:rsid w:val="00323A6A"/>
    <w:rsid w:val="00326B1E"/>
    <w:rsid w:val="00330637"/>
    <w:rsid w:val="00330CA6"/>
    <w:rsid w:val="003318CC"/>
    <w:rsid w:val="003470E8"/>
    <w:rsid w:val="00361681"/>
    <w:rsid w:val="0038543C"/>
    <w:rsid w:val="00397CC8"/>
    <w:rsid w:val="003A4A82"/>
    <w:rsid w:val="003A4CB8"/>
    <w:rsid w:val="003C5477"/>
    <w:rsid w:val="003D0E45"/>
    <w:rsid w:val="003D37CB"/>
    <w:rsid w:val="003D48AA"/>
    <w:rsid w:val="003E44FD"/>
    <w:rsid w:val="003E489A"/>
    <w:rsid w:val="003E5E4B"/>
    <w:rsid w:val="003F0EC4"/>
    <w:rsid w:val="00404D7D"/>
    <w:rsid w:val="00406F85"/>
    <w:rsid w:val="00411167"/>
    <w:rsid w:val="00414019"/>
    <w:rsid w:val="0041739F"/>
    <w:rsid w:val="004218B2"/>
    <w:rsid w:val="00425DF2"/>
    <w:rsid w:val="00426602"/>
    <w:rsid w:val="00434460"/>
    <w:rsid w:val="00434576"/>
    <w:rsid w:val="0044515E"/>
    <w:rsid w:val="00450246"/>
    <w:rsid w:val="00461D46"/>
    <w:rsid w:val="00461ED3"/>
    <w:rsid w:val="00467EB8"/>
    <w:rsid w:val="00491452"/>
    <w:rsid w:val="00494EA4"/>
    <w:rsid w:val="00496A49"/>
    <w:rsid w:val="004A0380"/>
    <w:rsid w:val="004B0B07"/>
    <w:rsid w:val="004B76A9"/>
    <w:rsid w:val="004E3CED"/>
    <w:rsid w:val="004E7D4C"/>
    <w:rsid w:val="004F08BF"/>
    <w:rsid w:val="004F4836"/>
    <w:rsid w:val="005012E5"/>
    <w:rsid w:val="0051247A"/>
    <w:rsid w:val="005134FA"/>
    <w:rsid w:val="00514250"/>
    <w:rsid w:val="00515280"/>
    <w:rsid w:val="00526337"/>
    <w:rsid w:val="00530424"/>
    <w:rsid w:val="00531A21"/>
    <w:rsid w:val="00531CAC"/>
    <w:rsid w:val="00543854"/>
    <w:rsid w:val="0054637D"/>
    <w:rsid w:val="005616CD"/>
    <w:rsid w:val="00565C08"/>
    <w:rsid w:val="0057088A"/>
    <w:rsid w:val="005746E8"/>
    <w:rsid w:val="005828AE"/>
    <w:rsid w:val="00583D7F"/>
    <w:rsid w:val="005931C9"/>
    <w:rsid w:val="005A48A4"/>
    <w:rsid w:val="005B2526"/>
    <w:rsid w:val="005B2905"/>
    <w:rsid w:val="005B5AE2"/>
    <w:rsid w:val="005B6695"/>
    <w:rsid w:val="005C0C7F"/>
    <w:rsid w:val="005D755C"/>
    <w:rsid w:val="005E311D"/>
    <w:rsid w:val="005E4407"/>
    <w:rsid w:val="005E79BC"/>
    <w:rsid w:val="006049E0"/>
    <w:rsid w:val="00605E8E"/>
    <w:rsid w:val="00610D63"/>
    <w:rsid w:val="00615E25"/>
    <w:rsid w:val="006309FE"/>
    <w:rsid w:val="006410A1"/>
    <w:rsid w:val="006436B0"/>
    <w:rsid w:val="00652BFF"/>
    <w:rsid w:val="00653C77"/>
    <w:rsid w:val="00662EA5"/>
    <w:rsid w:val="00673750"/>
    <w:rsid w:val="00675038"/>
    <w:rsid w:val="0068166B"/>
    <w:rsid w:val="00681E69"/>
    <w:rsid w:val="00682F34"/>
    <w:rsid w:val="00690E93"/>
    <w:rsid w:val="006C39A8"/>
    <w:rsid w:val="006D4E18"/>
    <w:rsid w:val="006D7141"/>
    <w:rsid w:val="006F701E"/>
    <w:rsid w:val="007008D6"/>
    <w:rsid w:val="007017C9"/>
    <w:rsid w:val="0071651A"/>
    <w:rsid w:val="00726A3F"/>
    <w:rsid w:val="007270C5"/>
    <w:rsid w:val="00731BAE"/>
    <w:rsid w:val="00732807"/>
    <w:rsid w:val="0074660C"/>
    <w:rsid w:val="007474B2"/>
    <w:rsid w:val="00747607"/>
    <w:rsid w:val="00754321"/>
    <w:rsid w:val="00764683"/>
    <w:rsid w:val="00764C6F"/>
    <w:rsid w:val="00780566"/>
    <w:rsid w:val="007A16E7"/>
    <w:rsid w:val="007A3534"/>
    <w:rsid w:val="007A6F45"/>
    <w:rsid w:val="007B45B4"/>
    <w:rsid w:val="007C5039"/>
    <w:rsid w:val="007E04CC"/>
    <w:rsid w:val="007E08DF"/>
    <w:rsid w:val="007E4D28"/>
    <w:rsid w:val="007E55F9"/>
    <w:rsid w:val="007F7FD7"/>
    <w:rsid w:val="00814E74"/>
    <w:rsid w:val="008161C1"/>
    <w:rsid w:val="00820464"/>
    <w:rsid w:val="0082363C"/>
    <w:rsid w:val="0083572B"/>
    <w:rsid w:val="00842E8F"/>
    <w:rsid w:val="00844CE1"/>
    <w:rsid w:val="00850FE3"/>
    <w:rsid w:val="00855A80"/>
    <w:rsid w:val="008606FC"/>
    <w:rsid w:val="00864DCC"/>
    <w:rsid w:val="00875C68"/>
    <w:rsid w:val="008818A0"/>
    <w:rsid w:val="008874D8"/>
    <w:rsid w:val="008B347F"/>
    <w:rsid w:val="008B4448"/>
    <w:rsid w:val="008C36F9"/>
    <w:rsid w:val="008C64E4"/>
    <w:rsid w:val="008D476F"/>
    <w:rsid w:val="008F43E5"/>
    <w:rsid w:val="00901562"/>
    <w:rsid w:val="009073C0"/>
    <w:rsid w:val="009114BE"/>
    <w:rsid w:val="00911C3E"/>
    <w:rsid w:val="0091585A"/>
    <w:rsid w:val="00917CC5"/>
    <w:rsid w:val="00922854"/>
    <w:rsid w:val="00930DCB"/>
    <w:rsid w:val="009358A1"/>
    <w:rsid w:val="00956119"/>
    <w:rsid w:val="009623E1"/>
    <w:rsid w:val="00977EF5"/>
    <w:rsid w:val="00980553"/>
    <w:rsid w:val="0098130D"/>
    <w:rsid w:val="00982C07"/>
    <w:rsid w:val="00990D72"/>
    <w:rsid w:val="0099758D"/>
    <w:rsid w:val="009A37C9"/>
    <w:rsid w:val="009C05A8"/>
    <w:rsid w:val="009C4FEB"/>
    <w:rsid w:val="009D3258"/>
    <w:rsid w:val="009D5624"/>
    <w:rsid w:val="009E1FDD"/>
    <w:rsid w:val="009E3875"/>
    <w:rsid w:val="00A000E0"/>
    <w:rsid w:val="00A235CE"/>
    <w:rsid w:val="00A306EE"/>
    <w:rsid w:val="00A3101B"/>
    <w:rsid w:val="00A32FCD"/>
    <w:rsid w:val="00A4437E"/>
    <w:rsid w:val="00A50658"/>
    <w:rsid w:val="00A515C1"/>
    <w:rsid w:val="00A51A3A"/>
    <w:rsid w:val="00A6066F"/>
    <w:rsid w:val="00A619E8"/>
    <w:rsid w:val="00A63350"/>
    <w:rsid w:val="00A661F2"/>
    <w:rsid w:val="00A6698A"/>
    <w:rsid w:val="00A7656F"/>
    <w:rsid w:val="00A77E6E"/>
    <w:rsid w:val="00A85A80"/>
    <w:rsid w:val="00A86356"/>
    <w:rsid w:val="00A87BF8"/>
    <w:rsid w:val="00A97197"/>
    <w:rsid w:val="00AA6CCF"/>
    <w:rsid w:val="00AC7F0A"/>
    <w:rsid w:val="00AD01C1"/>
    <w:rsid w:val="00AD2EC0"/>
    <w:rsid w:val="00AF040F"/>
    <w:rsid w:val="00AF22F0"/>
    <w:rsid w:val="00AF5997"/>
    <w:rsid w:val="00AF5E40"/>
    <w:rsid w:val="00B04BD1"/>
    <w:rsid w:val="00B25F98"/>
    <w:rsid w:val="00B56786"/>
    <w:rsid w:val="00B74C2E"/>
    <w:rsid w:val="00B754A7"/>
    <w:rsid w:val="00B75E2B"/>
    <w:rsid w:val="00B83A92"/>
    <w:rsid w:val="00B84101"/>
    <w:rsid w:val="00B91E04"/>
    <w:rsid w:val="00B96216"/>
    <w:rsid w:val="00BA42C8"/>
    <w:rsid w:val="00BB3C3E"/>
    <w:rsid w:val="00BC43EB"/>
    <w:rsid w:val="00BD086F"/>
    <w:rsid w:val="00BD0D15"/>
    <w:rsid w:val="00BD289D"/>
    <w:rsid w:val="00BE7BA5"/>
    <w:rsid w:val="00BF2CA0"/>
    <w:rsid w:val="00C03E03"/>
    <w:rsid w:val="00C059A9"/>
    <w:rsid w:val="00C15D00"/>
    <w:rsid w:val="00C32197"/>
    <w:rsid w:val="00C43401"/>
    <w:rsid w:val="00C50563"/>
    <w:rsid w:val="00C574F6"/>
    <w:rsid w:val="00C60289"/>
    <w:rsid w:val="00C61D09"/>
    <w:rsid w:val="00C775B5"/>
    <w:rsid w:val="00C87C46"/>
    <w:rsid w:val="00C95B36"/>
    <w:rsid w:val="00CA3A03"/>
    <w:rsid w:val="00CA7929"/>
    <w:rsid w:val="00CB1A8B"/>
    <w:rsid w:val="00CC3637"/>
    <w:rsid w:val="00CC70B3"/>
    <w:rsid w:val="00CC7FFB"/>
    <w:rsid w:val="00CD0A8A"/>
    <w:rsid w:val="00CF0D12"/>
    <w:rsid w:val="00CF7009"/>
    <w:rsid w:val="00D149F8"/>
    <w:rsid w:val="00D23795"/>
    <w:rsid w:val="00D27792"/>
    <w:rsid w:val="00D31844"/>
    <w:rsid w:val="00D33CC8"/>
    <w:rsid w:val="00D361AA"/>
    <w:rsid w:val="00D5468E"/>
    <w:rsid w:val="00D571D4"/>
    <w:rsid w:val="00D62FE9"/>
    <w:rsid w:val="00D737A7"/>
    <w:rsid w:val="00D74F4F"/>
    <w:rsid w:val="00D935C5"/>
    <w:rsid w:val="00DB37B6"/>
    <w:rsid w:val="00DC07D4"/>
    <w:rsid w:val="00DD726F"/>
    <w:rsid w:val="00DD7295"/>
    <w:rsid w:val="00DD7D62"/>
    <w:rsid w:val="00DF54B1"/>
    <w:rsid w:val="00E02352"/>
    <w:rsid w:val="00E03B7D"/>
    <w:rsid w:val="00E07F50"/>
    <w:rsid w:val="00E11BEC"/>
    <w:rsid w:val="00E13009"/>
    <w:rsid w:val="00E24243"/>
    <w:rsid w:val="00E26F99"/>
    <w:rsid w:val="00E27C01"/>
    <w:rsid w:val="00E3258A"/>
    <w:rsid w:val="00E332CE"/>
    <w:rsid w:val="00E33AEB"/>
    <w:rsid w:val="00E348A2"/>
    <w:rsid w:val="00E43ED6"/>
    <w:rsid w:val="00E45517"/>
    <w:rsid w:val="00E4560B"/>
    <w:rsid w:val="00E93FB6"/>
    <w:rsid w:val="00EA496F"/>
    <w:rsid w:val="00EA5E1C"/>
    <w:rsid w:val="00EB24C5"/>
    <w:rsid w:val="00EB5CE8"/>
    <w:rsid w:val="00EB6DD6"/>
    <w:rsid w:val="00EB7B82"/>
    <w:rsid w:val="00EC03AA"/>
    <w:rsid w:val="00EC231A"/>
    <w:rsid w:val="00EC4445"/>
    <w:rsid w:val="00EC5C1A"/>
    <w:rsid w:val="00EC680B"/>
    <w:rsid w:val="00ED456E"/>
    <w:rsid w:val="00ED7396"/>
    <w:rsid w:val="00ED7CFD"/>
    <w:rsid w:val="00EE6955"/>
    <w:rsid w:val="00EF1C1A"/>
    <w:rsid w:val="00EF5889"/>
    <w:rsid w:val="00F010F8"/>
    <w:rsid w:val="00F253E5"/>
    <w:rsid w:val="00F30ED1"/>
    <w:rsid w:val="00F37E96"/>
    <w:rsid w:val="00F47AF8"/>
    <w:rsid w:val="00F50577"/>
    <w:rsid w:val="00F510AF"/>
    <w:rsid w:val="00F612B0"/>
    <w:rsid w:val="00F773C7"/>
    <w:rsid w:val="00F81ED1"/>
    <w:rsid w:val="00F95992"/>
    <w:rsid w:val="00F96996"/>
    <w:rsid w:val="00FA2754"/>
    <w:rsid w:val="00FD128E"/>
    <w:rsid w:val="00FD138E"/>
    <w:rsid w:val="00FD4112"/>
    <w:rsid w:val="00FD6E61"/>
    <w:rsid w:val="00FE5364"/>
    <w:rsid w:val="00FE6C78"/>
    <w:rsid w:val="00FF6733"/>
    <w:rsid w:val="00FF6DC1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0871"/>
  <w15:chartTrackingRefBased/>
  <w15:docId w15:val="{43A85B7F-D63F-4D7E-992C-94647D45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77"/>
    <w:pPr>
      <w:spacing w:after="200" w:line="276" w:lineRule="auto"/>
    </w:pPr>
    <w:rPr>
      <w:rFonts w:eastAsiaTheme="minorEastAsia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4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77"/>
    <w:rPr>
      <w:rFonts w:eastAsiaTheme="minorEastAsia"/>
      <w:kern w:val="0"/>
      <w:lang w:eastAsia="en-CA"/>
      <w14:ligatures w14:val="none"/>
    </w:rPr>
  </w:style>
  <w:style w:type="paragraph" w:styleId="NoSpacing">
    <w:name w:val="No Spacing"/>
    <w:uiPriority w:val="1"/>
    <w:qFormat/>
    <w:rsid w:val="003C5477"/>
    <w:pPr>
      <w:spacing w:after="0" w:line="240" w:lineRule="auto"/>
      <w:jc w:val="both"/>
    </w:pPr>
    <w:rPr>
      <w:rFonts w:ascii="Arial" w:hAnsi="Arial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3C547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3C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54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47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337"/>
    <w:pPr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337"/>
    <w:rPr>
      <w:rFonts w:ascii="Calibri" w:eastAsia="Times New Roman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B8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92"/>
    <w:rPr>
      <w:rFonts w:eastAsiaTheme="minorEastAsia"/>
      <w:kern w:val="0"/>
      <w:lang w:eastAsia="en-CA"/>
      <w14:ligatures w14:val="none"/>
    </w:rPr>
  </w:style>
  <w:style w:type="paragraph" w:styleId="Revision">
    <w:name w:val="Revision"/>
    <w:hidden/>
    <w:uiPriority w:val="99"/>
    <w:semiHidden/>
    <w:rsid w:val="005C0C7F"/>
    <w:pPr>
      <w:spacing w:after="0" w:line="240" w:lineRule="auto"/>
    </w:pPr>
    <w:rPr>
      <w:rFonts w:eastAsiaTheme="minorEastAsia"/>
      <w:kern w:val="0"/>
      <w:lang w:eastAsia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01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2E5"/>
    <w:rPr>
      <w:rFonts w:eastAsiaTheme="minorEastAsia"/>
      <w:kern w:val="0"/>
      <w:sz w:val="20"/>
      <w:szCs w:val="20"/>
      <w:lang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2E5"/>
    <w:rPr>
      <w:rFonts w:eastAsiaTheme="minorEastAsia"/>
      <w:b/>
      <w:bCs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c3cd8-da25-40f9-958f-c13e000bdc16">
      <Terms xmlns="http://schemas.microsoft.com/office/infopath/2007/PartnerControls"/>
    </lcf76f155ced4ddcb4097134ff3c332f>
    <TaxCatchAll xmlns="375bca7b-c53c-4fd7-b0ac-aee1bc09b6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070878C79D4408E9B8E13FB885CC9" ma:contentTypeVersion="13" ma:contentTypeDescription="Create a new document." ma:contentTypeScope="" ma:versionID="0545214912202ea9cad6915f7e236ae1">
  <xsd:schema xmlns:xsd="http://www.w3.org/2001/XMLSchema" xmlns:xs="http://www.w3.org/2001/XMLSchema" xmlns:p="http://schemas.microsoft.com/office/2006/metadata/properties" xmlns:ns2="83bc3cd8-da25-40f9-958f-c13e000bdc16" xmlns:ns3="375bca7b-c53c-4fd7-b0ac-aee1bc09b69d" targetNamespace="http://schemas.microsoft.com/office/2006/metadata/properties" ma:root="true" ma:fieldsID="02f104b277bf8dce45b091df63b15985" ns2:_="" ns3:_="">
    <xsd:import namespace="83bc3cd8-da25-40f9-958f-c13e000bdc16"/>
    <xsd:import namespace="375bca7b-c53c-4fd7-b0ac-aee1bc09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3cd8-da25-40f9-958f-c13e000bd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4da1b9-cdce-4e3f-b20e-ce27030b6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bca7b-c53c-4fd7-b0ac-aee1bc09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fb148d-7269-48d9-b175-b5edecdd02a7}" ma:internalName="TaxCatchAll" ma:showField="CatchAllData" ma:web="375bca7b-c53c-4fd7-b0ac-aee1bc09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C5DE9-6CBB-492D-8DA5-996F19939AE6}">
  <ds:schemaRefs>
    <ds:schemaRef ds:uri="http://schemas.microsoft.com/office/2006/metadata/properties"/>
    <ds:schemaRef ds:uri="http://schemas.microsoft.com/office/infopath/2007/PartnerControls"/>
    <ds:schemaRef ds:uri="83bc3cd8-da25-40f9-958f-c13e000bdc16"/>
    <ds:schemaRef ds:uri="375bca7b-c53c-4fd7-b0ac-aee1bc09b69d"/>
  </ds:schemaRefs>
</ds:datastoreItem>
</file>

<file path=customXml/itemProps2.xml><?xml version="1.0" encoding="utf-8"?>
<ds:datastoreItem xmlns:ds="http://schemas.openxmlformats.org/officeDocument/2006/customXml" ds:itemID="{F6E62FFE-0DDB-4C29-81B9-C55A99A0B4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36294-F739-4E08-8370-1B46CADF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3cd8-da25-40f9-958f-c13e000bdc16"/>
    <ds:schemaRef ds:uri="375bca7b-c53c-4fd7-b0ac-aee1bc09b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E57D2-EF7F-4B6A-B0C5-140834080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8431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Piché</dc:creator>
  <cp:keywords/>
  <dc:description/>
  <cp:lastModifiedBy>Tyler Vibert</cp:lastModifiedBy>
  <cp:revision>2</cp:revision>
  <cp:lastPrinted>2025-07-15T17:59:00Z</cp:lastPrinted>
  <dcterms:created xsi:type="dcterms:W3CDTF">2025-07-16T15:07:00Z</dcterms:created>
  <dcterms:modified xsi:type="dcterms:W3CDTF">2025-07-16T15:07:00Z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2025-04-25T21:40:43Z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619a88ff-cb67-4298-9781-66cc0cc776f1</vt:lpwstr>
  </property>
  <property fmtid="{D5CDD505-2E9C-101B-9397-08002B2CF9AE}" pid="7" name="MSIP_Label_defa4170-0d19-0005-0004-bc88714345d2_ActionId">
    <vt:lpwstr>71b120e9-ee13-4b65-a7fc-26b5fdf69729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0x010100598070878C79D4408E9B8E13FB885CC9</vt:lpwstr>
  </property>
  <property fmtid="{D5CDD505-2E9C-101B-9397-08002B2CF9AE}" pid="10" name="MediaServiceImageTags">
    <vt:lpwstr/>
  </property>
</Properties>
</file>