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0E03" w14:textId="62EC416E" w:rsidR="00F36FC9" w:rsidRPr="00F82B8E" w:rsidRDefault="00B57EB1" w:rsidP="00F36FC9">
      <w:pPr>
        <w:spacing w:after="0" w:line="240" w:lineRule="auto"/>
        <w:rPr>
          <w:rFonts w:ascii="Times New Roman" w:hAnsi="Times New Roman" w:cs="Times New Roman"/>
          <w:iCs/>
          <w:sz w:val="24"/>
          <w:szCs w:val="24"/>
        </w:rPr>
      </w:pPr>
      <w:proofErr w:type="spellStart"/>
      <w:r>
        <w:rPr>
          <w:rFonts w:ascii="Times New Roman" w:hAnsi="Times New Roman" w:cs="Times New Roman"/>
          <w:i/>
          <w:sz w:val="24"/>
          <w:szCs w:val="24"/>
        </w:rPr>
        <w:t>Onec</w:t>
      </w:r>
      <w:proofErr w:type="spellEnd"/>
      <w:r>
        <w:rPr>
          <w:rFonts w:ascii="Times New Roman" w:hAnsi="Times New Roman" w:cs="Times New Roman"/>
          <w:i/>
          <w:sz w:val="24"/>
          <w:szCs w:val="24"/>
        </w:rPr>
        <w:t xml:space="preserve"> Const</w:t>
      </w:r>
      <w:r w:rsidR="009F3E05">
        <w:rPr>
          <w:rFonts w:ascii="Times New Roman" w:hAnsi="Times New Roman" w:cs="Times New Roman"/>
          <w:i/>
          <w:sz w:val="24"/>
          <w:szCs w:val="24"/>
        </w:rPr>
        <w:t>ruction Inc. v NWT Energy Corp</w:t>
      </w:r>
      <w:r w:rsidR="003F1054">
        <w:rPr>
          <w:rFonts w:ascii="Times New Roman" w:hAnsi="Times New Roman" w:cs="Times New Roman"/>
          <w:i/>
          <w:sz w:val="24"/>
          <w:szCs w:val="24"/>
        </w:rPr>
        <w:t>. Ltd.</w:t>
      </w:r>
      <w:r w:rsidR="00EB2972">
        <w:rPr>
          <w:rFonts w:ascii="Times New Roman" w:hAnsi="Times New Roman" w:cs="Times New Roman"/>
          <w:i/>
          <w:sz w:val="24"/>
          <w:szCs w:val="24"/>
        </w:rPr>
        <w:t xml:space="preserve"> et al</w:t>
      </w:r>
      <w:r w:rsidR="00D36CA2">
        <w:rPr>
          <w:rFonts w:ascii="Times New Roman" w:hAnsi="Times New Roman" w:cs="Times New Roman"/>
          <w:i/>
          <w:sz w:val="24"/>
          <w:szCs w:val="24"/>
        </w:rPr>
        <w:t>,</w:t>
      </w:r>
      <w:r w:rsidR="003F1054">
        <w:rPr>
          <w:rFonts w:ascii="Times New Roman" w:hAnsi="Times New Roman" w:cs="Times New Roman"/>
          <w:i/>
          <w:sz w:val="24"/>
          <w:szCs w:val="24"/>
        </w:rPr>
        <w:t xml:space="preserve"> </w:t>
      </w:r>
      <w:r w:rsidR="003F1054">
        <w:rPr>
          <w:rFonts w:ascii="Times New Roman" w:hAnsi="Times New Roman" w:cs="Times New Roman"/>
          <w:iCs/>
          <w:sz w:val="24"/>
          <w:szCs w:val="24"/>
        </w:rPr>
        <w:t>2025</w:t>
      </w:r>
      <w:r w:rsidR="00F36FC9" w:rsidRPr="00B57EB1">
        <w:rPr>
          <w:rFonts w:ascii="Times New Roman" w:hAnsi="Times New Roman" w:cs="Times New Roman"/>
          <w:iCs/>
          <w:sz w:val="24"/>
          <w:szCs w:val="24"/>
        </w:rPr>
        <w:t xml:space="preserve"> NWTSC </w:t>
      </w:r>
      <w:r w:rsidR="00247CD4">
        <w:rPr>
          <w:rFonts w:ascii="Times New Roman" w:hAnsi="Times New Roman" w:cs="Times New Roman"/>
          <w:iCs/>
          <w:sz w:val="24"/>
          <w:szCs w:val="24"/>
        </w:rPr>
        <w:t>56</w:t>
      </w:r>
    </w:p>
    <w:p w14:paraId="68C2211B" w14:textId="77777777" w:rsidR="00051D42" w:rsidRDefault="00051D42" w:rsidP="00F36FC9">
      <w:pPr>
        <w:spacing w:after="0" w:line="240" w:lineRule="auto"/>
        <w:jc w:val="right"/>
        <w:rPr>
          <w:rFonts w:ascii="Times New Roman" w:hAnsi="Times New Roman" w:cs="Times New Roman"/>
          <w:sz w:val="28"/>
          <w:szCs w:val="28"/>
        </w:rPr>
      </w:pPr>
    </w:p>
    <w:p w14:paraId="31E33167" w14:textId="7B35C5B8" w:rsidR="00F36FC9" w:rsidRPr="00F82B8E" w:rsidRDefault="00F36FC9" w:rsidP="00F36FC9">
      <w:pPr>
        <w:spacing w:after="0" w:line="240" w:lineRule="auto"/>
        <w:jc w:val="right"/>
        <w:rPr>
          <w:rFonts w:ascii="Times New Roman" w:hAnsi="Times New Roman" w:cs="Times New Roman"/>
          <w:sz w:val="28"/>
          <w:szCs w:val="28"/>
        </w:rPr>
      </w:pPr>
      <w:r w:rsidRPr="00F82B8E">
        <w:rPr>
          <w:rFonts w:ascii="Times New Roman" w:hAnsi="Times New Roman" w:cs="Times New Roman"/>
          <w:sz w:val="28"/>
          <w:szCs w:val="28"/>
        </w:rPr>
        <w:fldChar w:fldCharType="begin"/>
      </w:r>
      <w:r w:rsidRPr="00F82B8E">
        <w:rPr>
          <w:rFonts w:ascii="Times New Roman" w:hAnsi="Times New Roman" w:cs="Times New Roman"/>
          <w:sz w:val="28"/>
          <w:szCs w:val="28"/>
        </w:rPr>
        <w:instrText xml:space="preserve"> SEQ CHAPTER \h \r 1</w:instrText>
      </w:r>
      <w:r w:rsidRPr="00F82B8E">
        <w:rPr>
          <w:rFonts w:ascii="Times New Roman" w:hAnsi="Times New Roman" w:cs="Times New Roman"/>
          <w:sz w:val="28"/>
          <w:szCs w:val="28"/>
        </w:rPr>
        <w:fldChar w:fldCharType="end"/>
      </w:r>
      <w:r w:rsidRPr="00F82B8E">
        <w:rPr>
          <w:rFonts w:ascii="Times New Roman" w:hAnsi="Times New Roman" w:cs="Times New Roman"/>
          <w:sz w:val="28"/>
          <w:szCs w:val="28"/>
        </w:rPr>
        <w:t xml:space="preserve">Date: </w:t>
      </w:r>
      <w:bookmarkStart w:id="0" w:name="1"/>
      <w:bookmarkEnd w:id="0"/>
      <w:r w:rsidRPr="00F82B8E">
        <w:rPr>
          <w:rFonts w:ascii="Times New Roman" w:hAnsi="Times New Roman" w:cs="Times New Roman"/>
          <w:sz w:val="28"/>
          <w:szCs w:val="28"/>
        </w:rPr>
        <w:t xml:space="preserve"> </w:t>
      </w:r>
      <w:r w:rsidRPr="00143FE0">
        <w:rPr>
          <w:rFonts w:ascii="Times New Roman" w:hAnsi="Times New Roman" w:cs="Times New Roman"/>
          <w:sz w:val="28"/>
          <w:szCs w:val="28"/>
        </w:rPr>
        <w:t xml:space="preserve">2025 </w:t>
      </w:r>
      <w:r w:rsidR="00143FE0">
        <w:rPr>
          <w:rFonts w:ascii="Times New Roman" w:hAnsi="Times New Roman" w:cs="Times New Roman"/>
          <w:sz w:val="28"/>
          <w:szCs w:val="28"/>
        </w:rPr>
        <w:t>0</w:t>
      </w:r>
      <w:r w:rsidR="00C76F70">
        <w:rPr>
          <w:rFonts w:ascii="Times New Roman" w:hAnsi="Times New Roman" w:cs="Times New Roman"/>
          <w:sz w:val="28"/>
          <w:szCs w:val="28"/>
        </w:rPr>
        <w:t>8</w:t>
      </w:r>
      <w:r w:rsidR="00B57EB1">
        <w:rPr>
          <w:rFonts w:ascii="Times New Roman" w:hAnsi="Times New Roman" w:cs="Times New Roman"/>
          <w:sz w:val="28"/>
          <w:szCs w:val="28"/>
        </w:rPr>
        <w:t xml:space="preserve"> </w:t>
      </w:r>
      <w:r w:rsidR="00C448D1">
        <w:rPr>
          <w:rFonts w:ascii="Times New Roman" w:hAnsi="Times New Roman" w:cs="Times New Roman"/>
          <w:sz w:val="28"/>
          <w:szCs w:val="28"/>
        </w:rPr>
        <w:t>06</w:t>
      </w:r>
    </w:p>
    <w:p w14:paraId="1B299D05" w14:textId="233D2711" w:rsidR="00F36FC9" w:rsidRPr="00F82B8E" w:rsidRDefault="00F36FC9" w:rsidP="00F36FC9">
      <w:pPr>
        <w:spacing w:after="0" w:line="240" w:lineRule="auto"/>
        <w:jc w:val="right"/>
        <w:rPr>
          <w:rFonts w:ascii="Times New Roman" w:hAnsi="Times New Roman" w:cs="Times New Roman"/>
          <w:sz w:val="28"/>
          <w:szCs w:val="28"/>
        </w:rPr>
      </w:pPr>
      <w:r w:rsidRPr="00F82B8E">
        <w:rPr>
          <w:rFonts w:ascii="Times New Roman" w:hAnsi="Times New Roman" w:cs="Times New Roman"/>
          <w:sz w:val="28"/>
          <w:szCs w:val="28"/>
        </w:rPr>
        <w:t>S-1-CV-2023-000146</w:t>
      </w:r>
    </w:p>
    <w:p w14:paraId="21E5E025" w14:textId="77777777" w:rsidR="00F36FC9" w:rsidRPr="00F82B8E" w:rsidRDefault="00F36FC9" w:rsidP="00F36FC9">
      <w:pPr>
        <w:spacing w:after="0" w:line="240" w:lineRule="auto"/>
        <w:jc w:val="right"/>
        <w:rPr>
          <w:rFonts w:ascii="Times New Roman" w:hAnsi="Times New Roman" w:cs="Times New Roman"/>
          <w:sz w:val="28"/>
          <w:szCs w:val="28"/>
        </w:rPr>
      </w:pPr>
    </w:p>
    <w:p w14:paraId="26797C98" w14:textId="77777777" w:rsidR="00F36FC9" w:rsidRPr="00F82B8E" w:rsidRDefault="00F36FC9" w:rsidP="00F36FC9">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IN THE SUPREME COURT OF THE NORTHWEST TERRITORIES</w:t>
      </w:r>
    </w:p>
    <w:p w14:paraId="1DAD9A67" w14:textId="77777777" w:rsidR="00F36FC9" w:rsidRPr="00F82B8E" w:rsidRDefault="00F36FC9" w:rsidP="00F36FC9">
      <w:pPr>
        <w:spacing w:line="240" w:lineRule="auto"/>
        <w:rPr>
          <w:rFonts w:ascii="Times New Roman" w:hAnsi="Times New Roman" w:cs="Times New Roman"/>
          <w:sz w:val="28"/>
          <w:szCs w:val="28"/>
        </w:rPr>
      </w:pPr>
      <w:r w:rsidRPr="00F82B8E">
        <w:rPr>
          <w:rFonts w:ascii="Times New Roman" w:hAnsi="Times New Roman" w:cs="Times New Roman"/>
          <w:sz w:val="28"/>
          <w:szCs w:val="28"/>
        </w:rPr>
        <w:t>BETWEEN:</w:t>
      </w:r>
    </w:p>
    <w:p w14:paraId="28092A53" w14:textId="0502DEE1" w:rsidR="00F36FC9" w:rsidRPr="00F82B8E" w:rsidRDefault="00F36FC9" w:rsidP="00F36FC9">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ONEC CONSTRUCTION</w:t>
      </w:r>
      <w:r w:rsidR="007A658F" w:rsidRPr="00F82B8E">
        <w:rPr>
          <w:rFonts w:ascii="Times New Roman" w:hAnsi="Times New Roman" w:cs="Times New Roman"/>
          <w:sz w:val="28"/>
          <w:szCs w:val="28"/>
        </w:rPr>
        <w:t xml:space="preserve"> INC.</w:t>
      </w:r>
    </w:p>
    <w:p w14:paraId="02A981E1" w14:textId="1DEE97E6" w:rsidR="00F36FC9" w:rsidRPr="00F82B8E" w:rsidRDefault="00F36FC9" w:rsidP="00F36FC9">
      <w:pPr>
        <w:spacing w:line="240" w:lineRule="auto"/>
        <w:contextualSpacing/>
        <w:jc w:val="right"/>
        <w:rPr>
          <w:rFonts w:ascii="Times New Roman" w:eastAsia="Calibri" w:hAnsi="Times New Roman" w:cs="Times New Roman"/>
          <w:sz w:val="28"/>
          <w:szCs w:val="28"/>
        </w:rPr>
      </w:pPr>
      <w:r w:rsidRPr="00F82B8E">
        <w:rPr>
          <w:rFonts w:ascii="Times New Roman" w:eastAsia="Calibri" w:hAnsi="Times New Roman" w:cs="Times New Roman"/>
          <w:sz w:val="28"/>
          <w:szCs w:val="28"/>
        </w:rPr>
        <w:t>Plaintiff /Defendant by Counterclaim</w:t>
      </w:r>
    </w:p>
    <w:p w14:paraId="3BE85268" w14:textId="77777777" w:rsidR="00F36FC9" w:rsidRPr="00F82B8E" w:rsidRDefault="00F36FC9" w:rsidP="00F36FC9">
      <w:pPr>
        <w:spacing w:line="240" w:lineRule="auto"/>
        <w:jc w:val="center"/>
        <w:rPr>
          <w:rFonts w:ascii="Times New Roman" w:hAnsi="Times New Roman" w:cs="Times New Roman"/>
          <w:sz w:val="28"/>
          <w:szCs w:val="28"/>
        </w:rPr>
      </w:pPr>
    </w:p>
    <w:p w14:paraId="65F73330" w14:textId="115C557C" w:rsidR="00F36FC9" w:rsidRPr="00F82B8E" w:rsidRDefault="00F36FC9" w:rsidP="00F36FC9">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-and-</w:t>
      </w:r>
    </w:p>
    <w:p w14:paraId="5773B08C" w14:textId="503C9312" w:rsidR="00F36FC9" w:rsidRPr="00F82B8E" w:rsidRDefault="00F36FC9" w:rsidP="00F36FC9">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NWT ENERGY CORPORATION (03) LTD.</w:t>
      </w:r>
    </w:p>
    <w:p w14:paraId="0C48CB38" w14:textId="6C21ECAA" w:rsidR="00F36FC9" w:rsidRPr="00F82B8E" w:rsidRDefault="00F36FC9" w:rsidP="00F36FC9">
      <w:pPr>
        <w:spacing w:line="240" w:lineRule="auto"/>
        <w:contextualSpacing/>
        <w:jc w:val="right"/>
        <w:rPr>
          <w:rFonts w:ascii="Times New Roman" w:hAnsi="Times New Roman" w:cs="Times New Roman"/>
          <w:sz w:val="28"/>
          <w:szCs w:val="28"/>
        </w:rPr>
      </w:pPr>
      <w:r w:rsidRPr="00F82B8E">
        <w:rPr>
          <w:rFonts w:ascii="Times New Roman" w:hAnsi="Times New Roman" w:cs="Times New Roman"/>
          <w:sz w:val="28"/>
          <w:szCs w:val="28"/>
        </w:rPr>
        <w:t>Defendant/Defendant by Counterclaim</w:t>
      </w:r>
    </w:p>
    <w:p w14:paraId="0AC1C7ED" w14:textId="77777777" w:rsidR="00F36FC9" w:rsidRPr="00F82B8E" w:rsidRDefault="00F36FC9" w:rsidP="00F36FC9">
      <w:pPr>
        <w:spacing w:line="240" w:lineRule="auto"/>
        <w:contextualSpacing/>
        <w:jc w:val="right"/>
        <w:rPr>
          <w:rFonts w:ascii="Times New Roman" w:hAnsi="Times New Roman" w:cs="Times New Roman"/>
          <w:sz w:val="28"/>
          <w:szCs w:val="28"/>
        </w:rPr>
      </w:pPr>
    </w:p>
    <w:p w14:paraId="5FA8ED72" w14:textId="231DDF07" w:rsidR="00F36FC9" w:rsidRPr="00F82B8E" w:rsidRDefault="00F36FC9" w:rsidP="00F36FC9">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-and-</w:t>
      </w:r>
    </w:p>
    <w:p w14:paraId="6EAA20E7" w14:textId="4CA237FC" w:rsidR="00F36FC9" w:rsidRPr="00F82B8E" w:rsidRDefault="00F36FC9" w:rsidP="00F36FC9">
      <w:pPr>
        <w:spacing w:line="240" w:lineRule="auto"/>
        <w:jc w:val="center"/>
        <w:rPr>
          <w:rFonts w:ascii="Times New Roman" w:hAnsi="Times New Roman" w:cs="Times New Roman"/>
          <w:bCs/>
          <w:sz w:val="28"/>
          <w:szCs w:val="28"/>
        </w:rPr>
      </w:pPr>
      <w:r w:rsidRPr="00F82B8E">
        <w:rPr>
          <w:rFonts w:ascii="Times New Roman" w:hAnsi="Times New Roman" w:cs="Times New Roman"/>
          <w:bCs/>
          <w:sz w:val="28"/>
          <w:szCs w:val="28"/>
        </w:rPr>
        <w:t>LIBERTY MUTUAL INSURANCE COMPANY</w:t>
      </w:r>
    </w:p>
    <w:p w14:paraId="7A039A42" w14:textId="637547CC" w:rsidR="00F36FC9" w:rsidRPr="00F82B8E" w:rsidRDefault="00F36FC9" w:rsidP="00F36FC9">
      <w:pPr>
        <w:spacing w:line="240" w:lineRule="auto"/>
        <w:jc w:val="right"/>
        <w:rPr>
          <w:rFonts w:ascii="Times New Roman" w:hAnsi="Times New Roman" w:cs="Times New Roman"/>
          <w:bCs/>
          <w:sz w:val="28"/>
          <w:szCs w:val="28"/>
        </w:rPr>
      </w:pPr>
      <w:r w:rsidRPr="00F82B8E">
        <w:rPr>
          <w:rFonts w:ascii="Times New Roman" w:hAnsi="Times New Roman" w:cs="Times New Roman"/>
          <w:bCs/>
          <w:sz w:val="28"/>
          <w:szCs w:val="28"/>
        </w:rPr>
        <w:t>Defendant by Counterclaim</w:t>
      </w:r>
    </w:p>
    <w:p w14:paraId="5C6C2D10" w14:textId="4C01CA83" w:rsidR="00F36FC9" w:rsidRPr="00F82B8E" w:rsidRDefault="00F36FC9" w:rsidP="00F36FC9">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-and-</w:t>
      </w:r>
    </w:p>
    <w:p w14:paraId="376355AB" w14:textId="1116E2E7" w:rsidR="00F36FC9" w:rsidRPr="00F82B8E" w:rsidRDefault="00F36FC9" w:rsidP="00F36FC9">
      <w:pPr>
        <w:spacing w:line="240" w:lineRule="auto"/>
        <w:jc w:val="center"/>
        <w:rPr>
          <w:rFonts w:ascii="Times New Roman" w:hAnsi="Times New Roman" w:cs="Times New Roman"/>
          <w:bCs/>
          <w:sz w:val="28"/>
          <w:szCs w:val="28"/>
        </w:rPr>
      </w:pPr>
      <w:r w:rsidRPr="00F82B8E">
        <w:rPr>
          <w:rFonts w:ascii="Times New Roman" w:hAnsi="Times New Roman" w:cs="Times New Roman"/>
          <w:bCs/>
          <w:sz w:val="28"/>
          <w:szCs w:val="28"/>
        </w:rPr>
        <w:t>NORTHLAND BUILDERS LTD.</w:t>
      </w:r>
    </w:p>
    <w:p w14:paraId="6F0CD465" w14:textId="410A6E35" w:rsidR="00F36FC9" w:rsidRPr="00F82B8E" w:rsidRDefault="00F36FC9" w:rsidP="00F36FC9">
      <w:pPr>
        <w:spacing w:line="240" w:lineRule="auto"/>
        <w:jc w:val="right"/>
        <w:rPr>
          <w:rFonts w:ascii="Times New Roman" w:hAnsi="Times New Roman" w:cs="Times New Roman"/>
          <w:bCs/>
          <w:sz w:val="28"/>
          <w:szCs w:val="28"/>
        </w:rPr>
      </w:pPr>
      <w:r w:rsidRPr="00F82B8E">
        <w:rPr>
          <w:rFonts w:ascii="Times New Roman" w:hAnsi="Times New Roman" w:cs="Times New Roman"/>
          <w:bCs/>
          <w:sz w:val="28"/>
          <w:szCs w:val="28"/>
        </w:rPr>
        <w:t>Defendant/Plaintiff by Counterclaim</w:t>
      </w:r>
    </w:p>
    <w:p w14:paraId="0FBD2CBD" w14:textId="77777777" w:rsidR="00F36FC9" w:rsidRDefault="00F36FC9" w:rsidP="00F36FC9">
      <w:pPr>
        <w:spacing w:after="0" w:line="240" w:lineRule="auto"/>
        <w:jc w:val="both"/>
        <w:rPr>
          <w:rFonts w:ascii="Times New Roman" w:hAnsi="Times New Roman" w:cs="Times New Roman"/>
          <w:b/>
          <w:sz w:val="28"/>
          <w:szCs w:val="28"/>
        </w:rPr>
      </w:pPr>
    </w:p>
    <w:p w14:paraId="5B2CF01A" w14:textId="77777777" w:rsidR="00197CF1" w:rsidRPr="00F82B8E" w:rsidRDefault="00197CF1" w:rsidP="00F36FC9">
      <w:pPr>
        <w:spacing w:after="0" w:line="240" w:lineRule="auto"/>
        <w:jc w:val="both"/>
        <w:rPr>
          <w:rFonts w:ascii="Times New Roman" w:hAnsi="Times New Roman" w:cs="Times New Roman"/>
          <w:b/>
          <w:sz w:val="28"/>
          <w:szCs w:val="28"/>
        </w:rPr>
      </w:pPr>
    </w:p>
    <w:p w14:paraId="42494EAF" w14:textId="77777777" w:rsidR="00F36FC9" w:rsidRPr="00F82B8E" w:rsidRDefault="00F36FC9" w:rsidP="00051D42">
      <w:pPr>
        <w:spacing w:after="0"/>
        <w:jc w:val="center"/>
        <w:rPr>
          <w:rFonts w:ascii="Times New Roman" w:hAnsi="Times New Roman" w:cs="Times New Roman"/>
          <w:b/>
          <w:sz w:val="28"/>
          <w:szCs w:val="28"/>
        </w:rPr>
      </w:pPr>
      <w:r w:rsidRPr="00F82B8E">
        <w:rPr>
          <w:rFonts w:ascii="Times New Roman" w:hAnsi="Times New Roman" w:cs="Times New Roman"/>
          <w:b/>
          <w:sz w:val="28"/>
          <w:szCs w:val="28"/>
        </w:rPr>
        <w:t xml:space="preserve">MEMORANDUM OF JUDGMENT ON APPLICATION </w:t>
      </w:r>
    </w:p>
    <w:p w14:paraId="676A1B03" w14:textId="66D98828" w:rsidR="00F36FC9" w:rsidRPr="00F82B8E" w:rsidRDefault="00F36FC9" w:rsidP="00051D42">
      <w:pPr>
        <w:spacing w:after="0"/>
        <w:jc w:val="center"/>
        <w:rPr>
          <w:rFonts w:ascii="Times New Roman" w:hAnsi="Times New Roman" w:cs="Times New Roman"/>
          <w:b/>
          <w:sz w:val="28"/>
          <w:szCs w:val="28"/>
        </w:rPr>
      </w:pPr>
      <w:r w:rsidRPr="00F82B8E">
        <w:rPr>
          <w:rFonts w:ascii="Times New Roman" w:hAnsi="Times New Roman" w:cs="Times New Roman"/>
          <w:b/>
          <w:sz w:val="28"/>
          <w:szCs w:val="28"/>
        </w:rPr>
        <w:t>FOR SUMMARY JUDGMENT</w:t>
      </w:r>
    </w:p>
    <w:p w14:paraId="6C9B1F73" w14:textId="77777777" w:rsidR="00F36FC9" w:rsidRPr="00F82B8E" w:rsidRDefault="00F36FC9" w:rsidP="00051D42">
      <w:pPr>
        <w:pStyle w:val="ListParagraph"/>
        <w:spacing w:after="0"/>
        <w:ind w:left="0"/>
        <w:jc w:val="both"/>
        <w:rPr>
          <w:rFonts w:ascii="Times New Roman" w:hAnsi="Times New Roman" w:cs="Times New Roman"/>
          <w:b/>
          <w:sz w:val="28"/>
          <w:szCs w:val="28"/>
        </w:rPr>
      </w:pPr>
    </w:p>
    <w:p w14:paraId="5ABBA1AD" w14:textId="77777777" w:rsidR="00F36FC9" w:rsidRPr="00F82B8E" w:rsidRDefault="00F36FC9" w:rsidP="00F36FC9">
      <w:pPr>
        <w:pStyle w:val="ListParagraph"/>
        <w:spacing w:after="0" w:line="240" w:lineRule="auto"/>
        <w:ind w:left="0"/>
        <w:jc w:val="both"/>
        <w:rPr>
          <w:rFonts w:ascii="Times New Roman" w:hAnsi="Times New Roman" w:cs="Times New Roman"/>
          <w:b/>
          <w:sz w:val="28"/>
          <w:szCs w:val="28"/>
        </w:rPr>
      </w:pPr>
      <w:r w:rsidRPr="00F82B8E">
        <w:rPr>
          <w:rFonts w:ascii="Times New Roman" w:hAnsi="Times New Roman" w:cs="Times New Roman"/>
          <w:b/>
          <w:sz w:val="28"/>
          <w:szCs w:val="28"/>
        </w:rPr>
        <w:t>OVERVIEW</w:t>
      </w:r>
    </w:p>
    <w:p w14:paraId="6B3650A6" w14:textId="77777777" w:rsidR="00F36FC9" w:rsidRPr="00F82B8E" w:rsidRDefault="00F36FC9" w:rsidP="00F36FC9">
      <w:pPr>
        <w:pStyle w:val="ListParagraph"/>
        <w:spacing w:after="0" w:line="240" w:lineRule="auto"/>
        <w:ind w:left="0"/>
        <w:jc w:val="both"/>
        <w:rPr>
          <w:rFonts w:ascii="Times New Roman" w:hAnsi="Times New Roman" w:cs="Times New Roman"/>
          <w:bCs/>
          <w:sz w:val="28"/>
          <w:szCs w:val="28"/>
        </w:rPr>
      </w:pPr>
    </w:p>
    <w:p w14:paraId="08DF581D" w14:textId="77777777" w:rsidR="00586FB7" w:rsidRDefault="00F36FC9" w:rsidP="00F36FC9">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This litigation arises from</w:t>
      </w:r>
      <w:r w:rsidR="00C315A4" w:rsidRPr="00F82B8E">
        <w:rPr>
          <w:rFonts w:ascii="Times New Roman" w:hAnsi="Times New Roman" w:cs="Times New Roman"/>
          <w:bCs/>
          <w:sz w:val="28"/>
          <w:szCs w:val="28"/>
        </w:rPr>
        <w:t xml:space="preserve"> </w:t>
      </w:r>
      <w:r w:rsidRPr="00F82B8E">
        <w:rPr>
          <w:rFonts w:ascii="Times New Roman" w:hAnsi="Times New Roman" w:cs="Times New Roman"/>
          <w:bCs/>
          <w:sz w:val="28"/>
          <w:szCs w:val="28"/>
        </w:rPr>
        <w:t>dispute</w:t>
      </w:r>
      <w:r w:rsidR="00C315A4" w:rsidRPr="00F82B8E">
        <w:rPr>
          <w:rFonts w:ascii="Times New Roman" w:hAnsi="Times New Roman" w:cs="Times New Roman"/>
          <w:bCs/>
          <w:sz w:val="28"/>
          <w:szCs w:val="28"/>
        </w:rPr>
        <w:t>s</w:t>
      </w:r>
      <w:r w:rsidRPr="00F82B8E">
        <w:rPr>
          <w:rFonts w:ascii="Times New Roman" w:hAnsi="Times New Roman" w:cs="Times New Roman"/>
          <w:bCs/>
          <w:sz w:val="28"/>
          <w:szCs w:val="28"/>
        </w:rPr>
        <w:t xml:space="preserve"> between parties involved in </w:t>
      </w:r>
      <w:r w:rsidR="00714513" w:rsidRPr="00F82B8E">
        <w:rPr>
          <w:rFonts w:ascii="Times New Roman" w:hAnsi="Times New Roman" w:cs="Times New Roman"/>
          <w:bCs/>
          <w:sz w:val="28"/>
          <w:szCs w:val="28"/>
        </w:rPr>
        <w:t>the</w:t>
      </w:r>
      <w:r w:rsidRPr="00F82B8E">
        <w:rPr>
          <w:rFonts w:ascii="Times New Roman" w:hAnsi="Times New Roman" w:cs="Times New Roman"/>
          <w:bCs/>
          <w:sz w:val="28"/>
          <w:szCs w:val="28"/>
        </w:rPr>
        <w:t xml:space="preserve"> infrastructure project for the construction of a wind turbin</w:t>
      </w:r>
      <w:r w:rsidR="00C82248" w:rsidRPr="00F82B8E">
        <w:rPr>
          <w:rFonts w:ascii="Times New Roman" w:hAnsi="Times New Roman" w:cs="Times New Roman"/>
          <w:bCs/>
          <w:sz w:val="28"/>
          <w:szCs w:val="28"/>
        </w:rPr>
        <w:t>e</w:t>
      </w:r>
      <w:r w:rsidR="00AE4B0C" w:rsidRPr="00F82B8E">
        <w:rPr>
          <w:rFonts w:ascii="Times New Roman" w:hAnsi="Times New Roman" w:cs="Times New Roman"/>
          <w:bCs/>
          <w:sz w:val="28"/>
          <w:szCs w:val="28"/>
        </w:rPr>
        <w:t xml:space="preserve"> in Inuvik</w:t>
      </w:r>
      <w:r w:rsidR="00C82248" w:rsidRPr="00F82B8E">
        <w:rPr>
          <w:rFonts w:ascii="Times New Roman" w:hAnsi="Times New Roman" w:cs="Times New Roman"/>
          <w:bCs/>
          <w:sz w:val="28"/>
          <w:szCs w:val="28"/>
        </w:rPr>
        <w:t>, the Inuvik High Point Wind Project</w:t>
      </w:r>
      <w:r w:rsidRPr="00F82B8E">
        <w:rPr>
          <w:rFonts w:ascii="Times New Roman" w:hAnsi="Times New Roman" w:cs="Times New Roman"/>
          <w:bCs/>
          <w:sz w:val="28"/>
          <w:szCs w:val="28"/>
        </w:rPr>
        <w:t>.</w:t>
      </w:r>
      <w:r w:rsidR="00A37A2F" w:rsidRPr="00F82B8E">
        <w:rPr>
          <w:rFonts w:ascii="Times New Roman" w:hAnsi="Times New Roman" w:cs="Times New Roman"/>
          <w:bCs/>
          <w:sz w:val="28"/>
          <w:szCs w:val="28"/>
        </w:rPr>
        <w:t xml:space="preserve"> </w:t>
      </w:r>
    </w:p>
    <w:p w14:paraId="7A49A50B" w14:textId="77777777" w:rsidR="00586FB7" w:rsidRDefault="00586FB7" w:rsidP="00586FB7">
      <w:pPr>
        <w:pStyle w:val="ListParagraph"/>
        <w:spacing w:after="0" w:line="240" w:lineRule="auto"/>
        <w:ind w:left="0"/>
        <w:contextualSpacing w:val="0"/>
        <w:jc w:val="both"/>
        <w:rPr>
          <w:rFonts w:ascii="Times New Roman" w:hAnsi="Times New Roman" w:cs="Times New Roman"/>
          <w:bCs/>
          <w:sz w:val="28"/>
          <w:szCs w:val="28"/>
        </w:rPr>
      </w:pPr>
    </w:p>
    <w:p w14:paraId="7C244E18" w14:textId="77777777" w:rsidR="00197CF1" w:rsidRDefault="00197CF1" w:rsidP="00586FB7">
      <w:pPr>
        <w:pStyle w:val="ListParagraph"/>
        <w:spacing w:after="0" w:line="240" w:lineRule="auto"/>
        <w:ind w:left="0"/>
        <w:contextualSpacing w:val="0"/>
        <w:jc w:val="both"/>
        <w:rPr>
          <w:rFonts w:ascii="Times New Roman" w:hAnsi="Times New Roman" w:cs="Times New Roman"/>
          <w:bCs/>
          <w:sz w:val="28"/>
          <w:szCs w:val="28"/>
        </w:rPr>
      </w:pPr>
    </w:p>
    <w:p w14:paraId="21829968" w14:textId="77777777" w:rsidR="004B55F1" w:rsidRDefault="00A37A2F" w:rsidP="00586FB7">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lastRenderedPageBreak/>
        <w:t>NWT Energy Corporation (03) Ltd. (“NTE”) is the owner of the project</w:t>
      </w:r>
      <w:r w:rsidR="00B47BCE" w:rsidRPr="00F82B8E">
        <w:rPr>
          <w:rFonts w:ascii="Times New Roman" w:hAnsi="Times New Roman" w:cs="Times New Roman"/>
          <w:bCs/>
          <w:sz w:val="28"/>
          <w:szCs w:val="28"/>
        </w:rPr>
        <w:t xml:space="preserve">. </w:t>
      </w:r>
      <w:r w:rsidR="00862321" w:rsidRPr="00F82B8E">
        <w:rPr>
          <w:rFonts w:ascii="Times New Roman" w:hAnsi="Times New Roman" w:cs="Times New Roman"/>
          <w:bCs/>
          <w:sz w:val="28"/>
          <w:szCs w:val="28"/>
        </w:rPr>
        <w:t xml:space="preserve">ONEC Construction Inc. (“ONEC”) and </w:t>
      </w:r>
      <w:r w:rsidR="00F36FC9" w:rsidRPr="00F82B8E">
        <w:rPr>
          <w:rFonts w:ascii="Times New Roman" w:hAnsi="Times New Roman" w:cs="Times New Roman"/>
          <w:bCs/>
          <w:sz w:val="28"/>
          <w:szCs w:val="28"/>
        </w:rPr>
        <w:t>Northland Builders Ltd. (</w:t>
      </w:r>
      <w:r w:rsidR="007A658F" w:rsidRPr="00F82B8E">
        <w:rPr>
          <w:rFonts w:ascii="Times New Roman" w:hAnsi="Times New Roman" w:cs="Times New Roman"/>
          <w:bCs/>
          <w:sz w:val="28"/>
          <w:szCs w:val="28"/>
        </w:rPr>
        <w:t xml:space="preserve">“Northland”) </w:t>
      </w:r>
      <w:r w:rsidR="00B92A20">
        <w:rPr>
          <w:rFonts w:ascii="Times New Roman" w:hAnsi="Times New Roman" w:cs="Times New Roman"/>
          <w:bCs/>
          <w:sz w:val="28"/>
          <w:szCs w:val="28"/>
        </w:rPr>
        <w:t>are construction businesses involved in the completion of the project</w:t>
      </w:r>
      <w:r w:rsidR="00862321" w:rsidRPr="00F82B8E">
        <w:rPr>
          <w:rFonts w:ascii="Times New Roman" w:hAnsi="Times New Roman" w:cs="Times New Roman"/>
          <w:bCs/>
          <w:sz w:val="28"/>
          <w:szCs w:val="28"/>
        </w:rPr>
        <w:t xml:space="preserve">. Liberty Mutual Insurance Company (“Liberty”) </w:t>
      </w:r>
      <w:r w:rsidR="005A5636">
        <w:rPr>
          <w:rFonts w:ascii="Times New Roman" w:hAnsi="Times New Roman" w:cs="Times New Roman"/>
          <w:bCs/>
          <w:sz w:val="28"/>
          <w:szCs w:val="28"/>
        </w:rPr>
        <w:t xml:space="preserve">is ONEC’s surety under a labour </w:t>
      </w:r>
      <w:r w:rsidR="00924966" w:rsidRPr="00F82B8E">
        <w:rPr>
          <w:rFonts w:ascii="Times New Roman" w:hAnsi="Times New Roman" w:cs="Times New Roman"/>
          <w:bCs/>
          <w:sz w:val="28"/>
          <w:szCs w:val="28"/>
        </w:rPr>
        <w:t>and material bond</w:t>
      </w:r>
      <w:r w:rsidR="00E017B8" w:rsidRPr="00F82B8E">
        <w:rPr>
          <w:rFonts w:ascii="Times New Roman" w:hAnsi="Times New Roman" w:cs="Times New Roman"/>
          <w:bCs/>
          <w:sz w:val="28"/>
          <w:szCs w:val="28"/>
        </w:rPr>
        <w:t>.</w:t>
      </w:r>
    </w:p>
    <w:p w14:paraId="271C41D5" w14:textId="2FA329AD" w:rsidR="00FF5234" w:rsidRDefault="00E017B8" w:rsidP="004B55F1">
      <w:pPr>
        <w:pStyle w:val="ListParagraph"/>
        <w:spacing w:after="0" w:line="240" w:lineRule="auto"/>
        <w:ind w:left="0"/>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 </w:t>
      </w:r>
    </w:p>
    <w:p w14:paraId="52B4A21B" w14:textId="58A64C8B" w:rsidR="00BE0E52" w:rsidRPr="00586FB7" w:rsidRDefault="00246E3E" w:rsidP="004B55F1">
      <w:pPr>
        <w:pStyle w:val="ListParagraph"/>
        <w:numPr>
          <w:ilvl w:val="0"/>
          <w:numId w:val="1"/>
        </w:numPr>
        <w:spacing w:after="0" w:line="240" w:lineRule="auto"/>
        <w:contextualSpacing w:val="0"/>
        <w:jc w:val="both"/>
        <w:rPr>
          <w:rFonts w:ascii="Times New Roman" w:hAnsi="Times New Roman" w:cs="Times New Roman"/>
          <w:bCs/>
          <w:sz w:val="28"/>
          <w:szCs w:val="28"/>
        </w:rPr>
      </w:pPr>
      <w:r w:rsidRPr="00586FB7">
        <w:rPr>
          <w:rFonts w:ascii="Times New Roman" w:hAnsi="Times New Roman" w:cs="Times New Roman"/>
          <w:bCs/>
          <w:sz w:val="28"/>
          <w:szCs w:val="28"/>
        </w:rPr>
        <w:t xml:space="preserve">During the </w:t>
      </w:r>
      <w:r w:rsidR="00A0602E">
        <w:rPr>
          <w:rFonts w:ascii="Times New Roman" w:hAnsi="Times New Roman" w:cs="Times New Roman"/>
          <w:bCs/>
          <w:sz w:val="28"/>
          <w:szCs w:val="28"/>
        </w:rPr>
        <w:t>performance</w:t>
      </w:r>
      <w:r w:rsidR="00A0602E" w:rsidRPr="00586FB7">
        <w:rPr>
          <w:rFonts w:ascii="Times New Roman" w:hAnsi="Times New Roman" w:cs="Times New Roman"/>
          <w:bCs/>
          <w:sz w:val="28"/>
          <w:szCs w:val="28"/>
        </w:rPr>
        <w:t xml:space="preserve"> </w:t>
      </w:r>
      <w:r w:rsidRPr="00586FB7">
        <w:rPr>
          <w:rFonts w:ascii="Times New Roman" w:hAnsi="Times New Roman" w:cs="Times New Roman"/>
          <w:bCs/>
          <w:sz w:val="28"/>
          <w:szCs w:val="28"/>
        </w:rPr>
        <w:t xml:space="preserve">of </w:t>
      </w:r>
      <w:r w:rsidR="00586FB7">
        <w:rPr>
          <w:rFonts w:ascii="Times New Roman" w:hAnsi="Times New Roman" w:cs="Times New Roman"/>
          <w:bCs/>
          <w:sz w:val="28"/>
          <w:szCs w:val="28"/>
        </w:rPr>
        <w:t xml:space="preserve">the </w:t>
      </w:r>
      <w:r w:rsidR="00586FB7" w:rsidRPr="00F82B8E">
        <w:rPr>
          <w:rFonts w:ascii="Times New Roman" w:hAnsi="Times New Roman" w:cs="Times New Roman"/>
          <w:bCs/>
          <w:sz w:val="28"/>
          <w:szCs w:val="28"/>
        </w:rPr>
        <w:t>Inuvik High Point Wind Project</w:t>
      </w:r>
      <w:r w:rsidRPr="00586FB7">
        <w:rPr>
          <w:rFonts w:ascii="Times New Roman" w:hAnsi="Times New Roman" w:cs="Times New Roman"/>
          <w:bCs/>
          <w:sz w:val="28"/>
          <w:szCs w:val="28"/>
        </w:rPr>
        <w:t xml:space="preserve">, </w:t>
      </w:r>
      <w:r w:rsidR="001758ED" w:rsidRPr="00586FB7">
        <w:rPr>
          <w:rFonts w:ascii="Times New Roman" w:hAnsi="Times New Roman" w:cs="Times New Roman"/>
          <w:bCs/>
          <w:sz w:val="28"/>
          <w:szCs w:val="28"/>
        </w:rPr>
        <w:t>d</w:t>
      </w:r>
      <w:r w:rsidR="00BE0E52" w:rsidRPr="00586FB7">
        <w:rPr>
          <w:rFonts w:ascii="Times New Roman" w:hAnsi="Times New Roman" w:cs="Times New Roman"/>
          <w:bCs/>
          <w:sz w:val="28"/>
          <w:szCs w:val="28"/>
        </w:rPr>
        <w:t xml:space="preserve">isputes arose between the parties. ONEC filed a </w:t>
      </w:r>
      <w:r w:rsidR="00AF13BA">
        <w:rPr>
          <w:rFonts w:ascii="Times New Roman" w:hAnsi="Times New Roman" w:cs="Times New Roman"/>
          <w:bCs/>
          <w:sz w:val="28"/>
          <w:szCs w:val="28"/>
        </w:rPr>
        <w:t>Statement of Cl</w:t>
      </w:r>
      <w:r w:rsidR="00372796">
        <w:rPr>
          <w:rFonts w:ascii="Times New Roman" w:hAnsi="Times New Roman" w:cs="Times New Roman"/>
          <w:bCs/>
          <w:sz w:val="28"/>
          <w:szCs w:val="28"/>
        </w:rPr>
        <w:t>aim</w:t>
      </w:r>
      <w:r w:rsidR="00372796" w:rsidRPr="00586FB7">
        <w:rPr>
          <w:rFonts w:ascii="Times New Roman" w:hAnsi="Times New Roman" w:cs="Times New Roman"/>
          <w:bCs/>
          <w:sz w:val="28"/>
          <w:szCs w:val="28"/>
        </w:rPr>
        <w:t xml:space="preserve"> </w:t>
      </w:r>
      <w:r w:rsidR="00BE0E52" w:rsidRPr="00586FB7">
        <w:rPr>
          <w:rFonts w:ascii="Times New Roman" w:hAnsi="Times New Roman" w:cs="Times New Roman"/>
          <w:bCs/>
          <w:sz w:val="28"/>
          <w:szCs w:val="28"/>
        </w:rPr>
        <w:t xml:space="preserve">against </w:t>
      </w:r>
      <w:r w:rsidR="007F3A44" w:rsidRPr="00586FB7">
        <w:rPr>
          <w:rFonts w:ascii="Times New Roman" w:hAnsi="Times New Roman" w:cs="Times New Roman"/>
          <w:bCs/>
          <w:sz w:val="28"/>
          <w:szCs w:val="28"/>
        </w:rPr>
        <w:t xml:space="preserve">NTE and Northland. Northland </w:t>
      </w:r>
      <w:r w:rsidR="00CB7E86" w:rsidRPr="00586FB7">
        <w:rPr>
          <w:rFonts w:ascii="Times New Roman" w:hAnsi="Times New Roman" w:cs="Times New Roman"/>
          <w:bCs/>
          <w:sz w:val="28"/>
          <w:szCs w:val="28"/>
        </w:rPr>
        <w:t xml:space="preserve">filed a </w:t>
      </w:r>
      <w:r w:rsidR="00CB2FE9" w:rsidRPr="00324B87">
        <w:rPr>
          <w:rFonts w:ascii="Times New Roman" w:hAnsi="Times New Roman" w:cs="Times New Roman"/>
          <w:bCs/>
          <w:sz w:val="28"/>
          <w:szCs w:val="28"/>
        </w:rPr>
        <w:t xml:space="preserve">counterclaim </w:t>
      </w:r>
      <w:r w:rsidR="00CB7E86" w:rsidRPr="00324B87">
        <w:rPr>
          <w:rFonts w:ascii="Times New Roman" w:hAnsi="Times New Roman" w:cs="Times New Roman"/>
          <w:bCs/>
          <w:sz w:val="28"/>
          <w:szCs w:val="28"/>
        </w:rPr>
        <w:t>against</w:t>
      </w:r>
      <w:r w:rsidR="00CB7E86" w:rsidRPr="00586FB7">
        <w:rPr>
          <w:rFonts w:ascii="Times New Roman" w:hAnsi="Times New Roman" w:cs="Times New Roman"/>
          <w:bCs/>
          <w:sz w:val="28"/>
          <w:szCs w:val="28"/>
        </w:rPr>
        <w:t xml:space="preserve"> </w:t>
      </w:r>
      <w:r w:rsidR="006C7107" w:rsidRPr="00586FB7">
        <w:rPr>
          <w:rFonts w:ascii="Times New Roman" w:hAnsi="Times New Roman" w:cs="Times New Roman"/>
          <w:bCs/>
          <w:sz w:val="28"/>
          <w:szCs w:val="28"/>
        </w:rPr>
        <w:t xml:space="preserve">ONEC, Liberty and NTE. </w:t>
      </w:r>
    </w:p>
    <w:p w14:paraId="761D7193" w14:textId="77777777" w:rsidR="00BE0E52" w:rsidRPr="00F82B8E" w:rsidRDefault="00BE0E52" w:rsidP="00BE0E52">
      <w:pPr>
        <w:pStyle w:val="ListParagraph"/>
        <w:spacing w:after="0" w:line="240" w:lineRule="auto"/>
        <w:ind w:left="0"/>
        <w:contextualSpacing w:val="0"/>
        <w:jc w:val="both"/>
        <w:rPr>
          <w:rFonts w:ascii="Times New Roman" w:hAnsi="Times New Roman" w:cs="Times New Roman"/>
          <w:bCs/>
          <w:sz w:val="28"/>
          <w:szCs w:val="28"/>
        </w:rPr>
      </w:pPr>
    </w:p>
    <w:p w14:paraId="1DC0D23D" w14:textId="06697902" w:rsidR="00F36FC9" w:rsidRPr="00F82B8E" w:rsidRDefault="00862321" w:rsidP="00BE0E52">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 </w:t>
      </w:r>
      <w:r w:rsidR="00A37A2F" w:rsidRPr="00F82B8E">
        <w:rPr>
          <w:rFonts w:ascii="Times New Roman" w:hAnsi="Times New Roman" w:cs="Times New Roman"/>
          <w:bCs/>
          <w:sz w:val="28"/>
          <w:szCs w:val="28"/>
        </w:rPr>
        <w:t xml:space="preserve">Northland </w:t>
      </w:r>
      <w:r w:rsidR="007A658F" w:rsidRPr="00F82B8E">
        <w:rPr>
          <w:rFonts w:ascii="Times New Roman" w:hAnsi="Times New Roman" w:cs="Times New Roman"/>
          <w:bCs/>
          <w:sz w:val="28"/>
          <w:szCs w:val="28"/>
        </w:rPr>
        <w:t xml:space="preserve">is seeking a summary judgment dismissing </w:t>
      </w:r>
      <w:r w:rsidR="00FA7F09" w:rsidRPr="00F82B8E">
        <w:rPr>
          <w:rFonts w:ascii="Times New Roman" w:hAnsi="Times New Roman" w:cs="Times New Roman"/>
          <w:bCs/>
          <w:sz w:val="28"/>
          <w:szCs w:val="28"/>
        </w:rPr>
        <w:t>ONEC</w:t>
      </w:r>
      <w:r w:rsidRPr="00F82B8E">
        <w:rPr>
          <w:rFonts w:ascii="Times New Roman" w:hAnsi="Times New Roman" w:cs="Times New Roman"/>
          <w:bCs/>
          <w:sz w:val="28"/>
          <w:szCs w:val="28"/>
        </w:rPr>
        <w:t xml:space="preserve">’s </w:t>
      </w:r>
      <w:r w:rsidR="00CE10E6" w:rsidRPr="00F82B8E">
        <w:rPr>
          <w:rFonts w:ascii="Times New Roman" w:hAnsi="Times New Roman" w:cs="Times New Roman"/>
          <w:bCs/>
          <w:sz w:val="28"/>
          <w:szCs w:val="28"/>
        </w:rPr>
        <w:t>claim</w:t>
      </w:r>
      <w:r w:rsidR="00821829" w:rsidRPr="00F82B8E">
        <w:rPr>
          <w:rFonts w:ascii="Times New Roman" w:hAnsi="Times New Roman" w:cs="Times New Roman"/>
          <w:bCs/>
          <w:sz w:val="28"/>
          <w:szCs w:val="28"/>
        </w:rPr>
        <w:t xml:space="preserve"> against Northland</w:t>
      </w:r>
      <w:r w:rsidR="00FA7F09" w:rsidRPr="00F82B8E">
        <w:rPr>
          <w:rFonts w:ascii="Times New Roman" w:hAnsi="Times New Roman" w:cs="Times New Roman"/>
          <w:bCs/>
          <w:sz w:val="28"/>
          <w:szCs w:val="28"/>
        </w:rPr>
        <w:t xml:space="preserve"> </w:t>
      </w:r>
      <w:r w:rsidR="00787EE8" w:rsidRPr="00F82B8E">
        <w:rPr>
          <w:rFonts w:ascii="Times New Roman" w:hAnsi="Times New Roman" w:cs="Times New Roman"/>
          <w:bCs/>
          <w:sz w:val="28"/>
          <w:szCs w:val="28"/>
        </w:rPr>
        <w:t xml:space="preserve">and granting </w:t>
      </w:r>
      <w:r w:rsidR="00FA7F09" w:rsidRPr="00F82B8E">
        <w:rPr>
          <w:rFonts w:ascii="Times New Roman" w:hAnsi="Times New Roman" w:cs="Times New Roman"/>
          <w:bCs/>
          <w:sz w:val="28"/>
          <w:szCs w:val="28"/>
        </w:rPr>
        <w:t>Northland’s</w:t>
      </w:r>
      <w:r w:rsidR="00787EE8" w:rsidRPr="00F82B8E">
        <w:rPr>
          <w:rFonts w:ascii="Times New Roman" w:hAnsi="Times New Roman" w:cs="Times New Roman"/>
          <w:bCs/>
          <w:sz w:val="28"/>
          <w:szCs w:val="28"/>
        </w:rPr>
        <w:t xml:space="preserve"> </w:t>
      </w:r>
      <w:r w:rsidR="00E871B2" w:rsidRPr="00E871B2">
        <w:rPr>
          <w:rFonts w:ascii="Times New Roman" w:hAnsi="Times New Roman" w:cs="Times New Roman"/>
          <w:bCs/>
          <w:sz w:val="28"/>
          <w:szCs w:val="28"/>
        </w:rPr>
        <w:t>c</w:t>
      </w:r>
      <w:r w:rsidR="004D7CFA" w:rsidRPr="00E871B2">
        <w:rPr>
          <w:rFonts w:ascii="Times New Roman" w:hAnsi="Times New Roman" w:cs="Times New Roman"/>
          <w:bCs/>
          <w:sz w:val="28"/>
          <w:szCs w:val="28"/>
        </w:rPr>
        <w:t>ounterclaim</w:t>
      </w:r>
      <w:r w:rsidR="00787EE8" w:rsidRPr="00E871B2">
        <w:rPr>
          <w:rFonts w:ascii="Times New Roman" w:hAnsi="Times New Roman" w:cs="Times New Roman"/>
          <w:bCs/>
          <w:sz w:val="28"/>
          <w:szCs w:val="28"/>
        </w:rPr>
        <w:t xml:space="preserve"> against</w:t>
      </w:r>
      <w:r w:rsidR="00787EE8" w:rsidRPr="00F82B8E">
        <w:rPr>
          <w:rFonts w:ascii="Times New Roman" w:hAnsi="Times New Roman" w:cs="Times New Roman"/>
          <w:bCs/>
          <w:sz w:val="28"/>
          <w:szCs w:val="28"/>
        </w:rPr>
        <w:t xml:space="preserve"> </w:t>
      </w:r>
      <w:r w:rsidR="00FA7F09" w:rsidRPr="00F82B8E">
        <w:rPr>
          <w:rFonts w:ascii="Times New Roman" w:hAnsi="Times New Roman" w:cs="Times New Roman"/>
          <w:bCs/>
          <w:sz w:val="28"/>
          <w:szCs w:val="28"/>
        </w:rPr>
        <w:t xml:space="preserve">ONEC, </w:t>
      </w:r>
      <w:r w:rsidR="00E017B8" w:rsidRPr="00F82B8E">
        <w:rPr>
          <w:rFonts w:ascii="Times New Roman" w:hAnsi="Times New Roman" w:cs="Times New Roman"/>
          <w:bCs/>
          <w:sz w:val="28"/>
          <w:szCs w:val="28"/>
        </w:rPr>
        <w:t>Liberty and NTE</w:t>
      </w:r>
      <w:r w:rsidR="00AA34DC">
        <w:rPr>
          <w:rFonts w:ascii="Times New Roman" w:hAnsi="Times New Roman" w:cs="Times New Roman"/>
          <w:bCs/>
          <w:sz w:val="28"/>
          <w:szCs w:val="28"/>
        </w:rPr>
        <w:t>,</w:t>
      </w:r>
      <w:r w:rsidR="00E017B8" w:rsidRPr="00F82B8E">
        <w:rPr>
          <w:rFonts w:ascii="Times New Roman" w:hAnsi="Times New Roman" w:cs="Times New Roman"/>
          <w:bCs/>
          <w:sz w:val="28"/>
          <w:szCs w:val="28"/>
        </w:rPr>
        <w:t xml:space="preserve"> </w:t>
      </w:r>
      <w:r w:rsidR="004605F3" w:rsidRPr="00F82B8E">
        <w:rPr>
          <w:rFonts w:ascii="Times New Roman" w:hAnsi="Times New Roman" w:cs="Times New Roman"/>
          <w:bCs/>
          <w:sz w:val="28"/>
          <w:szCs w:val="28"/>
        </w:rPr>
        <w:t>arguing that a trial is not required</w:t>
      </w:r>
      <w:r w:rsidR="00CF1DED" w:rsidRPr="00F82B8E">
        <w:rPr>
          <w:rFonts w:ascii="Times New Roman" w:hAnsi="Times New Roman" w:cs="Times New Roman"/>
          <w:bCs/>
          <w:sz w:val="28"/>
          <w:szCs w:val="28"/>
        </w:rPr>
        <w:t xml:space="preserve"> to dispose of </w:t>
      </w:r>
      <w:r w:rsidR="008B42A7">
        <w:rPr>
          <w:rFonts w:ascii="Times New Roman" w:hAnsi="Times New Roman" w:cs="Times New Roman"/>
          <w:bCs/>
          <w:sz w:val="28"/>
          <w:szCs w:val="28"/>
        </w:rPr>
        <w:t>these</w:t>
      </w:r>
      <w:r w:rsidR="00CF1DED" w:rsidRPr="00F82B8E">
        <w:rPr>
          <w:rFonts w:ascii="Times New Roman" w:hAnsi="Times New Roman" w:cs="Times New Roman"/>
          <w:bCs/>
          <w:sz w:val="28"/>
          <w:szCs w:val="28"/>
        </w:rPr>
        <w:t xml:space="preserve"> actions</w:t>
      </w:r>
      <w:r w:rsidR="003771D2" w:rsidRPr="00F82B8E">
        <w:rPr>
          <w:rFonts w:ascii="Times New Roman" w:hAnsi="Times New Roman" w:cs="Times New Roman"/>
          <w:bCs/>
          <w:sz w:val="28"/>
          <w:szCs w:val="28"/>
        </w:rPr>
        <w:t xml:space="preserve">. </w:t>
      </w:r>
      <w:r w:rsidR="00F93555" w:rsidRPr="00F82B8E">
        <w:rPr>
          <w:rFonts w:ascii="Times New Roman" w:hAnsi="Times New Roman" w:cs="Times New Roman"/>
          <w:bCs/>
          <w:sz w:val="28"/>
          <w:szCs w:val="28"/>
        </w:rPr>
        <w:t>If the summary judgment application</w:t>
      </w:r>
      <w:r w:rsidR="00975C8A" w:rsidRPr="00F82B8E">
        <w:rPr>
          <w:rFonts w:ascii="Times New Roman" w:hAnsi="Times New Roman" w:cs="Times New Roman"/>
          <w:bCs/>
          <w:sz w:val="28"/>
          <w:szCs w:val="28"/>
        </w:rPr>
        <w:t xml:space="preserve"> is dismissed, Northland seeks</w:t>
      </w:r>
      <w:r w:rsidR="00851529" w:rsidRPr="00F82B8E">
        <w:rPr>
          <w:rFonts w:ascii="Times New Roman" w:hAnsi="Times New Roman" w:cs="Times New Roman"/>
          <w:bCs/>
          <w:sz w:val="28"/>
          <w:szCs w:val="28"/>
        </w:rPr>
        <w:t xml:space="preserve"> an order striking </w:t>
      </w:r>
      <w:r w:rsidR="00076FF4" w:rsidRPr="00F82B8E">
        <w:rPr>
          <w:rFonts w:ascii="Times New Roman" w:hAnsi="Times New Roman" w:cs="Times New Roman"/>
          <w:bCs/>
          <w:sz w:val="28"/>
          <w:szCs w:val="28"/>
        </w:rPr>
        <w:t>ONEC’s</w:t>
      </w:r>
      <w:r w:rsidR="00851529" w:rsidRPr="00F82B8E">
        <w:rPr>
          <w:rFonts w:ascii="Times New Roman" w:hAnsi="Times New Roman" w:cs="Times New Roman"/>
          <w:bCs/>
          <w:sz w:val="28"/>
          <w:szCs w:val="28"/>
        </w:rPr>
        <w:t xml:space="preserve"> Statement of Claim. </w:t>
      </w:r>
    </w:p>
    <w:p w14:paraId="094E313A" w14:textId="77777777" w:rsidR="00F36FC9" w:rsidRPr="00F82B8E" w:rsidRDefault="00F36FC9" w:rsidP="00F36FC9">
      <w:pPr>
        <w:pStyle w:val="ListParagraph"/>
        <w:spacing w:after="0" w:line="240" w:lineRule="auto"/>
        <w:ind w:left="0"/>
        <w:contextualSpacing w:val="0"/>
        <w:jc w:val="both"/>
        <w:rPr>
          <w:rFonts w:ascii="Times New Roman" w:hAnsi="Times New Roman" w:cs="Times New Roman"/>
          <w:bCs/>
          <w:sz w:val="28"/>
          <w:szCs w:val="28"/>
        </w:rPr>
      </w:pPr>
    </w:p>
    <w:p w14:paraId="59355686" w14:textId="3F792359" w:rsidR="00F36FC9" w:rsidRPr="00F82B8E" w:rsidRDefault="00F1468B" w:rsidP="00F36FC9">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For the following reasons, I </w:t>
      </w:r>
      <w:r w:rsidR="00076FF4" w:rsidRPr="00F82B8E">
        <w:rPr>
          <w:rFonts w:ascii="Times New Roman" w:hAnsi="Times New Roman" w:cs="Times New Roman"/>
          <w:bCs/>
          <w:sz w:val="28"/>
          <w:szCs w:val="28"/>
        </w:rPr>
        <w:t>partially grant</w:t>
      </w:r>
      <w:r w:rsidRPr="00F82B8E">
        <w:rPr>
          <w:rFonts w:ascii="Times New Roman" w:hAnsi="Times New Roman" w:cs="Times New Roman"/>
          <w:bCs/>
          <w:sz w:val="28"/>
          <w:szCs w:val="28"/>
        </w:rPr>
        <w:t xml:space="preserve"> the application for summary </w:t>
      </w:r>
      <w:r w:rsidR="00851529" w:rsidRPr="00F82B8E">
        <w:rPr>
          <w:rFonts w:ascii="Times New Roman" w:hAnsi="Times New Roman" w:cs="Times New Roman"/>
          <w:bCs/>
          <w:sz w:val="28"/>
          <w:szCs w:val="28"/>
        </w:rPr>
        <w:t>judgment</w:t>
      </w:r>
      <w:r w:rsidR="00076FF4" w:rsidRPr="00F82B8E">
        <w:rPr>
          <w:rFonts w:ascii="Times New Roman" w:hAnsi="Times New Roman" w:cs="Times New Roman"/>
          <w:bCs/>
          <w:sz w:val="28"/>
          <w:szCs w:val="28"/>
        </w:rPr>
        <w:t>.</w:t>
      </w:r>
    </w:p>
    <w:p w14:paraId="6E452972" w14:textId="77777777" w:rsidR="00F36FC9" w:rsidRPr="00F82B8E" w:rsidRDefault="00F36FC9" w:rsidP="00F36FC9">
      <w:pPr>
        <w:pStyle w:val="ListParagraph"/>
        <w:spacing w:after="0" w:line="240" w:lineRule="auto"/>
        <w:ind w:left="0"/>
        <w:contextualSpacing w:val="0"/>
        <w:jc w:val="both"/>
        <w:rPr>
          <w:rFonts w:ascii="Times New Roman" w:hAnsi="Times New Roman" w:cs="Times New Roman"/>
          <w:bCs/>
          <w:sz w:val="28"/>
          <w:szCs w:val="28"/>
        </w:rPr>
      </w:pPr>
    </w:p>
    <w:p w14:paraId="6E53E14A" w14:textId="77777777" w:rsidR="00F36FC9" w:rsidRPr="00F82B8E" w:rsidRDefault="00F36FC9" w:rsidP="00F36FC9">
      <w:pPr>
        <w:pStyle w:val="ListParagraph"/>
        <w:spacing w:after="0" w:line="240" w:lineRule="auto"/>
        <w:ind w:left="0"/>
        <w:jc w:val="both"/>
        <w:rPr>
          <w:rFonts w:ascii="Times New Roman" w:hAnsi="Times New Roman" w:cs="Times New Roman"/>
          <w:b/>
          <w:bCs/>
          <w:sz w:val="28"/>
          <w:szCs w:val="28"/>
        </w:rPr>
      </w:pPr>
      <w:r w:rsidRPr="00F82B8E">
        <w:rPr>
          <w:rFonts w:ascii="Times New Roman" w:hAnsi="Times New Roman" w:cs="Times New Roman"/>
          <w:b/>
          <w:bCs/>
          <w:sz w:val="28"/>
          <w:szCs w:val="28"/>
        </w:rPr>
        <w:t>BACKGROUND</w:t>
      </w:r>
    </w:p>
    <w:p w14:paraId="22F6BCDC" w14:textId="77777777" w:rsidR="00F36FC9" w:rsidRPr="00F82B8E" w:rsidRDefault="00F36FC9" w:rsidP="00F36FC9">
      <w:pPr>
        <w:pStyle w:val="ListParagraph"/>
        <w:spacing w:after="0" w:line="240" w:lineRule="auto"/>
        <w:ind w:left="0"/>
        <w:jc w:val="both"/>
        <w:rPr>
          <w:rFonts w:ascii="Times New Roman" w:hAnsi="Times New Roman" w:cs="Times New Roman"/>
          <w:b/>
          <w:bCs/>
          <w:sz w:val="28"/>
          <w:szCs w:val="28"/>
        </w:rPr>
      </w:pPr>
    </w:p>
    <w:p w14:paraId="3B47BDBF" w14:textId="24AF2AEA" w:rsidR="00C821A7" w:rsidRPr="00F82B8E" w:rsidRDefault="00272935" w:rsidP="003D47B1">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In </w:t>
      </w:r>
      <w:r w:rsidR="009D290C" w:rsidRPr="00F82B8E">
        <w:rPr>
          <w:rFonts w:ascii="Times New Roman" w:hAnsi="Times New Roman" w:cs="Times New Roman"/>
          <w:bCs/>
          <w:sz w:val="28"/>
          <w:szCs w:val="28"/>
        </w:rPr>
        <w:t xml:space="preserve">November 2020, NTE </w:t>
      </w:r>
      <w:r w:rsidR="001044BC" w:rsidRPr="00F82B8E">
        <w:rPr>
          <w:rFonts w:ascii="Times New Roman" w:hAnsi="Times New Roman" w:cs="Times New Roman"/>
          <w:bCs/>
          <w:sz w:val="28"/>
          <w:szCs w:val="28"/>
        </w:rPr>
        <w:t>obtained</w:t>
      </w:r>
      <w:r w:rsidR="009D290C" w:rsidRPr="00F82B8E">
        <w:rPr>
          <w:rFonts w:ascii="Times New Roman" w:hAnsi="Times New Roman" w:cs="Times New Roman"/>
          <w:bCs/>
          <w:sz w:val="28"/>
          <w:szCs w:val="28"/>
        </w:rPr>
        <w:t xml:space="preserve"> </w:t>
      </w:r>
      <w:r w:rsidR="001044BC" w:rsidRPr="00F82B8E">
        <w:rPr>
          <w:rFonts w:ascii="Times New Roman" w:hAnsi="Times New Roman" w:cs="Times New Roman"/>
          <w:bCs/>
          <w:sz w:val="28"/>
          <w:szCs w:val="28"/>
        </w:rPr>
        <w:t xml:space="preserve">the necessary permits and licenses </w:t>
      </w:r>
      <w:r w:rsidR="008371DB" w:rsidRPr="00F82B8E">
        <w:rPr>
          <w:rFonts w:ascii="Times New Roman" w:hAnsi="Times New Roman" w:cs="Times New Roman"/>
          <w:bCs/>
          <w:sz w:val="28"/>
          <w:szCs w:val="28"/>
        </w:rPr>
        <w:t xml:space="preserve">for the construction of a wind turbine in Inuvik. </w:t>
      </w:r>
      <w:r w:rsidR="0020105F" w:rsidRPr="00F82B8E">
        <w:rPr>
          <w:rFonts w:ascii="Times New Roman" w:hAnsi="Times New Roman" w:cs="Times New Roman"/>
          <w:bCs/>
          <w:sz w:val="28"/>
          <w:szCs w:val="28"/>
        </w:rPr>
        <w:t xml:space="preserve">This project included the construction of </w:t>
      </w:r>
      <w:r w:rsidR="00E859AE" w:rsidRPr="00F82B8E">
        <w:rPr>
          <w:rFonts w:ascii="Times New Roman" w:hAnsi="Times New Roman" w:cs="Times New Roman"/>
          <w:bCs/>
          <w:sz w:val="28"/>
          <w:szCs w:val="28"/>
        </w:rPr>
        <w:t>a wind turbine, a battery storage system, an access road</w:t>
      </w:r>
      <w:r w:rsidR="00F21C2A">
        <w:rPr>
          <w:rFonts w:ascii="Times New Roman" w:hAnsi="Times New Roman" w:cs="Times New Roman"/>
          <w:bCs/>
          <w:sz w:val="28"/>
          <w:szCs w:val="28"/>
        </w:rPr>
        <w:t>,</w:t>
      </w:r>
      <w:r w:rsidR="00E859AE" w:rsidRPr="00F82B8E">
        <w:rPr>
          <w:rFonts w:ascii="Times New Roman" w:hAnsi="Times New Roman" w:cs="Times New Roman"/>
          <w:bCs/>
          <w:sz w:val="28"/>
          <w:szCs w:val="28"/>
        </w:rPr>
        <w:t xml:space="preserve"> and a distribution line connecting to existing lines near Inuvik</w:t>
      </w:r>
      <w:r w:rsidR="006B0AB7" w:rsidRPr="006B0AB7">
        <w:rPr>
          <w:rFonts w:ascii="Times New Roman" w:hAnsi="Times New Roman" w:cs="Times New Roman"/>
          <w:bCs/>
          <w:sz w:val="28"/>
          <w:szCs w:val="28"/>
        </w:rPr>
        <w:t>’</w:t>
      </w:r>
      <w:r w:rsidR="006B0AB7">
        <w:rPr>
          <w:rFonts w:ascii="Times New Roman" w:hAnsi="Times New Roman" w:cs="Times New Roman"/>
          <w:bCs/>
          <w:sz w:val="28"/>
          <w:szCs w:val="28"/>
        </w:rPr>
        <w:t>s</w:t>
      </w:r>
      <w:r w:rsidR="00E859AE" w:rsidRPr="00F82B8E">
        <w:rPr>
          <w:rFonts w:ascii="Times New Roman" w:hAnsi="Times New Roman" w:cs="Times New Roman"/>
          <w:bCs/>
          <w:sz w:val="28"/>
          <w:szCs w:val="28"/>
        </w:rPr>
        <w:t xml:space="preserve"> Mike Zubko Airport. </w:t>
      </w:r>
    </w:p>
    <w:p w14:paraId="2EEBA7F9" w14:textId="77777777" w:rsidR="003D47B1" w:rsidRPr="00F82B8E" w:rsidRDefault="003D47B1" w:rsidP="003D47B1">
      <w:pPr>
        <w:pStyle w:val="ListParagraph"/>
        <w:spacing w:after="0" w:line="240" w:lineRule="auto"/>
        <w:ind w:left="0"/>
        <w:contextualSpacing w:val="0"/>
        <w:jc w:val="both"/>
        <w:rPr>
          <w:rFonts w:ascii="Times New Roman" w:hAnsi="Times New Roman" w:cs="Times New Roman"/>
          <w:bCs/>
          <w:sz w:val="28"/>
          <w:szCs w:val="28"/>
        </w:rPr>
      </w:pPr>
    </w:p>
    <w:p w14:paraId="0685C54A" w14:textId="4E6AAC0E" w:rsidR="00E41BC2" w:rsidRPr="00F82B8E" w:rsidRDefault="00C821A7" w:rsidP="000219CB">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The nature of the contractual relationships between the parties </w:t>
      </w:r>
      <w:r w:rsidR="00DE5BBD" w:rsidRPr="00F82B8E">
        <w:rPr>
          <w:rFonts w:ascii="Times New Roman" w:hAnsi="Times New Roman" w:cs="Times New Roman"/>
          <w:bCs/>
          <w:sz w:val="28"/>
          <w:szCs w:val="28"/>
        </w:rPr>
        <w:t>is in dispute</w:t>
      </w:r>
      <w:r w:rsidR="004F7138" w:rsidRPr="00F82B8E">
        <w:rPr>
          <w:rFonts w:ascii="Times New Roman" w:hAnsi="Times New Roman" w:cs="Times New Roman"/>
          <w:bCs/>
          <w:sz w:val="28"/>
          <w:szCs w:val="28"/>
        </w:rPr>
        <w:t xml:space="preserve">. </w:t>
      </w:r>
      <w:r w:rsidR="002E62A4" w:rsidRPr="00F82B8E">
        <w:rPr>
          <w:rFonts w:ascii="Times New Roman" w:hAnsi="Times New Roman" w:cs="Times New Roman"/>
          <w:bCs/>
          <w:sz w:val="28"/>
          <w:szCs w:val="28"/>
        </w:rPr>
        <w:t>On</w:t>
      </w:r>
      <w:r w:rsidR="00AF4FA7" w:rsidRPr="00F82B8E">
        <w:rPr>
          <w:rFonts w:ascii="Times New Roman" w:hAnsi="Times New Roman" w:cs="Times New Roman"/>
          <w:bCs/>
          <w:sz w:val="28"/>
          <w:szCs w:val="28"/>
        </w:rPr>
        <w:t xml:space="preserve"> </w:t>
      </w:r>
      <w:r w:rsidR="00DA4B06" w:rsidRPr="00F82B8E">
        <w:rPr>
          <w:rFonts w:ascii="Times New Roman" w:hAnsi="Times New Roman" w:cs="Times New Roman"/>
          <w:bCs/>
          <w:sz w:val="28"/>
          <w:szCs w:val="28"/>
        </w:rPr>
        <w:t>December 27, 2021,</w:t>
      </w:r>
      <w:r w:rsidR="003D47B1" w:rsidRPr="00F82B8E">
        <w:rPr>
          <w:rFonts w:ascii="Times New Roman" w:hAnsi="Times New Roman" w:cs="Times New Roman"/>
          <w:bCs/>
          <w:sz w:val="28"/>
          <w:szCs w:val="28"/>
        </w:rPr>
        <w:t xml:space="preserve"> NTE </w:t>
      </w:r>
      <w:proofErr w:type="gramStart"/>
      <w:r w:rsidR="003D47B1" w:rsidRPr="00F82B8E">
        <w:rPr>
          <w:rFonts w:ascii="Times New Roman" w:hAnsi="Times New Roman" w:cs="Times New Roman"/>
          <w:bCs/>
          <w:sz w:val="28"/>
          <w:szCs w:val="28"/>
        </w:rPr>
        <w:t>entered into</w:t>
      </w:r>
      <w:proofErr w:type="gramEnd"/>
      <w:r w:rsidR="003D47B1" w:rsidRPr="00F82B8E">
        <w:rPr>
          <w:rFonts w:ascii="Times New Roman" w:hAnsi="Times New Roman" w:cs="Times New Roman"/>
          <w:bCs/>
          <w:sz w:val="28"/>
          <w:szCs w:val="28"/>
        </w:rPr>
        <w:t xml:space="preserve"> a Prime Contract (“Prime Contract”)</w:t>
      </w:r>
      <w:r w:rsidR="00EA4419" w:rsidRPr="00F82B8E">
        <w:rPr>
          <w:rFonts w:ascii="Times New Roman" w:hAnsi="Times New Roman" w:cs="Times New Roman"/>
          <w:bCs/>
          <w:sz w:val="28"/>
          <w:szCs w:val="28"/>
        </w:rPr>
        <w:t xml:space="preserve"> for the construction of the access road</w:t>
      </w:r>
      <w:r w:rsidR="003D47B1" w:rsidRPr="00F82B8E">
        <w:rPr>
          <w:rFonts w:ascii="Times New Roman" w:hAnsi="Times New Roman" w:cs="Times New Roman"/>
          <w:bCs/>
          <w:sz w:val="28"/>
          <w:szCs w:val="28"/>
        </w:rPr>
        <w:t xml:space="preserve"> with ONEC</w:t>
      </w:r>
      <w:r w:rsidR="004F7138" w:rsidRPr="00F82B8E">
        <w:rPr>
          <w:rFonts w:ascii="Times New Roman" w:hAnsi="Times New Roman" w:cs="Times New Roman"/>
          <w:bCs/>
          <w:sz w:val="28"/>
          <w:szCs w:val="28"/>
        </w:rPr>
        <w:t xml:space="preserve">. </w:t>
      </w:r>
      <w:r w:rsidR="00AF4FA7" w:rsidRPr="00F82B8E">
        <w:rPr>
          <w:rFonts w:ascii="Times New Roman" w:hAnsi="Times New Roman" w:cs="Times New Roman"/>
          <w:bCs/>
          <w:sz w:val="28"/>
          <w:szCs w:val="28"/>
        </w:rPr>
        <w:t>ONEC argues Northland</w:t>
      </w:r>
      <w:r w:rsidR="004F7138" w:rsidRPr="00F82B8E">
        <w:rPr>
          <w:rFonts w:ascii="Times New Roman" w:hAnsi="Times New Roman" w:cs="Times New Roman"/>
          <w:bCs/>
          <w:sz w:val="28"/>
          <w:szCs w:val="28"/>
        </w:rPr>
        <w:t xml:space="preserve"> is also </w:t>
      </w:r>
      <w:r w:rsidR="00EA4419" w:rsidRPr="00F82B8E">
        <w:rPr>
          <w:rFonts w:ascii="Times New Roman" w:hAnsi="Times New Roman" w:cs="Times New Roman"/>
          <w:bCs/>
          <w:sz w:val="28"/>
          <w:szCs w:val="28"/>
        </w:rPr>
        <w:t>a party to this contract</w:t>
      </w:r>
      <w:r w:rsidR="00EA0220" w:rsidRPr="00F82B8E">
        <w:rPr>
          <w:rFonts w:ascii="Times New Roman" w:hAnsi="Times New Roman" w:cs="Times New Roman"/>
          <w:bCs/>
          <w:sz w:val="28"/>
          <w:szCs w:val="28"/>
        </w:rPr>
        <w:t xml:space="preserve"> as a contractor, acting in partnership with ONEC</w:t>
      </w:r>
      <w:r w:rsidR="00EA4419" w:rsidRPr="00F82B8E">
        <w:rPr>
          <w:rFonts w:ascii="Times New Roman" w:hAnsi="Times New Roman" w:cs="Times New Roman"/>
          <w:bCs/>
          <w:sz w:val="28"/>
          <w:szCs w:val="28"/>
        </w:rPr>
        <w:t xml:space="preserve">. </w:t>
      </w:r>
      <w:r w:rsidR="004B32B9" w:rsidRPr="00F82B8E">
        <w:rPr>
          <w:rFonts w:ascii="Times New Roman" w:hAnsi="Times New Roman" w:cs="Times New Roman"/>
          <w:bCs/>
          <w:sz w:val="28"/>
          <w:szCs w:val="28"/>
        </w:rPr>
        <w:t xml:space="preserve">NTE and </w:t>
      </w:r>
      <w:r w:rsidR="000219CB" w:rsidRPr="00F82B8E">
        <w:rPr>
          <w:rFonts w:ascii="Times New Roman" w:hAnsi="Times New Roman" w:cs="Times New Roman"/>
          <w:bCs/>
          <w:sz w:val="28"/>
          <w:szCs w:val="28"/>
        </w:rPr>
        <w:t xml:space="preserve">Northland take the position that Northland is not a party to the Prime Contract. </w:t>
      </w:r>
    </w:p>
    <w:p w14:paraId="54EE6B2B" w14:textId="77777777" w:rsidR="00E41BC2" w:rsidRPr="00F82B8E" w:rsidRDefault="00E41BC2" w:rsidP="00E41BC2">
      <w:pPr>
        <w:pStyle w:val="ListParagraph"/>
        <w:rPr>
          <w:rFonts w:ascii="Times New Roman" w:hAnsi="Times New Roman" w:cs="Times New Roman"/>
          <w:bCs/>
          <w:sz w:val="28"/>
          <w:szCs w:val="28"/>
        </w:rPr>
      </w:pPr>
    </w:p>
    <w:p w14:paraId="5236687E" w14:textId="42B593BA" w:rsidR="00EA4419" w:rsidRPr="00F82B8E" w:rsidRDefault="00FA7F54" w:rsidP="000219CB">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 March 15, 2022, </w:t>
      </w:r>
      <w:r w:rsidR="000A28D9" w:rsidRPr="00F82B8E">
        <w:rPr>
          <w:rFonts w:ascii="Times New Roman" w:hAnsi="Times New Roman" w:cs="Times New Roman"/>
          <w:bCs/>
          <w:sz w:val="28"/>
          <w:szCs w:val="28"/>
        </w:rPr>
        <w:t xml:space="preserve">ONEC and Northland </w:t>
      </w:r>
      <w:proofErr w:type="gramStart"/>
      <w:r w:rsidR="005B5A43" w:rsidRPr="00F82B8E">
        <w:rPr>
          <w:rFonts w:ascii="Times New Roman" w:hAnsi="Times New Roman" w:cs="Times New Roman"/>
          <w:bCs/>
          <w:sz w:val="28"/>
          <w:szCs w:val="28"/>
        </w:rPr>
        <w:t>entered into</w:t>
      </w:r>
      <w:proofErr w:type="gramEnd"/>
      <w:r w:rsidR="005B5A43" w:rsidRPr="00F82B8E">
        <w:rPr>
          <w:rFonts w:ascii="Times New Roman" w:hAnsi="Times New Roman" w:cs="Times New Roman"/>
          <w:bCs/>
          <w:sz w:val="28"/>
          <w:szCs w:val="28"/>
        </w:rPr>
        <w:t xml:space="preserve"> a contract titled “Integrated Project Delivery Contract”</w:t>
      </w:r>
      <w:r w:rsidR="00587AF5" w:rsidRPr="00F82B8E">
        <w:rPr>
          <w:rFonts w:ascii="Times New Roman" w:hAnsi="Times New Roman" w:cs="Times New Roman"/>
          <w:bCs/>
          <w:sz w:val="28"/>
          <w:szCs w:val="28"/>
        </w:rPr>
        <w:t xml:space="preserve"> (“IPD Contract”)</w:t>
      </w:r>
      <w:r w:rsidR="00F21C2A">
        <w:rPr>
          <w:rFonts w:ascii="Times New Roman" w:hAnsi="Times New Roman" w:cs="Times New Roman"/>
          <w:bCs/>
          <w:sz w:val="28"/>
          <w:szCs w:val="28"/>
        </w:rPr>
        <w:t>, which</w:t>
      </w:r>
      <w:r w:rsidR="00A27E17" w:rsidRPr="00F82B8E">
        <w:rPr>
          <w:rFonts w:ascii="Times New Roman" w:hAnsi="Times New Roman" w:cs="Times New Roman"/>
          <w:bCs/>
          <w:sz w:val="28"/>
          <w:szCs w:val="28"/>
        </w:rPr>
        <w:t xml:space="preserve"> relat</w:t>
      </w:r>
      <w:r w:rsidR="00F21C2A">
        <w:rPr>
          <w:rFonts w:ascii="Times New Roman" w:hAnsi="Times New Roman" w:cs="Times New Roman"/>
          <w:bCs/>
          <w:sz w:val="28"/>
          <w:szCs w:val="28"/>
        </w:rPr>
        <w:t>es</w:t>
      </w:r>
      <w:r w:rsidR="00A27E17" w:rsidRPr="00F82B8E">
        <w:rPr>
          <w:rFonts w:ascii="Times New Roman" w:hAnsi="Times New Roman" w:cs="Times New Roman"/>
          <w:bCs/>
          <w:sz w:val="28"/>
          <w:szCs w:val="28"/>
        </w:rPr>
        <w:t xml:space="preserve"> to the construction of the access road. T</w:t>
      </w:r>
      <w:r w:rsidR="00EA4419" w:rsidRPr="00F82B8E">
        <w:rPr>
          <w:rFonts w:ascii="Times New Roman" w:hAnsi="Times New Roman" w:cs="Times New Roman"/>
          <w:bCs/>
          <w:sz w:val="28"/>
          <w:szCs w:val="28"/>
        </w:rPr>
        <w:t xml:space="preserve">he </w:t>
      </w:r>
      <w:r w:rsidR="00ED14AC" w:rsidRPr="00F82B8E">
        <w:rPr>
          <w:rFonts w:ascii="Times New Roman" w:hAnsi="Times New Roman" w:cs="Times New Roman"/>
          <w:bCs/>
          <w:sz w:val="28"/>
          <w:szCs w:val="28"/>
        </w:rPr>
        <w:t xml:space="preserve">parties do not agree on the </w:t>
      </w:r>
      <w:r w:rsidR="00EA4419" w:rsidRPr="00F82B8E">
        <w:rPr>
          <w:rFonts w:ascii="Times New Roman" w:hAnsi="Times New Roman" w:cs="Times New Roman"/>
          <w:bCs/>
          <w:sz w:val="28"/>
          <w:szCs w:val="28"/>
        </w:rPr>
        <w:t>nature of th</w:t>
      </w:r>
      <w:r w:rsidR="00A27E17" w:rsidRPr="00F82B8E">
        <w:rPr>
          <w:rFonts w:ascii="Times New Roman" w:hAnsi="Times New Roman" w:cs="Times New Roman"/>
          <w:bCs/>
          <w:sz w:val="28"/>
          <w:szCs w:val="28"/>
        </w:rPr>
        <w:t>is contract. ONEC</w:t>
      </w:r>
      <w:r w:rsidR="00891D33" w:rsidRPr="00F82B8E">
        <w:rPr>
          <w:rFonts w:ascii="Times New Roman" w:hAnsi="Times New Roman" w:cs="Times New Roman"/>
          <w:bCs/>
          <w:sz w:val="28"/>
          <w:szCs w:val="28"/>
        </w:rPr>
        <w:t xml:space="preserve"> and Liberty</w:t>
      </w:r>
      <w:r w:rsidR="00A27E17" w:rsidRPr="00F82B8E">
        <w:rPr>
          <w:rFonts w:ascii="Times New Roman" w:hAnsi="Times New Roman" w:cs="Times New Roman"/>
          <w:bCs/>
          <w:sz w:val="28"/>
          <w:szCs w:val="28"/>
        </w:rPr>
        <w:t xml:space="preserve"> submit it is a partnership</w:t>
      </w:r>
      <w:r w:rsidR="001569CC" w:rsidRPr="00F82B8E">
        <w:rPr>
          <w:rFonts w:ascii="Times New Roman" w:hAnsi="Times New Roman" w:cs="Times New Roman"/>
          <w:bCs/>
          <w:sz w:val="28"/>
          <w:szCs w:val="28"/>
        </w:rPr>
        <w:t xml:space="preserve"> agreement</w:t>
      </w:r>
      <w:r w:rsidR="00A27E17" w:rsidRPr="00F82B8E">
        <w:rPr>
          <w:rFonts w:ascii="Times New Roman" w:hAnsi="Times New Roman" w:cs="Times New Roman"/>
          <w:bCs/>
          <w:sz w:val="28"/>
          <w:szCs w:val="28"/>
        </w:rPr>
        <w:t xml:space="preserve"> </w:t>
      </w:r>
      <w:r w:rsidR="002F038F" w:rsidRPr="00F82B8E">
        <w:rPr>
          <w:rFonts w:ascii="Times New Roman" w:hAnsi="Times New Roman" w:cs="Times New Roman"/>
          <w:bCs/>
          <w:sz w:val="28"/>
          <w:szCs w:val="28"/>
        </w:rPr>
        <w:t xml:space="preserve">while Northland argues it is a subcontract. </w:t>
      </w:r>
      <w:r w:rsidR="007B61B1" w:rsidRPr="00F82B8E">
        <w:rPr>
          <w:rFonts w:ascii="Times New Roman" w:hAnsi="Times New Roman" w:cs="Times New Roman"/>
          <w:bCs/>
          <w:sz w:val="28"/>
          <w:szCs w:val="28"/>
        </w:rPr>
        <w:t xml:space="preserve">The IPD Contract sets out how </w:t>
      </w:r>
      <w:r w:rsidR="00124BDB" w:rsidRPr="00F82B8E">
        <w:rPr>
          <w:rFonts w:ascii="Times New Roman" w:hAnsi="Times New Roman" w:cs="Times New Roman"/>
          <w:bCs/>
          <w:sz w:val="28"/>
          <w:szCs w:val="28"/>
        </w:rPr>
        <w:t xml:space="preserve">ONEC </w:t>
      </w:r>
      <w:r w:rsidR="00A36E66" w:rsidRPr="00F82B8E">
        <w:rPr>
          <w:rFonts w:ascii="Times New Roman" w:hAnsi="Times New Roman" w:cs="Times New Roman"/>
          <w:bCs/>
          <w:sz w:val="28"/>
          <w:szCs w:val="28"/>
        </w:rPr>
        <w:t xml:space="preserve">must </w:t>
      </w:r>
      <w:r w:rsidR="00124BDB" w:rsidRPr="00F82B8E">
        <w:rPr>
          <w:rFonts w:ascii="Times New Roman" w:hAnsi="Times New Roman" w:cs="Times New Roman"/>
          <w:bCs/>
          <w:sz w:val="28"/>
          <w:szCs w:val="28"/>
        </w:rPr>
        <w:t xml:space="preserve">pay </w:t>
      </w:r>
      <w:r w:rsidR="007B61B1" w:rsidRPr="00F82B8E">
        <w:rPr>
          <w:rFonts w:ascii="Times New Roman" w:hAnsi="Times New Roman" w:cs="Times New Roman"/>
          <w:bCs/>
          <w:sz w:val="28"/>
          <w:szCs w:val="28"/>
        </w:rPr>
        <w:t xml:space="preserve">Northland </w:t>
      </w:r>
      <w:r w:rsidR="00124BDB" w:rsidRPr="00F82B8E">
        <w:rPr>
          <w:rFonts w:ascii="Times New Roman" w:hAnsi="Times New Roman" w:cs="Times New Roman"/>
          <w:bCs/>
          <w:sz w:val="28"/>
          <w:szCs w:val="28"/>
        </w:rPr>
        <w:t xml:space="preserve">for its participation in the construction of the access road. </w:t>
      </w:r>
    </w:p>
    <w:p w14:paraId="7153EFBD" w14:textId="77777777" w:rsidR="00A27E17" w:rsidRDefault="00A27E17" w:rsidP="00A27E17">
      <w:pPr>
        <w:pStyle w:val="ListParagraph"/>
        <w:rPr>
          <w:rFonts w:ascii="Times New Roman" w:hAnsi="Times New Roman" w:cs="Times New Roman"/>
          <w:bCs/>
          <w:sz w:val="28"/>
          <w:szCs w:val="28"/>
        </w:rPr>
      </w:pPr>
    </w:p>
    <w:p w14:paraId="0B2FA376" w14:textId="1F3EE817" w:rsidR="00CE3201" w:rsidRPr="00F82B8E" w:rsidRDefault="002B2A7E" w:rsidP="00CA6FAF">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lastRenderedPageBreak/>
        <w:t>On February 3, 2022</w:t>
      </w:r>
      <w:r w:rsidR="00DD202A" w:rsidRPr="00F82B8E">
        <w:rPr>
          <w:rFonts w:ascii="Times New Roman" w:hAnsi="Times New Roman" w:cs="Times New Roman"/>
          <w:bCs/>
          <w:sz w:val="28"/>
          <w:szCs w:val="28"/>
        </w:rPr>
        <w:t xml:space="preserve">, ONEC </w:t>
      </w:r>
      <w:r w:rsidR="005620B3" w:rsidRPr="00F82B8E">
        <w:rPr>
          <w:rFonts w:ascii="Times New Roman" w:hAnsi="Times New Roman" w:cs="Times New Roman"/>
          <w:bCs/>
          <w:sz w:val="28"/>
          <w:szCs w:val="28"/>
        </w:rPr>
        <w:t>executed</w:t>
      </w:r>
      <w:r w:rsidR="00A27E17" w:rsidRPr="00F82B8E">
        <w:rPr>
          <w:rFonts w:ascii="Times New Roman" w:hAnsi="Times New Roman" w:cs="Times New Roman"/>
          <w:bCs/>
          <w:sz w:val="28"/>
          <w:szCs w:val="28"/>
        </w:rPr>
        <w:t xml:space="preserve"> </w:t>
      </w:r>
      <w:r w:rsidR="005620B3" w:rsidRPr="00F82B8E">
        <w:rPr>
          <w:rFonts w:ascii="Times New Roman" w:hAnsi="Times New Roman" w:cs="Times New Roman"/>
          <w:bCs/>
          <w:sz w:val="28"/>
          <w:szCs w:val="28"/>
        </w:rPr>
        <w:t>a Labour and Material</w:t>
      </w:r>
      <w:r w:rsidR="00700D2F" w:rsidRPr="00F82B8E">
        <w:rPr>
          <w:rFonts w:ascii="Times New Roman" w:hAnsi="Times New Roman" w:cs="Times New Roman"/>
          <w:bCs/>
          <w:sz w:val="28"/>
          <w:szCs w:val="28"/>
        </w:rPr>
        <w:t xml:space="preserve"> Payment Bond (“the Bond”) with Liberty</w:t>
      </w:r>
      <w:r w:rsidR="00CA5A65" w:rsidRPr="00F82B8E">
        <w:rPr>
          <w:rFonts w:ascii="Times New Roman" w:hAnsi="Times New Roman" w:cs="Times New Roman"/>
          <w:bCs/>
          <w:sz w:val="28"/>
          <w:szCs w:val="28"/>
        </w:rPr>
        <w:t xml:space="preserve"> in favour of NTE</w:t>
      </w:r>
      <w:r w:rsidR="008D04E9" w:rsidRPr="00F82B8E">
        <w:rPr>
          <w:rFonts w:ascii="Times New Roman" w:hAnsi="Times New Roman" w:cs="Times New Roman"/>
          <w:bCs/>
          <w:sz w:val="28"/>
          <w:szCs w:val="28"/>
        </w:rPr>
        <w:t xml:space="preserve">. </w:t>
      </w:r>
      <w:r w:rsidR="008D04E9" w:rsidRPr="000018DE">
        <w:rPr>
          <w:rFonts w:ascii="Times New Roman" w:hAnsi="Times New Roman" w:cs="Times New Roman"/>
          <w:bCs/>
          <w:sz w:val="28"/>
          <w:szCs w:val="28"/>
        </w:rPr>
        <w:t>The Bond</w:t>
      </w:r>
      <w:r w:rsidR="00902EB6">
        <w:rPr>
          <w:rFonts w:ascii="Times New Roman" w:hAnsi="Times New Roman" w:cs="Times New Roman"/>
          <w:bCs/>
          <w:sz w:val="28"/>
          <w:szCs w:val="28"/>
        </w:rPr>
        <w:t xml:space="preserve"> provides that</w:t>
      </w:r>
      <w:r w:rsidR="008D04E9" w:rsidRPr="000018DE">
        <w:rPr>
          <w:rFonts w:ascii="Times New Roman" w:hAnsi="Times New Roman" w:cs="Times New Roman"/>
          <w:bCs/>
          <w:sz w:val="28"/>
          <w:szCs w:val="28"/>
        </w:rPr>
        <w:t xml:space="preserve"> claimants who have a direct contract with ONEC for labour </w:t>
      </w:r>
      <w:r w:rsidR="00ED099B" w:rsidRPr="000018DE">
        <w:rPr>
          <w:rFonts w:ascii="Times New Roman" w:hAnsi="Times New Roman" w:cs="Times New Roman"/>
          <w:bCs/>
          <w:sz w:val="28"/>
          <w:szCs w:val="28"/>
        </w:rPr>
        <w:t xml:space="preserve">and material </w:t>
      </w:r>
      <w:r w:rsidR="00567478" w:rsidRPr="000018DE">
        <w:rPr>
          <w:rFonts w:ascii="Times New Roman" w:hAnsi="Times New Roman" w:cs="Times New Roman"/>
          <w:bCs/>
          <w:sz w:val="28"/>
          <w:szCs w:val="28"/>
        </w:rPr>
        <w:t xml:space="preserve">used or reasonably required for use in the </w:t>
      </w:r>
      <w:r w:rsidR="00C755BF" w:rsidRPr="000018DE">
        <w:rPr>
          <w:rFonts w:ascii="Times New Roman" w:hAnsi="Times New Roman" w:cs="Times New Roman"/>
          <w:bCs/>
          <w:sz w:val="28"/>
          <w:szCs w:val="28"/>
        </w:rPr>
        <w:t>performance of the Prime Contract</w:t>
      </w:r>
      <w:r w:rsidR="004B1BD5">
        <w:rPr>
          <w:rFonts w:ascii="Times New Roman" w:hAnsi="Times New Roman" w:cs="Times New Roman"/>
          <w:bCs/>
          <w:sz w:val="28"/>
          <w:szCs w:val="28"/>
        </w:rPr>
        <w:t xml:space="preserve"> can </w:t>
      </w:r>
      <w:r w:rsidR="00E31F62">
        <w:rPr>
          <w:rFonts w:ascii="Times New Roman" w:hAnsi="Times New Roman" w:cs="Times New Roman"/>
          <w:bCs/>
          <w:sz w:val="28"/>
          <w:szCs w:val="28"/>
        </w:rPr>
        <w:t>seek compensation</w:t>
      </w:r>
      <w:r w:rsidR="00902EB6">
        <w:rPr>
          <w:rFonts w:ascii="Times New Roman" w:hAnsi="Times New Roman" w:cs="Times New Roman"/>
          <w:bCs/>
          <w:sz w:val="28"/>
          <w:szCs w:val="28"/>
        </w:rPr>
        <w:t xml:space="preserve"> from Liberty if ONEC defaults</w:t>
      </w:r>
      <w:r w:rsidR="002510A4">
        <w:rPr>
          <w:rFonts w:ascii="Times New Roman" w:hAnsi="Times New Roman" w:cs="Times New Roman"/>
          <w:bCs/>
          <w:sz w:val="28"/>
          <w:szCs w:val="28"/>
        </w:rPr>
        <w:t xml:space="preserve"> in payment</w:t>
      </w:r>
      <w:r w:rsidR="00C755BF" w:rsidRPr="00F82B8E">
        <w:rPr>
          <w:rFonts w:ascii="Times New Roman" w:hAnsi="Times New Roman" w:cs="Times New Roman"/>
          <w:bCs/>
          <w:sz w:val="28"/>
          <w:szCs w:val="28"/>
        </w:rPr>
        <w:t xml:space="preserve">. </w:t>
      </w:r>
    </w:p>
    <w:p w14:paraId="15B18381" w14:textId="77777777" w:rsidR="00CA6FAF" w:rsidRPr="00F82B8E" w:rsidRDefault="00CA6FAF" w:rsidP="00CA6FAF">
      <w:pPr>
        <w:pStyle w:val="ListParagraph"/>
        <w:spacing w:after="0" w:line="240" w:lineRule="auto"/>
        <w:ind w:left="0"/>
        <w:contextualSpacing w:val="0"/>
        <w:jc w:val="both"/>
        <w:rPr>
          <w:rFonts w:ascii="Times New Roman" w:hAnsi="Times New Roman" w:cs="Times New Roman"/>
          <w:bCs/>
          <w:sz w:val="28"/>
          <w:szCs w:val="28"/>
        </w:rPr>
      </w:pPr>
    </w:p>
    <w:p w14:paraId="6FBBC009" w14:textId="3807CD76" w:rsidR="005870B6" w:rsidRPr="00F82B8E" w:rsidRDefault="00EF4A6C" w:rsidP="00F23087">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In early 2022,</w:t>
      </w:r>
      <w:r w:rsidR="00420610" w:rsidRPr="00F82B8E">
        <w:rPr>
          <w:rFonts w:ascii="Times New Roman" w:hAnsi="Times New Roman" w:cs="Times New Roman"/>
          <w:bCs/>
          <w:sz w:val="28"/>
          <w:szCs w:val="28"/>
        </w:rPr>
        <w:t xml:space="preserve"> work on the construction of the access road started. ONEC</w:t>
      </w:r>
      <w:r w:rsidR="00B46E54" w:rsidRPr="00F82B8E">
        <w:rPr>
          <w:rFonts w:ascii="Times New Roman" w:hAnsi="Times New Roman" w:cs="Times New Roman"/>
          <w:bCs/>
          <w:sz w:val="28"/>
          <w:szCs w:val="28"/>
        </w:rPr>
        <w:t xml:space="preserve">’s role was </w:t>
      </w:r>
      <w:r w:rsidR="00420610" w:rsidRPr="00F82B8E">
        <w:rPr>
          <w:rFonts w:ascii="Times New Roman" w:hAnsi="Times New Roman" w:cs="Times New Roman"/>
          <w:bCs/>
          <w:sz w:val="28"/>
          <w:szCs w:val="28"/>
        </w:rPr>
        <w:t>the management of the project</w:t>
      </w:r>
      <w:r w:rsidR="00B46E54" w:rsidRPr="00F82B8E">
        <w:rPr>
          <w:rFonts w:ascii="Times New Roman" w:hAnsi="Times New Roman" w:cs="Times New Roman"/>
          <w:bCs/>
          <w:sz w:val="28"/>
          <w:szCs w:val="28"/>
        </w:rPr>
        <w:t xml:space="preserve">, procuring materials, </w:t>
      </w:r>
      <w:r w:rsidR="00BE5637" w:rsidRPr="00F82B8E">
        <w:rPr>
          <w:rFonts w:ascii="Times New Roman" w:hAnsi="Times New Roman" w:cs="Times New Roman"/>
          <w:bCs/>
          <w:sz w:val="28"/>
          <w:szCs w:val="28"/>
        </w:rPr>
        <w:t>surveying, supervision and quality control</w:t>
      </w:r>
      <w:r w:rsidR="00BE7A9C" w:rsidRPr="00F82B8E">
        <w:rPr>
          <w:rFonts w:ascii="Times New Roman" w:hAnsi="Times New Roman" w:cs="Times New Roman"/>
          <w:bCs/>
          <w:sz w:val="28"/>
          <w:szCs w:val="28"/>
        </w:rPr>
        <w:t>.</w:t>
      </w:r>
      <w:r w:rsidR="00420610" w:rsidRPr="00F82B8E">
        <w:rPr>
          <w:rFonts w:ascii="Times New Roman" w:hAnsi="Times New Roman" w:cs="Times New Roman"/>
          <w:bCs/>
          <w:sz w:val="28"/>
          <w:szCs w:val="28"/>
        </w:rPr>
        <w:t xml:space="preserve"> Northland</w:t>
      </w:r>
      <w:r w:rsidR="00BE7A9C" w:rsidRPr="00F82B8E">
        <w:rPr>
          <w:rFonts w:ascii="Times New Roman" w:hAnsi="Times New Roman" w:cs="Times New Roman"/>
          <w:bCs/>
          <w:sz w:val="28"/>
          <w:szCs w:val="28"/>
        </w:rPr>
        <w:t>’s involvement is in dispute. Northland takes the position it was</w:t>
      </w:r>
      <w:r w:rsidR="000B73A0" w:rsidRPr="00F82B8E">
        <w:rPr>
          <w:rFonts w:ascii="Times New Roman" w:hAnsi="Times New Roman" w:cs="Times New Roman"/>
          <w:bCs/>
          <w:sz w:val="28"/>
          <w:szCs w:val="28"/>
        </w:rPr>
        <w:t xml:space="preserve"> </w:t>
      </w:r>
      <w:r w:rsidR="00BE7A9C" w:rsidRPr="00F82B8E">
        <w:rPr>
          <w:rFonts w:ascii="Times New Roman" w:hAnsi="Times New Roman" w:cs="Times New Roman"/>
          <w:bCs/>
          <w:sz w:val="28"/>
          <w:szCs w:val="28"/>
        </w:rPr>
        <w:t>supplying</w:t>
      </w:r>
      <w:r w:rsidR="00A02755" w:rsidRPr="00F82B8E">
        <w:rPr>
          <w:rFonts w:ascii="Times New Roman" w:hAnsi="Times New Roman" w:cs="Times New Roman"/>
          <w:bCs/>
          <w:sz w:val="28"/>
          <w:szCs w:val="28"/>
        </w:rPr>
        <w:t xml:space="preserve"> labour and material</w:t>
      </w:r>
      <w:r w:rsidR="006515BA" w:rsidRPr="00F82B8E">
        <w:rPr>
          <w:rFonts w:ascii="Times New Roman" w:hAnsi="Times New Roman" w:cs="Times New Roman"/>
          <w:bCs/>
          <w:sz w:val="28"/>
          <w:szCs w:val="28"/>
        </w:rPr>
        <w:t>s for the preparation of the site</w:t>
      </w:r>
      <w:r w:rsidR="00856FB2" w:rsidRPr="00F82B8E">
        <w:rPr>
          <w:rFonts w:ascii="Times New Roman" w:hAnsi="Times New Roman" w:cs="Times New Roman"/>
          <w:bCs/>
          <w:sz w:val="28"/>
          <w:szCs w:val="28"/>
        </w:rPr>
        <w:t xml:space="preserve"> and</w:t>
      </w:r>
      <w:r w:rsidR="006515BA" w:rsidRPr="00F82B8E">
        <w:rPr>
          <w:rFonts w:ascii="Times New Roman" w:hAnsi="Times New Roman" w:cs="Times New Roman"/>
          <w:bCs/>
          <w:sz w:val="28"/>
          <w:szCs w:val="28"/>
        </w:rPr>
        <w:t xml:space="preserve"> </w:t>
      </w:r>
      <w:r w:rsidR="006515BA" w:rsidRPr="00E31F62">
        <w:rPr>
          <w:rFonts w:ascii="Times New Roman" w:hAnsi="Times New Roman" w:cs="Times New Roman"/>
          <w:bCs/>
          <w:sz w:val="28"/>
          <w:szCs w:val="28"/>
        </w:rPr>
        <w:t>performing civil work</w:t>
      </w:r>
      <w:r w:rsidR="00EC3FB0" w:rsidRPr="00E31F62">
        <w:rPr>
          <w:rFonts w:ascii="Times New Roman" w:hAnsi="Times New Roman" w:cs="Times New Roman"/>
          <w:bCs/>
          <w:sz w:val="28"/>
          <w:szCs w:val="28"/>
        </w:rPr>
        <w:t>,</w:t>
      </w:r>
      <w:r w:rsidR="00856FB2" w:rsidRPr="00F82B8E">
        <w:rPr>
          <w:rFonts w:ascii="Times New Roman" w:hAnsi="Times New Roman" w:cs="Times New Roman"/>
          <w:bCs/>
          <w:sz w:val="28"/>
          <w:szCs w:val="28"/>
        </w:rPr>
        <w:t xml:space="preserve"> </w:t>
      </w:r>
      <w:r w:rsidR="00A02755" w:rsidRPr="00F82B8E">
        <w:rPr>
          <w:rFonts w:ascii="Times New Roman" w:hAnsi="Times New Roman" w:cs="Times New Roman"/>
          <w:bCs/>
          <w:sz w:val="28"/>
          <w:szCs w:val="28"/>
        </w:rPr>
        <w:t xml:space="preserve">while ONEC submits Northland also played </w:t>
      </w:r>
      <w:r w:rsidR="00FD0690" w:rsidRPr="00F82B8E">
        <w:rPr>
          <w:rFonts w:ascii="Times New Roman" w:hAnsi="Times New Roman" w:cs="Times New Roman"/>
          <w:bCs/>
          <w:sz w:val="28"/>
          <w:szCs w:val="28"/>
        </w:rPr>
        <w:t>a</w:t>
      </w:r>
      <w:r w:rsidR="00A02755" w:rsidRPr="00F82B8E">
        <w:rPr>
          <w:rFonts w:ascii="Times New Roman" w:hAnsi="Times New Roman" w:cs="Times New Roman"/>
          <w:bCs/>
          <w:sz w:val="28"/>
          <w:szCs w:val="28"/>
        </w:rPr>
        <w:t xml:space="preserve">n important role in managing the project in partnership with ONEC. </w:t>
      </w:r>
      <w:r w:rsidR="000B73A0" w:rsidRPr="00F82B8E">
        <w:rPr>
          <w:rFonts w:ascii="Times New Roman" w:hAnsi="Times New Roman" w:cs="Times New Roman"/>
          <w:bCs/>
          <w:sz w:val="28"/>
          <w:szCs w:val="28"/>
        </w:rPr>
        <w:t xml:space="preserve"> </w:t>
      </w:r>
    </w:p>
    <w:p w14:paraId="7DCBFFD8" w14:textId="77777777" w:rsidR="00F23087" w:rsidRPr="00F82B8E" w:rsidRDefault="00F23087" w:rsidP="00F23087">
      <w:pPr>
        <w:pStyle w:val="ListParagraph"/>
        <w:spacing w:after="0" w:line="240" w:lineRule="auto"/>
        <w:ind w:left="0"/>
        <w:contextualSpacing w:val="0"/>
        <w:jc w:val="both"/>
        <w:rPr>
          <w:rFonts w:ascii="Times New Roman" w:hAnsi="Times New Roman" w:cs="Times New Roman"/>
          <w:bCs/>
          <w:sz w:val="28"/>
          <w:szCs w:val="28"/>
        </w:rPr>
      </w:pPr>
    </w:p>
    <w:p w14:paraId="6C55A2AE" w14:textId="1642B952" w:rsidR="00F23087" w:rsidRPr="00F82B8E" w:rsidRDefault="00F23087" w:rsidP="00E47382">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During the </w:t>
      </w:r>
      <w:r w:rsidR="00EC3FB0">
        <w:rPr>
          <w:rFonts w:ascii="Times New Roman" w:hAnsi="Times New Roman" w:cs="Times New Roman"/>
          <w:bCs/>
          <w:sz w:val="28"/>
          <w:szCs w:val="28"/>
        </w:rPr>
        <w:t>performance</w:t>
      </w:r>
      <w:r w:rsidR="00EC3FB0" w:rsidRPr="00F82B8E">
        <w:rPr>
          <w:rFonts w:ascii="Times New Roman" w:hAnsi="Times New Roman" w:cs="Times New Roman"/>
          <w:bCs/>
          <w:sz w:val="28"/>
          <w:szCs w:val="28"/>
        </w:rPr>
        <w:t xml:space="preserve"> </w:t>
      </w:r>
      <w:r w:rsidRPr="00F82B8E">
        <w:rPr>
          <w:rFonts w:ascii="Times New Roman" w:hAnsi="Times New Roman" w:cs="Times New Roman"/>
          <w:bCs/>
          <w:sz w:val="28"/>
          <w:szCs w:val="28"/>
        </w:rPr>
        <w:t xml:space="preserve">of the project, Northland </w:t>
      </w:r>
      <w:r w:rsidR="00681785" w:rsidRPr="00F82B8E">
        <w:rPr>
          <w:rFonts w:ascii="Times New Roman" w:hAnsi="Times New Roman" w:cs="Times New Roman"/>
          <w:bCs/>
          <w:sz w:val="28"/>
          <w:szCs w:val="28"/>
        </w:rPr>
        <w:t xml:space="preserve">invoiced ONEC </w:t>
      </w:r>
      <w:r w:rsidR="008B6CF9" w:rsidRPr="00F82B8E">
        <w:rPr>
          <w:rFonts w:ascii="Times New Roman" w:hAnsi="Times New Roman" w:cs="Times New Roman"/>
          <w:bCs/>
          <w:sz w:val="28"/>
          <w:szCs w:val="28"/>
        </w:rPr>
        <w:t>monthly</w:t>
      </w:r>
      <w:r w:rsidR="00681785" w:rsidRPr="00F82B8E">
        <w:rPr>
          <w:rFonts w:ascii="Times New Roman" w:hAnsi="Times New Roman" w:cs="Times New Roman"/>
          <w:bCs/>
          <w:sz w:val="28"/>
          <w:szCs w:val="28"/>
        </w:rPr>
        <w:t xml:space="preserve">. ONEC made payments to Northland. ONEC claims some of these payments were advances </w:t>
      </w:r>
      <w:r w:rsidR="00FF7BEE" w:rsidRPr="00F82B8E">
        <w:rPr>
          <w:rFonts w:ascii="Times New Roman" w:hAnsi="Times New Roman" w:cs="Times New Roman"/>
          <w:bCs/>
          <w:sz w:val="28"/>
          <w:szCs w:val="28"/>
        </w:rPr>
        <w:t xml:space="preserve">because Northland did not have the necessary funds to </w:t>
      </w:r>
      <w:r w:rsidR="00FD0690" w:rsidRPr="00F82B8E">
        <w:rPr>
          <w:rFonts w:ascii="Times New Roman" w:hAnsi="Times New Roman" w:cs="Times New Roman"/>
          <w:bCs/>
          <w:sz w:val="28"/>
          <w:szCs w:val="28"/>
        </w:rPr>
        <w:t xml:space="preserve">perform </w:t>
      </w:r>
      <w:r w:rsidR="00FF7BEE" w:rsidRPr="00F82B8E">
        <w:rPr>
          <w:rFonts w:ascii="Times New Roman" w:hAnsi="Times New Roman" w:cs="Times New Roman"/>
          <w:bCs/>
          <w:sz w:val="28"/>
          <w:szCs w:val="28"/>
        </w:rPr>
        <w:t xml:space="preserve">the work. </w:t>
      </w:r>
      <w:r w:rsidR="001F518E" w:rsidRPr="00F82B8E">
        <w:rPr>
          <w:rFonts w:ascii="Times New Roman" w:hAnsi="Times New Roman" w:cs="Times New Roman"/>
          <w:bCs/>
          <w:sz w:val="28"/>
          <w:szCs w:val="28"/>
        </w:rPr>
        <w:t xml:space="preserve">ONEC disputes the </w:t>
      </w:r>
      <w:r w:rsidR="001F6674" w:rsidRPr="00F82B8E">
        <w:rPr>
          <w:rFonts w:ascii="Times New Roman" w:hAnsi="Times New Roman" w:cs="Times New Roman"/>
          <w:bCs/>
          <w:sz w:val="28"/>
          <w:szCs w:val="28"/>
        </w:rPr>
        <w:t>accuracy</w:t>
      </w:r>
      <w:r w:rsidR="001F518E" w:rsidRPr="00F82B8E">
        <w:rPr>
          <w:rFonts w:ascii="Times New Roman" w:hAnsi="Times New Roman" w:cs="Times New Roman"/>
          <w:bCs/>
          <w:sz w:val="28"/>
          <w:szCs w:val="28"/>
        </w:rPr>
        <w:t xml:space="preserve"> of Northland’s invoices and claims that they do not comply with the terms of the IPD Contract</w:t>
      </w:r>
      <w:r w:rsidR="00FD0690" w:rsidRPr="00F82B8E">
        <w:rPr>
          <w:rFonts w:ascii="Times New Roman" w:hAnsi="Times New Roman" w:cs="Times New Roman"/>
          <w:bCs/>
          <w:sz w:val="28"/>
          <w:szCs w:val="28"/>
        </w:rPr>
        <w:t xml:space="preserve">. </w:t>
      </w:r>
      <w:r w:rsidR="001F6674" w:rsidRPr="00F82B8E">
        <w:rPr>
          <w:rFonts w:ascii="Times New Roman" w:hAnsi="Times New Roman" w:cs="Times New Roman"/>
          <w:bCs/>
          <w:sz w:val="28"/>
          <w:szCs w:val="28"/>
        </w:rPr>
        <w:t xml:space="preserve">Northland takes the position that ONEC approved the method of invoicing </w:t>
      </w:r>
      <w:r w:rsidR="00202BE4" w:rsidRPr="00F82B8E">
        <w:rPr>
          <w:rFonts w:ascii="Times New Roman" w:hAnsi="Times New Roman" w:cs="Times New Roman"/>
          <w:bCs/>
          <w:sz w:val="28"/>
          <w:szCs w:val="28"/>
        </w:rPr>
        <w:t>and that</w:t>
      </w:r>
      <w:r w:rsidR="007F58E9">
        <w:rPr>
          <w:rFonts w:ascii="Times New Roman" w:hAnsi="Times New Roman" w:cs="Times New Roman"/>
          <w:bCs/>
          <w:sz w:val="28"/>
          <w:szCs w:val="28"/>
        </w:rPr>
        <w:t xml:space="preserve"> further</w:t>
      </w:r>
      <w:r w:rsidR="00202BE4" w:rsidRPr="00F82B8E">
        <w:rPr>
          <w:rFonts w:ascii="Times New Roman" w:hAnsi="Times New Roman" w:cs="Times New Roman"/>
          <w:bCs/>
          <w:sz w:val="28"/>
          <w:szCs w:val="28"/>
        </w:rPr>
        <w:t xml:space="preserve"> payments are due under the IPD Contract. </w:t>
      </w:r>
    </w:p>
    <w:p w14:paraId="13DC7836" w14:textId="77777777" w:rsidR="00F23087" w:rsidRPr="00F82B8E" w:rsidRDefault="00F23087" w:rsidP="00F23087">
      <w:pPr>
        <w:pStyle w:val="ListParagraph"/>
        <w:spacing w:after="0" w:line="240" w:lineRule="auto"/>
        <w:ind w:left="0"/>
        <w:contextualSpacing w:val="0"/>
        <w:jc w:val="both"/>
        <w:rPr>
          <w:rFonts w:ascii="Times New Roman" w:hAnsi="Times New Roman" w:cs="Times New Roman"/>
          <w:bCs/>
          <w:sz w:val="28"/>
          <w:szCs w:val="28"/>
        </w:rPr>
      </w:pPr>
    </w:p>
    <w:p w14:paraId="2665E6FD" w14:textId="63FE60FC" w:rsidR="001C00C7" w:rsidRPr="00F82B8E" w:rsidRDefault="001C00C7" w:rsidP="00E47382">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 September 23, 2022, </w:t>
      </w:r>
      <w:r w:rsidR="00A2189F" w:rsidRPr="00F82B8E">
        <w:rPr>
          <w:rFonts w:ascii="Times New Roman" w:hAnsi="Times New Roman" w:cs="Times New Roman"/>
          <w:bCs/>
          <w:sz w:val="28"/>
          <w:szCs w:val="28"/>
        </w:rPr>
        <w:t xml:space="preserve">in accordance with the IPD Contract, </w:t>
      </w:r>
      <w:r w:rsidRPr="00F82B8E">
        <w:rPr>
          <w:rFonts w:ascii="Times New Roman" w:hAnsi="Times New Roman" w:cs="Times New Roman"/>
          <w:bCs/>
          <w:sz w:val="28"/>
          <w:szCs w:val="28"/>
        </w:rPr>
        <w:t>Northland’s l</w:t>
      </w:r>
      <w:r w:rsidR="00F23087" w:rsidRPr="00F82B8E">
        <w:rPr>
          <w:rFonts w:ascii="Times New Roman" w:hAnsi="Times New Roman" w:cs="Times New Roman"/>
          <w:bCs/>
          <w:sz w:val="28"/>
          <w:szCs w:val="28"/>
        </w:rPr>
        <w:t>awyer sent a Notice of Default to ONEC for the outstanding amount</w:t>
      </w:r>
      <w:r w:rsidR="005E2536" w:rsidRPr="00F82B8E">
        <w:rPr>
          <w:rFonts w:ascii="Times New Roman" w:hAnsi="Times New Roman" w:cs="Times New Roman"/>
          <w:bCs/>
          <w:sz w:val="28"/>
          <w:szCs w:val="28"/>
        </w:rPr>
        <w:t xml:space="preserve"> it claimed</w:t>
      </w:r>
      <w:r w:rsidR="00A2189F" w:rsidRPr="00F82B8E">
        <w:rPr>
          <w:rFonts w:ascii="Times New Roman" w:hAnsi="Times New Roman" w:cs="Times New Roman"/>
          <w:bCs/>
          <w:sz w:val="28"/>
          <w:szCs w:val="28"/>
        </w:rPr>
        <w:t xml:space="preserve"> was owed for the work performed. ONEC did </w:t>
      </w:r>
      <w:r w:rsidR="003B6674" w:rsidRPr="00F82B8E">
        <w:rPr>
          <w:rFonts w:ascii="Times New Roman" w:hAnsi="Times New Roman" w:cs="Times New Roman"/>
          <w:bCs/>
          <w:sz w:val="28"/>
          <w:szCs w:val="28"/>
        </w:rPr>
        <w:t>not make any payments</w:t>
      </w:r>
      <w:r w:rsidR="003D66BB" w:rsidRPr="00F82B8E">
        <w:rPr>
          <w:rFonts w:ascii="Times New Roman" w:hAnsi="Times New Roman" w:cs="Times New Roman"/>
          <w:bCs/>
          <w:sz w:val="28"/>
          <w:szCs w:val="28"/>
        </w:rPr>
        <w:t xml:space="preserve"> to Northland following the receipt of this notice</w:t>
      </w:r>
      <w:r w:rsidR="003B6674" w:rsidRPr="00F82B8E">
        <w:rPr>
          <w:rFonts w:ascii="Times New Roman" w:hAnsi="Times New Roman" w:cs="Times New Roman"/>
          <w:bCs/>
          <w:sz w:val="28"/>
          <w:szCs w:val="28"/>
        </w:rPr>
        <w:t xml:space="preserve">. </w:t>
      </w:r>
    </w:p>
    <w:p w14:paraId="6ED3E61E" w14:textId="77777777" w:rsidR="005870B6" w:rsidRPr="00F82B8E" w:rsidRDefault="005870B6" w:rsidP="005870B6">
      <w:pPr>
        <w:pStyle w:val="ListParagraph"/>
        <w:spacing w:after="0" w:line="240" w:lineRule="auto"/>
        <w:ind w:left="0"/>
        <w:contextualSpacing w:val="0"/>
        <w:jc w:val="both"/>
        <w:rPr>
          <w:rFonts w:ascii="Times New Roman" w:hAnsi="Times New Roman" w:cs="Times New Roman"/>
          <w:bCs/>
          <w:sz w:val="28"/>
          <w:szCs w:val="28"/>
        </w:rPr>
      </w:pPr>
    </w:p>
    <w:p w14:paraId="268992F2" w14:textId="5E881284" w:rsidR="00CE3201" w:rsidRPr="00F82B8E" w:rsidRDefault="00D93102" w:rsidP="003D66BB">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 November 9, 2022, </w:t>
      </w:r>
      <w:r w:rsidR="005870B6" w:rsidRPr="00F82B8E">
        <w:rPr>
          <w:rFonts w:ascii="Times New Roman" w:hAnsi="Times New Roman" w:cs="Times New Roman"/>
          <w:bCs/>
          <w:sz w:val="28"/>
          <w:szCs w:val="28"/>
        </w:rPr>
        <w:t>ONEC directed Northland</w:t>
      </w:r>
      <w:r w:rsidR="00A53266" w:rsidRPr="00F82B8E">
        <w:rPr>
          <w:rFonts w:ascii="Times New Roman" w:hAnsi="Times New Roman" w:cs="Times New Roman"/>
          <w:bCs/>
          <w:sz w:val="28"/>
          <w:szCs w:val="28"/>
        </w:rPr>
        <w:t xml:space="preserve"> to s</w:t>
      </w:r>
      <w:r w:rsidR="004B4441" w:rsidRPr="00F82B8E">
        <w:rPr>
          <w:rFonts w:ascii="Times New Roman" w:hAnsi="Times New Roman" w:cs="Times New Roman"/>
          <w:bCs/>
          <w:sz w:val="28"/>
          <w:szCs w:val="28"/>
        </w:rPr>
        <w:t>top work on the construction site due to a dispute between ONEC and NTE</w:t>
      </w:r>
      <w:r w:rsidR="00E013F3" w:rsidRPr="00F82B8E">
        <w:rPr>
          <w:rFonts w:ascii="Times New Roman" w:hAnsi="Times New Roman" w:cs="Times New Roman"/>
          <w:bCs/>
          <w:sz w:val="28"/>
          <w:szCs w:val="28"/>
        </w:rPr>
        <w:t>. Northland complied with this direction</w:t>
      </w:r>
      <w:r w:rsidR="00826A58" w:rsidRPr="00F82B8E">
        <w:rPr>
          <w:rFonts w:ascii="Times New Roman" w:hAnsi="Times New Roman" w:cs="Times New Roman"/>
          <w:bCs/>
          <w:sz w:val="28"/>
          <w:szCs w:val="28"/>
        </w:rPr>
        <w:t xml:space="preserve"> and never returned to work on site. </w:t>
      </w:r>
    </w:p>
    <w:p w14:paraId="760D0A1C" w14:textId="77777777" w:rsidR="003D66BB" w:rsidRPr="00F82B8E" w:rsidRDefault="003D66BB" w:rsidP="003D66BB">
      <w:pPr>
        <w:pStyle w:val="ListParagraph"/>
        <w:rPr>
          <w:rFonts w:ascii="Times New Roman" w:hAnsi="Times New Roman" w:cs="Times New Roman"/>
          <w:bCs/>
          <w:sz w:val="28"/>
          <w:szCs w:val="28"/>
        </w:rPr>
      </w:pPr>
    </w:p>
    <w:p w14:paraId="6EB4C6BF" w14:textId="4201DB12" w:rsidR="003D66BB" w:rsidRPr="00F82B8E" w:rsidRDefault="00651287" w:rsidP="003D66BB">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 January 14, 2023, Northland </w:t>
      </w:r>
      <w:r w:rsidR="00D9765F" w:rsidRPr="00F82B8E">
        <w:rPr>
          <w:rFonts w:ascii="Times New Roman" w:hAnsi="Times New Roman" w:cs="Times New Roman"/>
          <w:bCs/>
          <w:sz w:val="28"/>
          <w:szCs w:val="28"/>
        </w:rPr>
        <w:t>terminat</w:t>
      </w:r>
      <w:r w:rsidR="00B93DE7" w:rsidRPr="00F82B8E">
        <w:rPr>
          <w:rFonts w:ascii="Times New Roman" w:hAnsi="Times New Roman" w:cs="Times New Roman"/>
          <w:bCs/>
          <w:sz w:val="28"/>
          <w:szCs w:val="28"/>
        </w:rPr>
        <w:t>ed</w:t>
      </w:r>
      <w:r w:rsidR="00D9765F" w:rsidRPr="00F82B8E">
        <w:rPr>
          <w:rFonts w:ascii="Times New Roman" w:hAnsi="Times New Roman" w:cs="Times New Roman"/>
          <w:bCs/>
          <w:sz w:val="28"/>
          <w:szCs w:val="28"/>
        </w:rPr>
        <w:t xml:space="preserve"> the IPD Contract with ONEC for non-payment of the outstanding amounts it claims </w:t>
      </w:r>
      <w:r w:rsidR="00547796" w:rsidRPr="00F82B8E">
        <w:rPr>
          <w:rFonts w:ascii="Times New Roman" w:hAnsi="Times New Roman" w:cs="Times New Roman"/>
          <w:bCs/>
          <w:sz w:val="28"/>
          <w:szCs w:val="28"/>
        </w:rPr>
        <w:t>are</w:t>
      </w:r>
      <w:r w:rsidR="00D9765F" w:rsidRPr="00F82B8E">
        <w:rPr>
          <w:rFonts w:ascii="Times New Roman" w:hAnsi="Times New Roman" w:cs="Times New Roman"/>
          <w:bCs/>
          <w:sz w:val="28"/>
          <w:szCs w:val="28"/>
        </w:rPr>
        <w:t xml:space="preserve"> due. </w:t>
      </w:r>
    </w:p>
    <w:p w14:paraId="7551FB92" w14:textId="77777777" w:rsidR="00837FC0" w:rsidRPr="00F82B8E" w:rsidRDefault="00837FC0" w:rsidP="00837FC0">
      <w:pPr>
        <w:pStyle w:val="ListParagraph"/>
        <w:rPr>
          <w:rFonts w:ascii="Times New Roman" w:hAnsi="Times New Roman" w:cs="Times New Roman"/>
          <w:bCs/>
          <w:sz w:val="28"/>
          <w:szCs w:val="28"/>
        </w:rPr>
      </w:pPr>
    </w:p>
    <w:p w14:paraId="227B755B" w14:textId="7FD24C79" w:rsidR="00837FC0" w:rsidRPr="00156EA7" w:rsidRDefault="00E36A4D" w:rsidP="003D66BB">
      <w:pPr>
        <w:pStyle w:val="ListParagraph"/>
        <w:numPr>
          <w:ilvl w:val="0"/>
          <w:numId w:val="1"/>
        </w:numPr>
        <w:spacing w:after="0" w:line="240" w:lineRule="auto"/>
        <w:contextualSpacing w:val="0"/>
        <w:jc w:val="both"/>
        <w:rPr>
          <w:rFonts w:ascii="Times New Roman" w:hAnsi="Times New Roman" w:cs="Times New Roman"/>
          <w:bCs/>
          <w:sz w:val="28"/>
          <w:szCs w:val="28"/>
        </w:rPr>
      </w:pPr>
      <w:r w:rsidRPr="00156EA7">
        <w:rPr>
          <w:rFonts w:ascii="Times New Roman" w:hAnsi="Times New Roman" w:cs="Times New Roman"/>
          <w:bCs/>
          <w:sz w:val="28"/>
          <w:szCs w:val="28"/>
        </w:rPr>
        <w:t xml:space="preserve">On </w:t>
      </w:r>
      <w:r w:rsidR="002250EA" w:rsidRPr="00156EA7">
        <w:rPr>
          <w:rFonts w:ascii="Times New Roman" w:hAnsi="Times New Roman" w:cs="Times New Roman"/>
          <w:bCs/>
          <w:sz w:val="28"/>
          <w:szCs w:val="28"/>
        </w:rPr>
        <w:t xml:space="preserve">February </w:t>
      </w:r>
      <w:r w:rsidRPr="00156EA7">
        <w:rPr>
          <w:rFonts w:ascii="Times New Roman" w:hAnsi="Times New Roman" w:cs="Times New Roman"/>
          <w:bCs/>
          <w:sz w:val="28"/>
          <w:szCs w:val="28"/>
        </w:rPr>
        <w:t>10, 2023</w:t>
      </w:r>
      <w:r w:rsidR="00C6649D" w:rsidRPr="00156EA7">
        <w:rPr>
          <w:rFonts w:ascii="Times New Roman" w:hAnsi="Times New Roman" w:cs="Times New Roman"/>
          <w:bCs/>
          <w:sz w:val="28"/>
          <w:szCs w:val="28"/>
        </w:rPr>
        <w:t>, NTE</w:t>
      </w:r>
      <w:r w:rsidRPr="00156EA7">
        <w:rPr>
          <w:rFonts w:ascii="Times New Roman" w:hAnsi="Times New Roman" w:cs="Times New Roman"/>
          <w:bCs/>
          <w:sz w:val="28"/>
          <w:szCs w:val="28"/>
        </w:rPr>
        <w:t xml:space="preserve"> sent Northland a </w:t>
      </w:r>
      <w:r w:rsidR="006724B9" w:rsidRPr="00156EA7">
        <w:rPr>
          <w:rFonts w:ascii="Times New Roman" w:hAnsi="Times New Roman" w:cs="Times New Roman"/>
          <w:bCs/>
          <w:sz w:val="28"/>
          <w:szCs w:val="28"/>
        </w:rPr>
        <w:t xml:space="preserve">“Notice to Subcontractors of </w:t>
      </w:r>
      <w:r w:rsidR="00A20189" w:rsidRPr="00156EA7">
        <w:rPr>
          <w:rFonts w:ascii="Times New Roman" w:hAnsi="Times New Roman" w:cs="Times New Roman"/>
          <w:bCs/>
          <w:sz w:val="28"/>
          <w:szCs w:val="28"/>
        </w:rPr>
        <w:t xml:space="preserve">ONEC Construction Inc.” indicating that NTE </w:t>
      </w:r>
      <w:r w:rsidRPr="00156EA7">
        <w:rPr>
          <w:rFonts w:ascii="Times New Roman" w:hAnsi="Times New Roman" w:cs="Times New Roman"/>
          <w:bCs/>
          <w:sz w:val="28"/>
          <w:szCs w:val="28"/>
        </w:rPr>
        <w:t>had</w:t>
      </w:r>
      <w:r w:rsidR="00C6649D" w:rsidRPr="00156EA7">
        <w:rPr>
          <w:rFonts w:ascii="Times New Roman" w:hAnsi="Times New Roman" w:cs="Times New Roman"/>
          <w:bCs/>
          <w:sz w:val="28"/>
          <w:szCs w:val="28"/>
        </w:rPr>
        <w:t xml:space="preserve"> terminated </w:t>
      </w:r>
      <w:r w:rsidR="00156EA7" w:rsidRPr="00156EA7">
        <w:rPr>
          <w:rFonts w:ascii="Times New Roman" w:hAnsi="Times New Roman" w:cs="Times New Roman"/>
          <w:bCs/>
          <w:sz w:val="28"/>
          <w:szCs w:val="28"/>
        </w:rPr>
        <w:t xml:space="preserve">its contract with ONEC and </w:t>
      </w:r>
      <w:r w:rsidR="00156EA7">
        <w:rPr>
          <w:rFonts w:ascii="Times New Roman" w:hAnsi="Times New Roman" w:cs="Times New Roman"/>
          <w:bCs/>
          <w:sz w:val="28"/>
          <w:szCs w:val="28"/>
        </w:rPr>
        <w:t xml:space="preserve">that any </w:t>
      </w:r>
      <w:r w:rsidR="000630C8">
        <w:rPr>
          <w:rFonts w:ascii="Times New Roman" w:hAnsi="Times New Roman" w:cs="Times New Roman"/>
          <w:bCs/>
          <w:sz w:val="28"/>
          <w:szCs w:val="28"/>
        </w:rPr>
        <w:t>subcontractor who had performed work for the Inuvik High Point Wind Project may be eligible to claim under the Bond and enclosed a copy of the Bond</w:t>
      </w:r>
      <w:r w:rsidR="00C6649D" w:rsidRPr="00156EA7">
        <w:rPr>
          <w:rFonts w:ascii="Times New Roman" w:hAnsi="Times New Roman" w:cs="Times New Roman"/>
          <w:bCs/>
          <w:sz w:val="28"/>
          <w:szCs w:val="28"/>
        </w:rPr>
        <w:t>.</w:t>
      </w:r>
    </w:p>
    <w:p w14:paraId="061DB54F" w14:textId="77777777" w:rsidR="00D9765F" w:rsidRPr="00F82B8E" w:rsidRDefault="00D9765F" w:rsidP="00D9765F">
      <w:pPr>
        <w:pStyle w:val="ListParagraph"/>
        <w:spacing w:after="0" w:line="240" w:lineRule="auto"/>
        <w:ind w:left="0"/>
        <w:contextualSpacing w:val="0"/>
        <w:jc w:val="both"/>
        <w:rPr>
          <w:rFonts w:ascii="Times New Roman" w:hAnsi="Times New Roman" w:cs="Times New Roman"/>
          <w:bCs/>
          <w:sz w:val="28"/>
          <w:szCs w:val="28"/>
        </w:rPr>
      </w:pPr>
    </w:p>
    <w:p w14:paraId="384E1144" w14:textId="3C5CEF8B" w:rsidR="00E47382" w:rsidRDefault="001C2FF8" w:rsidP="001C2FF8">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lastRenderedPageBreak/>
        <w:t xml:space="preserve">On March 3, 2023, Northland submitted a </w:t>
      </w:r>
      <w:r w:rsidR="00547796" w:rsidRPr="00F82B8E">
        <w:rPr>
          <w:rFonts w:ascii="Times New Roman" w:hAnsi="Times New Roman" w:cs="Times New Roman"/>
          <w:bCs/>
          <w:sz w:val="28"/>
          <w:szCs w:val="28"/>
        </w:rPr>
        <w:t>notice of claim to Liberty</w:t>
      </w:r>
      <w:r w:rsidR="008E67D3" w:rsidRPr="00F82B8E">
        <w:rPr>
          <w:rFonts w:ascii="Times New Roman" w:hAnsi="Times New Roman" w:cs="Times New Roman"/>
          <w:bCs/>
          <w:sz w:val="28"/>
          <w:szCs w:val="28"/>
        </w:rPr>
        <w:t>, the surety</w:t>
      </w:r>
      <w:r w:rsidR="00547796" w:rsidRPr="00F82B8E">
        <w:rPr>
          <w:rFonts w:ascii="Times New Roman" w:hAnsi="Times New Roman" w:cs="Times New Roman"/>
          <w:bCs/>
          <w:sz w:val="28"/>
          <w:szCs w:val="28"/>
        </w:rPr>
        <w:t xml:space="preserve"> under the Bond</w:t>
      </w:r>
      <w:r w:rsidR="008E67D3" w:rsidRPr="00F82B8E">
        <w:rPr>
          <w:rFonts w:ascii="Times New Roman" w:hAnsi="Times New Roman" w:cs="Times New Roman"/>
          <w:bCs/>
          <w:sz w:val="28"/>
          <w:szCs w:val="28"/>
        </w:rPr>
        <w:t>,</w:t>
      </w:r>
      <w:r w:rsidR="00547796" w:rsidRPr="00F82B8E">
        <w:rPr>
          <w:rFonts w:ascii="Times New Roman" w:hAnsi="Times New Roman" w:cs="Times New Roman"/>
          <w:bCs/>
          <w:sz w:val="28"/>
          <w:szCs w:val="28"/>
        </w:rPr>
        <w:t xml:space="preserve"> for the payment of the outstanding amounts it claim</w:t>
      </w:r>
      <w:r w:rsidR="006F69B0">
        <w:rPr>
          <w:rFonts w:ascii="Times New Roman" w:hAnsi="Times New Roman" w:cs="Times New Roman"/>
          <w:bCs/>
          <w:sz w:val="28"/>
          <w:szCs w:val="28"/>
        </w:rPr>
        <w:t>ed</w:t>
      </w:r>
      <w:r w:rsidR="00547796" w:rsidRPr="00F82B8E">
        <w:rPr>
          <w:rFonts w:ascii="Times New Roman" w:hAnsi="Times New Roman" w:cs="Times New Roman"/>
          <w:bCs/>
          <w:sz w:val="28"/>
          <w:szCs w:val="28"/>
        </w:rPr>
        <w:t xml:space="preserve"> ONEC owe</w:t>
      </w:r>
      <w:r w:rsidR="006F69B0">
        <w:rPr>
          <w:rFonts w:ascii="Times New Roman" w:hAnsi="Times New Roman" w:cs="Times New Roman"/>
          <w:bCs/>
          <w:sz w:val="28"/>
          <w:szCs w:val="28"/>
        </w:rPr>
        <w:t>d</w:t>
      </w:r>
      <w:r w:rsidR="006B4862" w:rsidRPr="00F82B8E">
        <w:rPr>
          <w:rFonts w:ascii="Times New Roman" w:hAnsi="Times New Roman" w:cs="Times New Roman"/>
          <w:bCs/>
          <w:sz w:val="28"/>
          <w:szCs w:val="28"/>
        </w:rPr>
        <w:t xml:space="preserve"> Northland for </w:t>
      </w:r>
      <w:r w:rsidR="005B721A" w:rsidRPr="00F82B8E">
        <w:rPr>
          <w:rFonts w:ascii="Times New Roman" w:hAnsi="Times New Roman" w:cs="Times New Roman"/>
          <w:bCs/>
          <w:sz w:val="28"/>
          <w:szCs w:val="28"/>
        </w:rPr>
        <w:t>labour and materials used or reasonably required for the performance of the Prime Contract</w:t>
      </w:r>
      <w:r w:rsidR="006B4862" w:rsidRPr="00F82B8E">
        <w:rPr>
          <w:rFonts w:ascii="Times New Roman" w:hAnsi="Times New Roman" w:cs="Times New Roman"/>
          <w:bCs/>
          <w:sz w:val="28"/>
          <w:szCs w:val="28"/>
        </w:rPr>
        <w:t xml:space="preserve">. </w:t>
      </w:r>
      <w:r w:rsidR="005B721A" w:rsidRPr="00F82B8E">
        <w:rPr>
          <w:rFonts w:ascii="Times New Roman" w:hAnsi="Times New Roman" w:cs="Times New Roman"/>
          <w:bCs/>
          <w:sz w:val="28"/>
          <w:szCs w:val="28"/>
        </w:rPr>
        <w:t>Liberty denied the claim</w:t>
      </w:r>
      <w:r w:rsidR="001F6BAF" w:rsidRPr="00F82B8E">
        <w:rPr>
          <w:rFonts w:ascii="Times New Roman" w:hAnsi="Times New Roman" w:cs="Times New Roman"/>
          <w:bCs/>
          <w:sz w:val="28"/>
          <w:szCs w:val="28"/>
        </w:rPr>
        <w:t xml:space="preserve"> asserting that </w:t>
      </w:r>
      <w:r w:rsidR="00577521" w:rsidRPr="00F82B8E">
        <w:rPr>
          <w:rFonts w:ascii="Times New Roman" w:hAnsi="Times New Roman" w:cs="Times New Roman"/>
          <w:bCs/>
          <w:sz w:val="28"/>
          <w:szCs w:val="28"/>
        </w:rPr>
        <w:t xml:space="preserve">Northland does not fall into the definition of </w:t>
      </w:r>
      <w:r w:rsidR="000169E6">
        <w:rPr>
          <w:rFonts w:ascii="Times New Roman" w:hAnsi="Times New Roman" w:cs="Times New Roman"/>
          <w:bCs/>
          <w:sz w:val="28"/>
          <w:szCs w:val="28"/>
        </w:rPr>
        <w:t xml:space="preserve">a </w:t>
      </w:r>
      <w:r w:rsidR="001811FB">
        <w:rPr>
          <w:rFonts w:ascii="Times New Roman" w:hAnsi="Times New Roman" w:cs="Times New Roman"/>
          <w:bCs/>
          <w:sz w:val="28"/>
          <w:szCs w:val="28"/>
        </w:rPr>
        <w:t>“</w:t>
      </w:r>
      <w:r w:rsidR="00577521" w:rsidRPr="00F82B8E">
        <w:rPr>
          <w:rFonts w:ascii="Times New Roman" w:hAnsi="Times New Roman" w:cs="Times New Roman"/>
          <w:bCs/>
          <w:sz w:val="28"/>
          <w:szCs w:val="28"/>
        </w:rPr>
        <w:t>claimant</w:t>
      </w:r>
      <w:r w:rsidR="001811FB">
        <w:rPr>
          <w:rFonts w:ascii="Times New Roman" w:hAnsi="Times New Roman" w:cs="Times New Roman"/>
          <w:bCs/>
          <w:sz w:val="28"/>
          <w:szCs w:val="28"/>
        </w:rPr>
        <w:t>”</w:t>
      </w:r>
      <w:r w:rsidR="00577521" w:rsidRPr="00F82B8E">
        <w:rPr>
          <w:rFonts w:ascii="Times New Roman" w:hAnsi="Times New Roman" w:cs="Times New Roman"/>
          <w:bCs/>
          <w:sz w:val="28"/>
          <w:szCs w:val="28"/>
        </w:rPr>
        <w:t xml:space="preserve"> under the Bond. </w:t>
      </w:r>
    </w:p>
    <w:p w14:paraId="7D5DC393" w14:textId="77777777" w:rsidR="0072149D" w:rsidRPr="0072149D" w:rsidRDefault="0072149D" w:rsidP="0072149D">
      <w:pPr>
        <w:pStyle w:val="ListParagraph"/>
        <w:rPr>
          <w:rFonts w:ascii="Times New Roman" w:hAnsi="Times New Roman" w:cs="Times New Roman"/>
          <w:bCs/>
          <w:sz w:val="28"/>
          <w:szCs w:val="28"/>
        </w:rPr>
      </w:pPr>
    </w:p>
    <w:p w14:paraId="629B9E7E" w14:textId="65A7D729" w:rsidR="00F16278" w:rsidRPr="00F82B8E" w:rsidRDefault="00577521" w:rsidP="001C2FF8">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 </w:t>
      </w:r>
      <w:r w:rsidR="00873154" w:rsidRPr="00F82B8E">
        <w:rPr>
          <w:rFonts w:ascii="Times New Roman" w:hAnsi="Times New Roman" w:cs="Times New Roman"/>
          <w:bCs/>
          <w:sz w:val="28"/>
          <w:szCs w:val="28"/>
        </w:rPr>
        <w:t>April 27, 2023, ONEC filed a Statement of Claim against NTE and Northland</w:t>
      </w:r>
      <w:r w:rsidR="00C459B2" w:rsidRPr="00F82B8E">
        <w:rPr>
          <w:rFonts w:ascii="Times New Roman" w:hAnsi="Times New Roman" w:cs="Times New Roman"/>
          <w:bCs/>
          <w:sz w:val="28"/>
          <w:szCs w:val="28"/>
        </w:rPr>
        <w:t xml:space="preserve">. </w:t>
      </w:r>
      <w:r w:rsidR="00735583" w:rsidRPr="00F82B8E">
        <w:rPr>
          <w:rFonts w:ascii="Times New Roman" w:hAnsi="Times New Roman" w:cs="Times New Roman"/>
          <w:bCs/>
          <w:sz w:val="28"/>
          <w:szCs w:val="28"/>
        </w:rPr>
        <w:t xml:space="preserve">ONEC alleges that </w:t>
      </w:r>
      <w:r w:rsidR="00213A36" w:rsidRPr="00F82B8E">
        <w:rPr>
          <w:rFonts w:ascii="Times New Roman" w:hAnsi="Times New Roman" w:cs="Times New Roman"/>
          <w:bCs/>
          <w:sz w:val="28"/>
          <w:szCs w:val="28"/>
        </w:rPr>
        <w:t>Northland</w:t>
      </w:r>
      <w:r w:rsidR="00F16278" w:rsidRPr="00F82B8E">
        <w:rPr>
          <w:rFonts w:ascii="Times New Roman" w:hAnsi="Times New Roman" w:cs="Times New Roman"/>
          <w:bCs/>
          <w:sz w:val="28"/>
          <w:szCs w:val="28"/>
        </w:rPr>
        <w:t>:</w:t>
      </w:r>
    </w:p>
    <w:p w14:paraId="071C2D9B" w14:textId="77777777" w:rsidR="00F16278" w:rsidRPr="00F82B8E" w:rsidRDefault="00F16278" w:rsidP="00F16278">
      <w:pPr>
        <w:pStyle w:val="ListParagraph"/>
        <w:rPr>
          <w:rFonts w:ascii="Times New Roman" w:hAnsi="Times New Roman" w:cs="Times New Roman"/>
          <w:bCs/>
          <w:sz w:val="28"/>
          <w:szCs w:val="28"/>
        </w:rPr>
      </w:pPr>
    </w:p>
    <w:p w14:paraId="097519BC" w14:textId="37EB4A48" w:rsidR="00577521" w:rsidRPr="00356CD8" w:rsidRDefault="000B2736" w:rsidP="00F16278">
      <w:pPr>
        <w:pStyle w:val="ListParagraph"/>
        <w:numPr>
          <w:ilvl w:val="1"/>
          <w:numId w:val="1"/>
        </w:numPr>
        <w:spacing w:after="0" w:line="240" w:lineRule="auto"/>
        <w:contextualSpacing w:val="0"/>
        <w:jc w:val="both"/>
        <w:rPr>
          <w:rFonts w:ascii="Times New Roman" w:hAnsi="Times New Roman" w:cs="Times New Roman"/>
          <w:bCs/>
          <w:sz w:val="28"/>
          <w:szCs w:val="28"/>
        </w:rPr>
      </w:pPr>
      <w:r w:rsidRPr="00356CD8">
        <w:rPr>
          <w:rFonts w:ascii="Times New Roman" w:hAnsi="Times New Roman" w:cs="Times New Roman"/>
          <w:bCs/>
          <w:sz w:val="28"/>
          <w:szCs w:val="28"/>
        </w:rPr>
        <w:t>induced NTE and ONEC’s subcontractors to breach the Prime Contract</w:t>
      </w:r>
      <w:r w:rsidR="003B65A3" w:rsidRPr="00356CD8">
        <w:rPr>
          <w:rFonts w:ascii="Times New Roman" w:hAnsi="Times New Roman" w:cs="Times New Roman"/>
          <w:bCs/>
          <w:sz w:val="28"/>
          <w:szCs w:val="28"/>
        </w:rPr>
        <w:t xml:space="preserve"> and subcontracts</w:t>
      </w:r>
      <w:r w:rsidR="00735583" w:rsidRPr="00356CD8">
        <w:rPr>
          <w:rFonts w:ascii="Times New Roman" w:hAnsi="Times New Roman" w:cs="Times New Roman"/>
          <w:bCs/>
          <w:sz w:val="28"/>
          <w:szCs w:val="28"/>
        </w:rPr>
        <w:t>,</w:t>
      </w:r>
    </w:p>
    <w:p w14:paraId="60AEC27A" w14:textId="2499AF67" w:rsidR="00F16278" w:rsidRPr="00356CD8" w:rsidRDefault="00C82E6A" w:rsidP="00F16278">
      <w:pPr>
        <w:pStyle w:val="ListParagraph"/>
        <w:numPr>
          <w:ilvl w:val="1"/>
          <w:numId w:val="1"/>
        </w:numPr>
        <w:spacing w:after="0" w:line="240" w:lineRule="auto"/>
        <w:contextualSpacing w:val="0"/>
        <w:jc w:val="both"/>
        <w:rPr>
          <w:rFonts w:ascii="Times New Roman" w:hAnsi="Times New Roman" w:cs="Times New Roman"/>
          <w:bCs/>
          <w:sz w:val="28"/>
          <w:szCs w:val="28"/>
        </w:rPr>
      </w:pPr>
      <w:r w:rsidRPr="00356CD8">
        <w:rPr>
          <w:rFonts w:ascii="Times New Roman" w:hAnsi="Times New Roman" w:cs="Times New Roman"/>
          <w:bCs/>
          <w:sz w:val="28"/>
          <w:szCs w:val="28"/>
        </w:rPr>
        <w:t xml:space="preserve">in committing the inducements, </w:t>
      </w:r>
      <w:r w:rsidR="00735583" w:rsidRPr="00356CD8">
        <w:rPr>
          <w:rFonts w:ascii="Times New Roman" w:hAnsi="Times New Roman" w:cs="Times New Roman"/>
          <w:bCs/>
          <w:sz w:val="28"/>
          <w:szCs w:val="28"/>
        </w:rPr>
        <w:t>breached the terms of the IPD Contract</w:t>
      </w:r>
      <w:r w:rsidR="00D51DAA" w:rsidRPr="00356CD8">
        <w:rPr>
          <w:rFonts w:ascii="Times New Roman" w:hAnsi="Times New Roman" w:cs="Times New Roman"/>
          <w:bCs/>
          <w:sz w:val="28"/>
          <w:szCs w:val="28"/>
        </w:rPr>
        <w:t>,</w:t>
      </w:r>
    </w:p>
    <w:p w14:paraId="5138D221" w14:textId="457FAED3" w:rsidR="00D51DAA" w:rsidRPr="00356CD8" w:rsidRDefault="00D51DAA" w:rsidP="00F16278">
      <w:pPr>
        <w:pStyle w:val="ListParagraph"/>
        <w:numPr>
          <w:ilvl w:val="1"/>
          <w:numId w:val="1"/>
        </w:numPr>
        <w:spacing w:after="0" w:line="240" w:lineRule="auto"/>
        <w:contextualSpacing w:val="0"/>
        <w:jc w:val="both"/>
        <w:rPr>
          <w:rFonts w:ascii="Times New Roman" w:hAnsi="Times New Roman" w:cs="Times New Roman"/>
          <w:bCs/>
          <w:sz w:val="28"/>
          <w:szCs w:val="28"/>
        </w:rPr>
      </w:pPr>
      <w:r w:rsidRPr="00356CD8">
        <w:rPr>
          <w:rFonts w:ascii="Times New Roman" w:hAnsi="Times New Roman" w:cs="Times New Roman"/>
          <w:bCs/>
          <w:sz w:val="28"/>
          <w:szCs w:val="28"/>
        </w:rPr>
        <w:t>caused damage to equipment belonging to ONEC, and</w:t>
      </w:r>
    </w:p>
    <w:p w14:paraId="38A22268" w14:textId="1D71C3B1" w:rsidR="00D51DAA" w:rsidRPr="00356CD8" w:rsidRDefault="00196F1C" w:rsidP="00F16278">
      <w:pPr>
        <w:pStyle w:val="ListParagraph"/>
        <w:numPr>
          <w:ilvl w:val="1"/>
          <w:numId w:val="1"/>
        </w:numPr>
        <w:spacing w:after="0" w:line="240" w:lineRule="auto"/>
        <w:contextualSpacing w:val="0"/>
        <w:jc w:val="both"/>
        <w:rPr>
          <w:rFonts w:ascii="Times New Roman" w:hAnsi="Times New Roman" w:cs="Times New Roman"/>
          <w:bCs/>
          <w:sz w:val="28"/>
          <w:szCs w:val="28"/>
        </w:rPr>
      </w:pPr>
      <w:r w:rsidRPr="00356CD8">
        <w:rPr>
          <w:rFonts w:ascii="Times New Roman" w:hAnsi="Times New Roman" w:cs="Times New Roman"/>
          <w:bCs/>
          <w:sz w:val="28"/>
          <w:szCs w:val="28"/>
        </w:rPr>
        <w:t>continued to use fuel provided by third parties under contract with ONEC</w:t>
      </w:r>
      <w:r w:rsidR="00940097" w:rsidRPr="00356CD8">
        <w:rPr>
          <w:rFonts w:ascii="Times New Roman" w:hAnsi="Times New Roman" w:cs="Times New Roman"/>
          <w:bCs/>
          <w:sz w:val="28"/>
          <w:szCs w:val="28"/>
        </w:rPr>
        <w:t xml:space="preserve"> after the termination of the IPD Contract. </w:t>
      </w:r>
    </w:p>
    <w:p w14:paraId="79EEBCF1" w14:textId="77777777" w:rsidR="00940097" w:rsidRPr="00F82B8E" w:rsidRDefault="00940097" w:rsidP="00940097">
      <w:pPr>
        <w:pStyle w:val="ListParagraph"/>
        <w:spacing w:after="0" w:line="240" w:lineRule="auto"/>
        <w:ind w:left="0"/>
        <w:contextualSpacing w:val="0"/>
        <w:jc w:val="both"/>
        <w:rPr>
          <w:rFonts w:ascii="Times New Roman" w:hAnsi="Times New Roman" w:cs="Times New Roman"/>
          <w:bCs/>
          <w:sz w:val="28"/>
          <w:szCs w:val="28"/>
        </w:rPr>
      </w:pPr>
    </w:p>
    <w:p w14:paraId="6293FAB0" w14:textId="7769C5EF" w:rsidR="00940097" w:rsidRPr="008450E5" w:rsidRDefault="00DD5441" w:rsidP="00940097">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 September 21, 2023, Northland filed a Statement of Defence and Counterclaim. </w:t>
      </w:r>
      <w:r w:rsidR="000B64E7">
        <w:rPr>
          <w:rFonts w:ascii="Times New Roman" w:hAnsi="Times New Roman" w:cs="Times New Roman"/>
          <w:bCs/>
          <w:sz w:val="28"/>
          <w:szCs w:val="28"/>
        </w:rPr>
        <w:t xml:space="preserve">The </w:t>
      </w:r>
      <w:r w:rsidR="00B32EC6" w:rsidRPr="00B32EC6">
        <w:rPr>
          <w:rFonts w:ascii="Times New Roman" w:hAnsi="Times New Roman" w:cs="Times New Roman"/>
          <w:bCs/>
          <w:sz w:val="28"/>
          <w:szCs w:val="28"/>
        </w:rPr>
        <w:t>c</w:t>
      </w:r>
      <w:r w:rsidR="000B64E7" w:rsidRPr="00B32EC6">
        <w:rPr>
          <w:rFonts w:ascii="Times New Roman" w:hAnsi="Times New Roman" w:cs="Times New Roman"/>
          <w:bCs/>
          <w:sz w:val="28"/>
          <w:szCs w:val="28"/>
        </w:rPr>
        <w:t xml:space="preserve">ounterclaim </w:t>
      </w:r>
      <w:r w:rsidR="009C7FD4" w:rsidRPr="00B32EC6">
        <w:rPr>
          <w:rFonts w:ascii="Times New Roman" w:hAnsi="Times New Roman" w:cs="Times New Roman"/>
          <w:bCs/>
          <w:sz w:val="28"/>
          <w:szCs w:val="28"/>
        </w:rPr>
        <w:t>alleges</w:t>
      </w:r>
      <w:r w:rsidR="009C7FD4" w:rsidRPr="00F82B8E">
        <w:rPr>
          <w:rFonts w:ascii="Times New Roman" w:hAnsi="Times New Roman" w:cs="Times New Roman"/>
          <w:bCs/>
          <w:sz w:val="28"/>
          <w:szCs w:val="28"/>
        </w:rPr>
        <w:t xml:space="preserve"> ONEC breached the IPD Contract </w:t>
      </w:r>
      <w:r w:rsidR="00482788" w:rsidRPr="00F82B8E">
        <w:rPr>
          <w:rFonts w:ascii="Times New Roman" w:hAnsi="Times New Roman" w:cs="Times New Roman"/>
          <w:bCs/>
          <w:sz w:val="28"/>
          <w:szCs w:val="28"/>
        </w:rPr>
        <w:t xml:space="preserve">by </w:t>
      </w:r>
      <w:r w:rsidR="00482788" w:rsidRPr="008450E5">
        <w:rPr>
          <w:rFonts w:ascii="Times New Roman" w:hAnsi="Times New Roman" w:cs="Times New Roman"/>
          <w:bCs/>
          <w:sz w:val="28"/>
          <w:szCs w:val="28"/>
        </w:rPr>
        <w:t xml:space="preserve">failing to </w:t>
      </w:r>
      <w:r w:rsidR="00B06C61" w:rsidRPr="008450E5">
        <w:rPr>
          <w:rFonts w:ascii="Times New Roman" w:hAnsi="Times New Roman" w:cs="Times New Roman"/>
          <w:bCs/>
          <w:sz w:val="28"/>
          <w:szCs w:val="28"/>
        </w:rPr>
        <w:t>pay the outstanding invoices</w:t>
      </w:r>
      <w:r w:rsidR="00912FDD" w:rsidRPr="008450E5">
        <w:rPr>
          <w:rFonts w:ascii="Times New Roman" w:hAnsi="Times New Roman" w:cs="Times New Roman"/>
          <w:bCs/>
          <w:sz w:val="28"/>
          <w:szCs w:val="28"/>
        </w:rPr>
        <w:t xml:space="preserve"> and stand-by charges </w:t>
      </w:r>
      <w:r w:rsidR="00787D6B" w:rsidRPr="008450E5">
        <w:rPr>
          <w:rFonts w:ascii="Times New Roman" w:hAnsi="Times New Roman" w:cs="Times New Roman"/>
          <w:bCs/>
          <w:sz w:val="28"/>
          <w:szCs w:val="28"/>
        </w:rPr>
        <w:t>incurred when</w:t>
      </w:r>
      <w:r w:rsidR="00912FDD" w:rsidRPr="008450E5">
        <w:rPr>
          <w:rFonts w:ascii="Times New Roman" w:hAnsi="Times New Roman" w:cs="Times New Roman"/>
          <w:bCs/>
          <w:sz w:val="28"/>
          <w:szCs w:val="28"/>
        </w:rPr>
        <w:t xml:space="preserve"> ONEC directed Northland to stop work</w:t>
      </w:r>
      <w:r w:rsidR="005844F1" w:rsidRPr="008450E5">
        <w:rPr>
          <w:rFonts w:ascii="Times New Roman" w:hAnsi="Times New Roman" w:cs="Times New Roman"/>
          <w:bCs/>
          <w:sz w:val="28"/>
          <w:szCs w:val="28"/>
        </w:rPr>
        <w:t xml:space="preserve">. It </w:t>
      </w:r>
      <w:r w:rsidR="00A62983" w:rsidRPr="008450E5">
        <w:rPr>
          <w:rFonts w:ascii="Times New Roman" w:hAnsi="Times New Roman" w:cs="Times New Roman"/>
          <w:bCs/>
          <w:sz w:val="28"/>
          <w:szCs w:val="28"/>
        </w:rPr>
        <w:t>seeks contractual damages</w:t>
      </w:r>
      <w:r w:rsidR="00D202B3">
        <w:rPr>
          <w:rFonts w:ascii="Times New Roman" w:hAnsi="Times New Roman" w:cs="Times New Roman"/>
          <w:bCs/>
          <w:sz w:val="28"/>
          <w:szCs w:val="28"/>
        </w:rPr>
        <w:t xml:space="preserve"> for this breach</w:t>
      </w:r>
      <w:r w:rsidR="00A62983" w:rsidRPr="008450E5">
        <w:rPr>
          <w:rFonts w:ascii="Times New Roman" w:hAnsi="Times New Roman" w:cs="Times New Roman"/>
          <w:bCs/>
          <w:sz w:val="28"/>
          <w:szCs w:val="28"/>
        </w:rPr>
        <w:t xml:space="preserve">. Northland also </w:t>
      </w:r>
      <w:r w:rsidR="00577B78" w:rsidRPr="008450E5">
        <w:rPr>
          <w:rFonts w:ascii="Times New Roman" w:hAnsi="Times New Roman" w:cs="Times New Roman"/>
          <w:bCs/>
          <w:sz w:val="28"/>
          <w:szCs w:val="28"/>
        </w:rPr>
        <w:t>argues</w:t>
      </w:r>
      <w:r w:rsidR="00A62983" w:rsidRPr="008450E5">
        <w:rPr>
          <w:rFonts w:ascii="Times New Roman" w:hAnsi="Times New Roman" w:cs="Times New Roman"/>
          <w:bCs/>
          <w:sz w:val="28"/>
          <w:szCs w:val="28"/>
        </w:rPr>
        <w:t xml:space="preserve"> that it </w:t>
      </w:r>
      <w:r w:rsidR="00F81FAF" w:rsidRPr="008450E5">
        <w:rPr>
          <w:rFonts w:ascii="Times New Roman" w:hAnsi="Times New Roman" w:cs="Times New Roman"/>
          <w:bCs/>
          <w:sz w:val="28"/>
          <w:szCs w:val="28"/>
        </w:rPr>
        <w:t xml:space="preserve">squarely falls within the definition of </w:t>
      </w:r>
      <w:r w:rsidR="00A62983" w:rsidRPr="008450E5">
        <w:rPr>
          <w:rFonts w:ascii="Times New Roman" w:hAnsi="Times New Roman" w:cs="Times New Roman"/>
          <w:bCs/>
          <w:sz w:val="28"/>
          <w:szCs w:val="28"/>
        </w:rPr>
        <w:t xml:space="preserve">claimant under the Bond and that Liberty is liable for the amount owed by ONEC. </w:t>
      </w:r>
      <w:r w:rsidR="00577B78" w:rsidRPr="008450E5">
        <w:rPr>
          <w:rFonts w:ascii="Times New Roman" w:hAnsi="Times New Roman" w:cs="Times New Roman"/>
          <w:bCs/>
          <w:sz w:val="28"/>
          <w:szCs w:val="28"/>
        </w:rPr>
        <w:t xml:space="preserve">In the alternative, Northland </w:t>
      </w:r>
      <w:r w:rsidR="00C00733" w:rsidRPr="008450E5">
        <w:rPr>
          <w:rFonts w:ascii="Times New Roman" w:hAnsi="Times New Roman" w:cs="Times New Roman"/>
          <w:bCs/>
          <w:sz w:val="28"/>
          <w:szCs w:val="28"/>
        </w:rPr>
        <w:t>claims</w:t>
      </w:r>
      <w:r w:rsidR="00577B78" w:rsidRPr="008450E5">
        <w:rPr>
          <w:rFonts w:ascii="Times New Roman" w:hAnsi="Times New Roman" w:cs="Times New Roman"/>
          <w:bCs/>
          <w:sz w:val="28"/>
          <w:szCs w:val="28"/>
        </w:rPr>
        <w:t xml:space="preserve"> that </w:t>
      </w:r>
      <w:r w:rsidR="00426CB6">
        <w:rPr>
          <w:rFonts w:ascii="Times New Roman" w:hAnsi="Times New Roman" w:cs="Times New Roman"/>
          <w:bCs/>
          <w:sz w:val="28"/>
          <w:szCs w:val="28"/>
        </w:rPr>
        <w:t xml:space="preserve">the Defendants by Counterclaim, including </w:t>
      </w:r>
      <w:r w:rsidR="00577B78" w:rsidRPr="008450E5">
        <w:rPr>
          <w:rFonts w:ascii="Times New Roman" w:hAnsi="Times New Roman" w:cs="Times New Roman"/>
          <w:bCs/>
          <w:sz w:val="28"/>
          <w:szCs w:val="28"/>
        </w:rPr>
        <w:t>NTE</w:t>
      </w:r>
      <w:r w:rsidR="00426CB6">
        <w:rPr>
          <w:rFonts w:ascii="Times New Roman" w:hAnsi="Times New Roman" w:cs="Times New Roman"/>
          <w:bCs/>
          <w:sz w:val="28"/>
          <w:szCs w:val="28"/>
        </w:rPr>
        <w:t>,</w:t>
      </w:r>
      <w:r w:rsidR="00EE05A9" w:rsidRPr="008450E5">
        <w:rPr>
          <w:rFonts w:ascii="Times New Roman" w:hAnsi="Times New Roman" w:cs="Times New Roman"/>
          <w:bCs/>
          <w:sz w:val="28"/>
          <w:szCs w:val="28"/>
        </w:rPr>
        <w:t xml:space="preserve"> </w:t>
      </w:r>
      <w:r w:rsidR="00426CB6">
        <w:rPr>
          <w:rFonts w:ascii="Times New Roman" w:hAnsi="Times New Roman" w:cs="Times New Roman"/>
          <w:bCs/>
          <w:sz w:val="28"/>
          <w:szCs w:val="28"/>
        </w:rPr>
        <w:t>are</w:t>
      </w:r>
      <w:r w:rsidR="00C00733" w:rsidRPr="008450E5">
        <w:rPr>
          <w:rFonts w:ascii="Times New Roman" w:hAnsi="Times New Roman" w:cs="Times New Roman"/>
          <w:bCs/>
          <w:sz w:val="28"/>
          <w:szCs w:val="28"/>
        </w:rPr>
        <w:t xml:space="preserve"> liable for unjust enrichment. </w:t>
      </w:r>
    </w:p>
    <w:p w14:paraId="7FE0D02C" w14:textId="77777777" w:rsidR="00DD5441" w:rsidRPr="008450E5" w:rsidRDefault="00DD5441" w:rsidP="00DD5441">
      <w:pPr>
        <w:pStyle w:val="ListParagraph"/>
        <w:spacing w:after="0" w:line="240" w:lineRule="auto"/>
        <w:ind w:left="0"/>
        <w:contextualSpacing w:val="0"/>
        <w:jc w:val="both"/>
        <w:rPr>
          <w:rFonts w:ascii="Times New Roman" w:hAnsi="Times New Roman" w:cs="Times New Roman"/>
          <w:bCs/>
          <w:sz w:val="28"/>
          <w:szCs w:val="28"/>
        </w:rPr>
      </w:pPr>
    </w:p>
    <w:p w14:paraId="1535F4A9" w14:textId="5775DC84" w:rsidR="00454C79" w:rsidRPr="008450E5" w:rsidRDefault="002E0E8E" w:rsidP="008450E5">
      <w:pPr>
        <w:pStyle w:val="ListParagraph"/>
        <w:numPr>
          <w:ilvl w:val="0"/>
          <w:numId w:val="1"/>
        </w:numPr>
        <w:spacing w:after="0" w:line="240" w:lineRule="auto"/>
        <w:contextualSpacing w:val="0"/>
        <w:jc w:val="both"/>
        <w:rPr>
          <w:rFonts w:ascii="Times New Roman" w:hAnsi="Times New Roman" w:cs="Times New Roman"/>
          <w:bCs/>
          <w:sz w:val="28"/>
          <w:szCs w:val="28"/>
        </w:rPr>
      </w:pPr>
      <w:r w:rsidRPr="008450E5">
        <w:rPr>
          <w:rFonts w:ascii="Times New Roman" w:hAnsi="Times New Roman" w:cs="Times New Roman"/>
          <w:bCs/>
          <w:sz w:val="28"/>
          <w:szCs w:val="28"/>
        </w:rPr>
        <w:t>On September 19, 2024, Northland filed th</w:t>
      </w:r>
      <w:r w:rsidR="00491746" w:rsidRPr="008450E5">
        <w:rPr>
          <w:rFonts w:ascii="Times New Roman" w:hAnsi="Times New Roman" w:cs="Times New Roman"/>
          <w:bCs/>
          <w:sz w:val="28"/>
          <w:szCs w:val="28"/>
        </w:rPr>
        <w:t xml:space="preserve">is application for summary judgment seeking the dismissal of </w:t>
      </w:r>
      <w:r w:rsidR="0097116F" w:rsidRPr="008450E5">
        <w:rPr>
          <w:rFonts w:ascii="Times New Roman" w:hAnsi="Times New Roman" w:cs="Times New Roman"/>
          <w:bCs/>
          <w:sz w:val="28"/>
          <w:szCs w:val="28"/>
        </w:rPr>
        <w:t xml:space="preserve">ONEC’s action against Northland, </w:t>
      </w:r>
      <w:r w:rsidR="00646752" w:rsidRPr="008450E5">
        <w:rPr>
          <w:rFonts w:ascii="Times New Roman" w:hAnsi="Times New Roman" w:cs="Times New Roman"/>
          <w:bCs/>
          <w:sz w:val="28"/>
          <w:szCs w:val="28"/>
        </w:rPr>
        <w:t>as well as</w:t>
      </w:r>
      <w:r w:rsidR="0097116F" w:rsidRPr="008450E5">
        <w:rPr>
          <w:rFonts w:ascii="Times New Roman" w:hAnsi="Times New Roman" w:cs="Times New Roman"/>
          <w:bCs/>
          <w:sz w:val="28"/>
          <w:szCs w:val="28"/>
        </w:rPr>
        <w:t xml:space="preserve"> judgment against the Defendants by Counterclaim</w:t>
      </w:r>
      <w:r w:rsidR="00DD5441" w:rsidRPr="008450E5">
        <w:rPr>
          <w:rFonts w:ascii="Times New Roman" w:hAnsi="Times New Roman" w:cs="Times New Roman"/>
          <w:bCs/>
          <w:sz w:val="28"/>
          <w:szCs w:val="28"/>
        </w:rPr>
        <w:t xml:space="preserve">. </w:t>
      </w:r>
    </w:p>
    <w:p w14:paraId="6CA7409E" w14:textId="77777777" w:rsidR="00940097" w:rsidRPr="00F82B8E" w:rsidRDefault="00940097" w:rsidP="00F36FC9">
      <w:pPr>
        <w:pStyle w:val="ListParagraph"/>
        <w:spacing w:after="0" w:line="240" w:lineRule="auto"/>
        <w:ind w:left="0"/>
        <w:contextualSpacing w:val="0"/>
        <w:jc w:val="both"/>
        <w:rPr>
          <w:rFonts w:ascii="Times New Roman" w:hAnsi="Times New Roman" w:cs="Times New Roman"/>
          <w:bCs/>
          <w:sz w:val="28"/>
          <w:szCs w:val="28"/>
        </w:rPr>
      </w:pPr>
    </w:p>
    <w:p w14:paraId="5E701DDB" w14:textId="6E0B7A75" w:rsidR="00F36FC9" w:rsidRPr="00F82B8E" w:rsidRDefault="00F36FC9" w:rsidP="00F36FC9">
      <w:pPr>
        <w:pStyle w:val="ListParagraph"/>
        <w:spacing w:after="0" w:line="240" w:lineRule="auto"/>
        <w:ind w:left="0"/>
        <w:jc w:val="both"/>
        <w:rPr>
          <w:rFonts w:ascii="Times New Roman" w:hAnsi="Times New Roman" w:cs="Times New Roman"/>
          <w:b/>
          <w:bCs/>
          <w:sz w:val="28"/>
          <w:szCs w:val="28"/>
        </w:rPr>
      </w:pPr>
      <w:r w:rsidRPr="00F82B8E">
        <w:rPr>
          <w:rFonts w:ascii="Times New Roman" w:hAnsi="Times New Roman" w:cs="Times New Roman"/>
          <w:b/>
          <w:bCs/>
          <w:sz w:val="28"/>
          <w:szCs w:val="28"/>
        </w:rPr>
        <w:t>ANALYSIS</w:t>
      </w:r>
    </w:p>
    <w:p w14:paraId="0E363DD8" w14:textId="77777777" w:rsidR="00F36FC9" w:rsidRPr="00F82B8E" w:rsidRDefault="00F36FC9" w:rsidP="00F36FC9">
      <w:pPr>
        <w:pStyle w:val="ListParagraph"/>
        <w:spacing w:after="0" w:line="240" w:lineRule="auto"/>
        <w:ind w:left="0"/>
        <w:contextualSpacing w:val="0"/>
        <w:jc w:val="both"/>
        <w:rPr>
          <w:rFonts w:ascii="Times New Roman" w:hAnsi="Times New Roman" w:cs="Times New Roman"/>
          <w:bCs/>
          <w:sz w:val="28"/>
          <w:szCs w:val="28"/>
        </w:rPr>
      </w:pPr>
    </w:p>
    <w:p w14:paraId="0813AA20" w14:textId="7CA59AC4" w:rsidR="00467830" w:rsidRPr="00F82B8E" w:rsidRDefault="00467830" w:rsidP="00F36FC9">
      <w:pPr>
        <w:pStyle w:val="ListParagraph"/>
        <w:spacing w:after="0" w:line="240" w:lineRule="auto"/>
        <w:ind w:left="0"/>
        <w:contextualSpacing w:val="0"/>
        <w:jc w:val="both"/>
        <w:rPr>
          <w:rFonts w:ascii="Times New Roman" w:hAnsi="Times New Roman" w:cs="Times New Roman"/>
          <w:b/>
          <w:i/>
          <w:iCs/>
          <w:sz w:val="28"/>
          <w:szCs w:val="28"/>
        </w:rPr>
      </w:pPr>
      <w:r w:rsidRPr="00F82B8E">
        <w:rPr>
          <w:rFonts w:ascii="Times New Roman" w:hAnsi="Times New Roman" w:cs="Times New Roman"/>
          <w:b/>
          <w:i/>
          <w:iCs/>
          <w:sz w:val="28"/>
          <w:szCs w:val="28"/>
        </w:rPr>
        <w:t>Principles on Summary Judgment Applications</w:t>
      </w:r>
    </w:p>
    <w:p w14:paraId="3D96D8D4" w14:textId="77777777" w:rsidR="00467830" w:rsidRPr="00F82B8E" w:rsidRDefault="00467830" w:rsidP="00F36FC9">
      <w:pPr>
        <w:pStyle w:val="ListParagraph"/>
        <w:spacing w:after="0" w:line="240" w:lineRule="auto"/>
        <w:ind w:left="0"/>
        <w:contextualSpacing w:val="0"/>
        <w:jc w:val="both"/>
        <w:rPr>
          <w:rFonts w:ascii="Times New Roman" w:hAnsi="Times New Roman" w:cs="Times New Roman"/>
          <w:bCs/>
          <w:sz w:val="28"/>
          <w:szCs w:val="28"/>
        </w:rPr>
      </w:pPr>
    </w:p>
    <w:p w14:paraId="4F1BDFB9" w14:textId="3080194E" w:rsidR="00600E66" w:rsidRDefault="00A03BAB" w:rsidP="000D6227">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Before I turn to the parties’ argument</w:t>
      </w:r>
      <w:r w:rsidR="00A02343" w:rsidRPr="00F82B8E">
        <w:rPr>
          <w:rFonts w:ascii="Times New Roman" w:hAnsi="Times New Roman" w:cs="Times New Roman"/>
          <w:bCs/>
          <w:sz w:val="28"/>
          <w:szCs w:val="28"/>
        </w:rPr>
        <w:t xml:space="preserve">s, I </w:t>
      </w:r>
      <w:r w:rsidR="001C04AA" w:rsidRPr="00F82B8E">
        <w:rPr>
          <w:rFonts w:ascii="Times New Roman" w:hAnsi="Times New Roman" w:cs="Times New Roman"/>
          <w:bCs/>
          <w:sz w:val="28"/>
          <w:szCs w:val="28"/>
        </w:rPr>
        <w:t xml:space="preserve">will </w:t>
      </w:r>
      <w:r w:rsidR="00D74ACB" w:rsidRPr="00F82B8E">
        <w:rPr>
          <w:rFonts w:ascii="Times New Roman" w:hAnsi="Times New Roman" w:cs="Times New Roman"/>
          <w:bCs/>
          <w:sz w:val="28"/>
          <w:szCs w:val="28"/>
        </w:rPr>
        <w:t xml:space="preserve">set out general </w:t>
      </w:r>
      <w:r w:rsidR="000E7AC6" w:rsidRPr="00F82B8E">
        <w:rPr>
          <w:rFonts w:ascii="Times New Roman" w:hAnsi="Times New Roman" w:cs="Times New Roman"/>
          <w:bCs/>
          <w:sz w:val="28"/>
          <w:szCs w:val="28"/>
        </w:rPr>
        <w:t>principles</w:t>
      </w:r>
      <w:r w:rsidR="00D74ACB" w:rsidRPr="00F82B8E">
        <w:rPr>
          <w:rFonts w:ascii="Times New Roman" w:hAnsi="Times New Roman" w:cs="Times New Roman"/>
          <w:bCs/>
          <w:sz w:val="28"/>
          <w:szCs w:val="28"/>
        </w:rPr>
        <w:t xml:space="preserve"> that apply to summary judgments. </w:t>
      </w:r>
    </w:p>
    <w:p w14:paraId="29DF62C0" w14:textId="77777777" w:rsidR="00DB015B" w:rsidRDefault="00DB015B" w:rsidP="00DB015B">
      <w:pPr>
        <w:pStyle w:val="ListParagraph"/>
        <w:spacing w:after="0" w:line="240" w:lineRule="auto"/>
        <w:ind w:left="0"/>
        <w:contextualSpacing w:val="0"/>
        <w:jc w:val="both"/>
        <w:rPr>
          <w:rFonts w:ascii="Times New Roman" w:hAnsi="Times New Roman" w:cs="Times New Roman"/>
          <w:bCs/>
          <w:sz w:val="28"/>
          <w:szCs w:val="28"/>
        </w:rPr>
      </w:pPr>
    </w:p>
    <w:p w14:paraId="14869EBF" w14:textId="77777777" w:rsidR="00DB015B" w:rsidRDefault="00DB015B" w:rsidP="00DB015B">
      <w:pPr>
        <w:pStyle w:val="ListParagraph"/>
        <w:numPr>
          <w:ilvl w:val="0"/>
          <w:numId w:val="1"/>
        </w:numPr>
        <w:spacing w:after="0" w:line="240" w:lineRule="auto"/>
        <w:contextualSpacing w:val="0"/>
        <w:jc w:val="both"/>
        <w:rPr>
          <w:rFonts w:ascii="Times New Roman" w:hAnsi="Times New Roman" w:cs="Times New Roman"/>
          <w:bCs/>
          <w:sz w:val="28"/>
          <w:szCs w:val="28"/>
        </w:rPr>
      </w:pPr>
      <w:r>
        <w:rPr>
          <w:rFonts w:ascii="Times New Roman" w:hAnsi="Times New Roman" w:cs="Times New Roman"/>
          <w:bCs/>
          <w:sz w:val="28"/>
          <w:szCs w:val="28"/>
        </w:rPr>
        <w:t xml:space="preserve">Summary judgment applications allow parties to seek the determination of an action without the necessity of holding a trial. It is a measure of efficiency that </w:t>
      </w:r>
      <w:r>
        <w:rPr>
          <w:rFonts w:ascii="Times New Roman" w:hAnsi="Times New Roman" w:cs="Times New Roman"/>
          <w:bCs/>
          <w:sz w:val="28"/>
          <w:szCs w:val="28"/>
        </w:rPr>
        <w:lastRenderedPageBreak/>
        <w:t xml:space="preserve">recognizes legal proceedings can be long and costly and that not all matters raise issues that require </w:t>
      </w:r>
      <w:r w:rsidRPr="00237E23">
        <w:rPr>
          <w:rFonts w:ascii="Times New Roman" w:hAnsi="Times New Roman" w:cs="Times New Roman"/>
          <w:bCs/>
          <w:sz w:val="28"/>
          <w:szCs w:val="28"/>
        </w:rPr>
        <w:t>a</w:t>
      </w:r>
      <w:r>
        <w:rPr>
          <w:rFonts w:ascii="Times New Roman" w:hAnsi="Times New Roman" w:cs="Times New Roman"/>
          <w:bCs/>
          <w:sz w:val="28"/>
          <w:szCs w:val="28"/>
        </w:rPr>
        <w:t xml:space="preserve">ll the tools and expenses of a </w:t>
      </w:r>
      <w:r w:rsidRPr="00237E23">
        <w:rPr>
          <w:rFonts w:ascii="Times New Roman" w:hAnsi="Times New Roman" w:cs="Times New Roman"/>
          <w:bCs/>
          <w:sz w:val="28"/>
          <w:szCs w:val="28"/>
        </w:rPr>
        <w:t>full-blown trial.</w:t>
      </w:r>
      <w:r>
        <w:rPr>
          <w:rFonts w:ascii="Times New Roman" w:hAnsi="Times New Roman" w:cs="Times New Roman"/>
          <w:bCs/>
          <w:sz w:val="28"/>
          <w:szCs w:val="28"/>
        </w:rPr>
        <w:t xml:space="preserve"> </w:t>
      </w:r>
    </w:p>
    <w:p w14:paraId="3F64AE7C" w14:textId="77777777" w:rsidR="00DB015B" w:rsidRPr="00DB015B" w:rsidRDefault="00DB015B" w:rsidP="00DB015B">
      <w:pPr>
        <w:spacing w:after="0" w:line="240" w:lineRule="auto"/>
        <w:jc w:val="both"/>
        <w:rPr>
          <w:rFonts w:ascii="Times New Roman" w:hAnsi="Times New Roman" w:cs="Times New Roman"/>
          <w:bCs/>
          <w:sz w:val="28"/>
          <w:szCs w:val="28"/>
        </w:rPr>
      </w:pPr>
    </w:p>
    <w:p w14:paraId="53EFC2D9" w14:textId="608FB3C5" w:rsidR="00403056" w:rsidRDefault="00A35D25" w:rsidP="00F36FC9">
      <w:pPr>
        <w:pStyle w:val="ListParagraph"/>
        <w:numPr>
          <w:ilvl w:val="0"/>
          <w:numId w:val="1"/>
        </w:numPr>
        <w:spacing w:after="0" w:line="240" w:lineRule="auto"/>
        <w:contextualSpacing w:val="0"/>
        <w:jc w:val="both"/>
        <w:rPr>
          <w:rFonts w:ascii="Times New Roman" w:hAnsi="Times New Roman" w:cs="Times New Roman"/>
          <w:bCs/>
          <w:sz w:val="28"/>
          <w:szCs w:val="28"/>
        </w:rPr>
      </w:pPr>
      <w:r>
        <w:rPr>
          <w:rFonts w:ascii="Times New Roman" w:hAnsi="Times New Roman" w:cs="Times New Roman"/>
          <w:bCs/>
          <w:sz w:val="28"/>
          <w:szCs w:val="28"/>
        </w:rPr>
        <w:t xml:space="preserve">Rules 174 to 176 of the </w:t>
      </w:r>
      <w:r w:rsidRPr="00680DA4">
        <w:rPr>
          <w:rFonts w:ascii="Times New Roman" w:hAnsi="Times New Roman" w:cs="Times New Roman"/>
          <w:bCs/>
          <w:i/>
          <w:iCs/>
          <w:sz w:val="28"/>
          <w:szCs w:val="28"/>
        </w:rPr>
        <w:t>Rules of the Supreme Court of the Northwest Territories</w:t>
      </w:r>
      <w:r w:rsidR="006D3DA5">
        <w:rPr>
          <w:rFonts w:ascii="Times New Roman" w:hAnsi="Times New Roman" w:cs="Times New Roman"/>
          <w:bCs/>
          <w:i/>
          <w:iCs/>
          <w:sz w:val="28"/>
          <w:szCs w:val="28"/>
        </w:rPr>
        <w:t xml:space="preserve"> </w:t>
      </w:r>
      <w:r w:rsidR="006D3DA5" w:rsidRPr="004E01AA">
        <w:rPr>
          <w:rFonts w:ascii="Times New Roman" w:hAnsi="Times New Roman" w:cs="Times New Roman"/>
          <w:bCs/>
          <w:sz w:val="28"/>
          <w:szCs w:val="28"/>
        </w:rPr>
        <w:t>[</w:t>
      </w:r>
      <w:r w:rsidR="006D3DA5">
        <w:rPr>
          <w:rFonts w:ascii="Times New Roman" w:hAnsi="Times New Roman" w:cs="Times New Roman"/>
          <w:bCs/>
          <w:i/>
          <w:iCs/>
          <w:sz w:val="28"/>
          <w:szCs w:val="28"/>
        </w:rPr>
        <w:t>the Rules</w:t>
      </w:r>
      <w:r w:rsidR="006D3DA5" w:rsidRPr="004E01AA">
        <w:rPr>
          <w:rFonts w:ascii="Times New Roman" w:hAnsi="Times New Roman" w:cs="Times New Roman"/>
          <w:bCs/>
          <w:sz w:val="28"/>
          <w:szCs w:val="28"/>
        </w:rPr>
        <w:t>]</w:t>
      </w:r>
      <w:r>
        <w:rPr>
          <w:rFonts w:ascii="Times New Roman" w:hAnsi="Times New Roman" w:cs="Times New Roman"/>
          <w:bCs/>
          <w:sz w:val="28"/>
          <w:szCs w:val="28"/>
        </w:rPr>
        <w:t xml:space="preserve"> </w:t>
      </w:r>
      <w:r w:rsidR="006A2830">
        <w:rPr>
          <w:rFonts w:ascii="Times New Roman" w:hAnsi="Times New Roman" w:cs="Times New Roman"/>
          <w:bCs/>
          <w:sz w:val="28"/>
          <w:szCs w:val="28"/>
        </w:rPr>
        <w:t>set</w:t>
      </w:r>
      <w:r w:rsidR="00680DA4">
        <w:rPr>
          <w:rFonts w:ascii="Times New Roman" w:hAnsi="Times New Roman" w:cs="Times New Roman"/>
          <w:bCs/>
          <w:sz w:val="28"/>
          <w:szCs w:val="28"/>
        </w:rPr>
        <w:t xml:space="preserve"> </w:t>
      </w:r>
      <w:r w:rsidR="00B36E30">
        <w:rPr>
          <w:rFonts w:ascii="Times New Roman" w:hAnsi="Times New Roman" w:cs="Times New Roman"/>
          <w:bCs/>
          <w:sz w:val="28"/>
          <w:szCs w:val="28"/>
        </w:rPr>
        <w:t>out the different rules that govern such applications</w:t>
      </w:r>
      <w:r w:rsidR="003802EA">
        <w:rPr>
          <w:rFonts w:ascii="Times New Roman" w:hAnsi="Times New Roman" w:cs="Times New Roman"/>
          <w:bCs/>
          <w:sz w:val="28"/>
          <w:szCs w:val="28"/>
        </w:rPr>
        <w:t xml:space="preserve"> in this jurisdiction</w:t>
      </w:r>
      <w:r w:rsidR="00B36E30">
        <w:rPr>
          <w:rFonts w:ascii="Times New Roman" w:hAnsi="Times New Roman" w:cs="Times New Roman"/>
          <w:bCs/>
          <w:sz w:val="28"/>
          <w:szCs w:val="28"/>
        </w:rPr>
        <w:t xml:space="preserve">. </w:t>
      </w:r>
      <w:r w:rsidR="00680424">
        <w:rPr>
          <w:rFonts w:ascii="Times New Roman" w:hAnsi="Times New Roman" w:cs="Times New Roman"/>
          <w:bCs/>
          <w:sz w:val="28"/>
          <w:szCs w:val="28"/>
        </w:rPr>
        <w:t>The provisions state the following:</w:t>
      </w:r>
    </w:p>
    <w:p w14:paraId="104A4BA7" w14:textId="77777777" w:rsidR="00317D7F" w:rsidRDefault="00317D7F" w:rsidP="00317D7F">
      <w:pPr>
        <w:pStyle w:val="ListParagraph"/>
        <w:spacing w:after="0" w:line="240" w:lineRule="auto"/>
        <w:ind w:left="0"/>
        <w:contextualSpacing w:val="0"/>
        <w:jc w:val="both"/>
        <w:rPr>
          <w:rFonts w:ascii="Times New Roman" w:hAnsi="Times New Roman" w:cs="Times New Roman"/>
          <w:bCs/>
          <w:sz w:val="28"/>
          <w:szCs w:val="28"/>
        </w:rPr>
      </w:pPr>
    </w:p>
    <w:p w14:paraId="51FDF97A" w14:textId="77777777" w:rsidR="00317D7F" w:rsidRPr="00356CD8" w:rsidRDefault="00317D7F" w:rsidP="00356CD8">
      <w:pPr>
        <w:pStyle w:val="ListParagraph"/>
        <w:ind w:right="571"/>
        <w:jc w:val="both"/>
        <w:rPr>
          <w:rFonts w:ascii="Times New Roman" w:hAnsi="Times New Roman" w:cs="Times New Roman"/>
          <w:bCs/>
          <w:sz w:val="24"/>
          <w:szCs w:val="24"/>
          <w:lang w:val="en-US"/>
        </w:rPr>
      </w:pPr>
      <w:r w:rsidRPr="00356CD8">
        <w:rPr>
          <w:rFonts w:ascii="Times New Roman" w:hAnsi="Times New Roman" w:cs="Times New Roman"/>
          <w:bCs/>
          <w:sz w:val="24"/>
          <w:szCs w:val="24"/>
          <w:lang w:val="en-US"/>
        </w:rPr>
        <w:t>174. (1) A plaintiff may, after a defendant has delivered a statement of defence, apply with supporting affidavits or other evidence for summary judgment against the defendant on all or part of the claim in the statement of claim.</w:t>
      </w:r>
    </w:p>
    <w:p w14:paraId="1758A2C7" w14:textId="77777777" w:rsidR="00317D7F" w:rsidRPr="00356CD8" w:rsidRDefault="00317D7F" w:rsidP="00356CD8">
      <w:pPr>
        <w:pStyle w:val="ListParagraph"/>
        <w:ind w:right="571"/>
        <w:jc w:val="both"/>
        <w:rPr>
          <w:rFonts w:ascii="Times New Roman" w:hAnsi="Times New Roman" w:cs="Times New Roman"/>
          <w:bCs/>
          <w:sz w:val="24"/>
          <w:szCs w:val="24"/>
          <w:lang w:val="en-US"/>
        </w:rPr>
      </w:pPr>
    </w:p>
    <w:p w14:paraId="3E695D85" w14:textId="2EA4502B" w:rsidR="00317D7F" w:rsidRPr="00356CD8" w:rsidRDefault="00E51C26" w:rsidP="00E51C26">
      <w:pPr>
        <w:pStyle w:val="ListParagraph"/>
        <w:ind w:right="571" w:firstLine="41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317D7F" w:rsidRPr="00356CD8">
        <w:rPr>
          <w:rFonts w:ascii="Times New Roman" w:hAnsi="Times New Roman" w:cs="Times New Roman"/>
          <w:bCs/>
          <w:sz w:val="24"/>
          <w:szCs w:val="24"/>
          <w:lang w:val="en-US"/>
        </w:rPr>
        <w:t>(2) The plaintiff may, on an application made ex parte, seek leave to serve a notice of motion for summary judgment on a defendant with the statement of claim and the Court may grant the leave where special urgency is shown, subject to such directions as it considers just.</w:t>
      </w:r>
    </w:p>
    <w:p w14:paraId="6B359E1E" w14:textId="77777777" w:rsidR="00317D7F" w:rsidRPr="00356CD8" w:rsidRDefault="00317D7F" w:rsidP="00356CD8">
      <w:pPr>
        <w:pStyle w:val="ListParagraph"/>
        <w:ind w:right="571"/>
        <w:jc w:val="both"/>
        <w:rPr>
          <w:rFonts w:ascii="Times New Roman" w:hAnsi="Times New Roman" w:cs="Times New Roman"/>
          <w:bCs/>
          <w:sz w:val="24"/>
          <w:szCs w:val="24"/>
          <w:lang w:val="en-US"/>
        </w:rPr>
      </w:pPr>
    </w:p>
    <w:p w14:paraId="46FF9DFC" w14:textId="010CFB0F" w:rsidR="006A2830" w:rsidRPr="00356CD8" w:rsidRDefault="006A2830" w:rsidP="00356CD8">
      <w:pPr>
        <w:pStyle w:val="ListParagraph"/>
        <w:ind w:right="571"/>
        <w:jc w:val="both"/>
        <w:rPr>
          <w:rFonts w:ascii="Times New Roman" w:hAnsi="Times New Roman" w:cs="Times New Roman"/>
          <w:bCs/>
          <w:sz w:val="24"/>
          <w:szCs w:val="24"/>
        </w:rPr>
      </w:pPr>
      <w:r w:rsidRPr="00356CD8">
        <w:rPr>
          <w:rFonts w:ascii="Times New Roman" w:hAnsi="Times New Roman" w:cs="Times New Roman"/>
          <w:bCs/>
          <w:sz w:val="24"/>
          <w:szCs w:val="24"/>
        </w:rPr>
        <w:t>175. A defendant may, after delivering a statement of defence, apply with supporting affidavit material or other evidence for summary judgment dismissing all or part of the claim in the statement of claim.</w:t>
      </w:r>
    </w:p>
    <w:p w14:paraId="56BF3F1D" w14:textId="77777777" w:rsidR="006A2830" w:rsidRPr="00356CD8" w:rsidRDefault="006A2830" w:rsidP="00356CD8">
      <w:pPr>
        <w:pStyle w:val="ListParagraph"/>
        <w:ind w:right="571"/>
        <w:jc w:val="both"/>
        <w:rPr>
          <w:rFonts w:ascii="Times New Roman" w:hAnsi="Times New Roman" w:cs="Times New Roman"/>
          <w:bCs/>
          <w:sz w:val="24"/>
          <w:szCs w:val="24"/>
        </w:rPr>
      </w:pPr>
    </w:p>
    <w:p w14:paraId="297B9C71" w14:textId="7DB0DC02" w:rsidR="00317D7F" w:rsidRPr="00356CD8" w:rsidRDefault="00317D7F" w:rsidP="00356CD8">
      <w:pPr>
        <w:pStyle w:val="ListParagraph"/>
        <w:ind w:right="571"/>
        <w:jc w:val="both"/>
        <w:rPr>
          <w:rFonts w:ascii="Times New Roman" w:hAnsi="Times New Roman" w:cs="Times New Roman"/>
          <w:bCs/>
          <w:sz w:val="24"/>
          <w:szCs w:val="24"/>
          <w:lang w:val="en-US"/>
        </w:rPr>
      </w:pPr>
      <w:r w:rsidRPr="00356CD8">
        <w:rPr>
          <w:rFonts w:ascii="Times New Roman" w:hAnsi="Times New Roman" w:cs="Times New Roman"/>
          <w:bCs/>
          <w:sz w:val="24"/>
          <w:szCs w:val="24"/>
          <w:lang w:val="en-US"/>
        </w:rPr>
        <w:t xml:space="preserve">176. (1) In response to the affidavit material or other evidence supporting an application for summary judgment, the </w:t>
      </w:r>
      <w:proofErr w:type="spellStart"/>
      <w:r w:rsidR="00CB53E5" w:rsidRPr="00356CD8">
        <w:rPr>
          <w:rFonts w:ascii="Times New Roman" w:hAnsi="Times New Roman" w:cs="Times New Roman"/>
          <w:bCs/>
          <w:sz w:val="24"/>
          <w:szCs w:val="24"/>
          <w:lang w:val="en-US"/>
        </w:rPr>
        <w:t>respondan</w:t>
      </w:r>
      <w:r w:rsidR="00C46574" w:rsidRPr="00356CD8">
        <w:rPr>
          <w:rFonts w:ascii="Times New Roman" w:hAnsi="Times New Roman" w:cs="Times New Roman"/>
          <w:bCs/>
          <w:sz w:val="24"/>
          <w:szCs w:val="24"/>
          <w:lang w:val="en-US"/>
        </w:rPr>
        <w:t>t</w:t>
      </w:r>
      <w:proofErr w:type="spellEnd"/>
      <w:r w:rsidR="00CB53E5" w:rsidRPr="00356CD8">
        <w:rPr>
          <w:rFonts w:ascii="Times New Roman" w:hAnsi="Times New Roman" w:cs="Times New Roman"/>
          <w:bCs/>
          <w:sz w:val="24"/>
          <w:szCs w:val="24"/>
          <w:lang w:val="en-US"/>
        </w:rPr>
        <w:t xml:space="preserve"> </w:t>
      </w:r>
      <w:r w:rsidRPr="00356CD8">
        <w:rPr>
          <w:rFonts w:ascii="Times New Roman" w:hAnsi="Times New Roman" w:cs="Times New Roman"/>
          <w:bCs/>
          <w:sz w:val="24"/>
          <w:szCs w:val="24"/>
          <w:lang w:val="en-US"/>
        </w:rPr>
        <w:t>may not rest on the mere allegations or denials in his or her pleadings, but must set out, in affidavit material or other evidence, specific facts showing that there is a genuine issue for trial.</w:t>
      </w:r>
    </w:p>
    <w:p w14:paraId="062D6456" w14:textId="77777777" w:rsidR="00317D7F" w:rsidRPr="00356CD8" w:rsidRDefault="00317D7F" w:rsidP="00356CD8">
      <w:pPr>
        <w:pStyle w:val="ListParagraph"/>
        <w:ind w:right="571"/>
        <w:jc w:val="both"/>
        <w:rPr>
          <w:rFonts w:ascii="Times New Roman" w:hAnsi="Times New Roman" w:cs="Times New Roman"/>
          <w:bCs/>
          <w:sz w:val="24"/>
          <w:szCs w:val="24"/>
          <w:lang w:val="en-US"/>
        </w:rPr>
      </w:pPr>
    </w:p>
    <w:p w14:paraId="166EF416" w14:textId="66FF6AED" w:rsidR="00317D7F" w:rsidRPr="00356CD8" w:rsidRDefault="00E51C26" w:rsidP="00E51C26">
      <w:pPr>
        <w:pStyle w:val="ListParagraph"/>
        <w:ind w:right="571" w:firstLine="41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317D7F" w:rsidRPr="00356CD8">
        <w:rPr>
          <w:rFonts w:ascii="Times New Roman" w:hAnsi="Times New Roman" w:cs="Times New Roman"/>
          <w:bCs/>
          <w:sz w:val="24"/>
          <w:szCs w:val="24"/>
          <w:lang w:val="en-US"/>
        </w:rPr>
        <w:t>(2) Where the Court is satisfied that there is no genuine issue for trial with respect to a claim or defence, the Court shall grant summary judgment accordingly.</w:t>
      </w:r>
    </w:p>
    <w:p w14:paraId="3996B65A" w14:textId="77777777" w:rsidR="00317D7F" w:rsidRPr="00356CD8" w:rsidRDefault="00317D7F" w:rsidP="00356CD8">
      <w:pPr>
        <w:pStyle w:val="ListParagraph"/>
        <w:ind w:right="571"/>
        <w:jc w:val="both"/>
        <w:rPr>
          <w:rFonts w:ascii="Times New Roman" w:hAnsi="Times New Roman" w:cs="Times New Roman"/>
          <w:bCs/>
          <w:sz w:val="24"/>
          <w:szCs w:val="24"/>
          <w:lang w:val="en-US"/>
        </w:rPr>
      </w:pPr>
    </w:p>
    <w:p w14:paraId="65DE63AC" w14:textId="6FB5F7B0" w:rsidR="00317D7F" w:rsidRPr="00356CD8" w:rsidRDefault="00731539" w:rsidP="00731539">
      <w:pPr>
        <w:pStyle w:val="ListParagraph"/>
        <w:ind w:right="571" w:firstLine="41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317D7F" w:rsidRPr="00356CD8">
        <w:rPr>
          <w:rFonts w:ascii="Times New Roman" w:hAnsi="Times New Roman" w:cs="Times New Roman"/>
          <w:bCs/>
          <w:sz w:val="24"/>
          <w:szCs w:val="24"/>
          <w:lang w:val="en-US"/>
        </w:rPr>
        <w:t>(3) Where the Court is satisfied that the only genuine issue is the amount to which the applicant is entitled, the Court may order a trial of that issue or grant judgment with a reference or an accounting to determine the amount.</w:t>
      </w:r>
    </w:p>
    <w:p w14:paraId="1FA2BA8B" w14:textId="77777777" w:rsidR="00317D7F" w:rsidRPr="00356CD8" w:rsidRDefault="00317D7F" w:rsidP="00356CD8">
      <w:pPr>
        <w:pStyle w:val="ListParagraph"/>
        <w:ind w:right="571"/>
        <w:jc w:val="both"/>
        <w:rPr>
          <w:rFonts w:ascii="Times New Roman" w:hAnsi="Times New Roman" w:cs="Times New Roman"/>
          <w:bCs/>
          <w:sz w:val="24"/>
          <w:szCs w:val="24"/>
          <w:lang w:val="en-US"/>
        </w:rPr>
      </w:pPr>
    </w:p>
    <w:p w14:paraId="11F8B12B" w14:textId="40DB200B" w:rsidR="00B36E30" w:rsidRPr="00317D7F" w:rsidRDefault="00317D7F" w:rsidP="00731539">
      <w:pPr>
        <w:pStyle w:val="ListParagraph"/>
        <w:ind w:right="571" w:firstLine="414"/>
        <w:jc w:val="both"/>
        <w:rPr>
          <w:rFonts w:ascii="Times New Roman" w:hAnsi="Times New Roman" w:cs="Times New Roman"/>
          <w:bCs/>
          <w:sz w:val="24"/>
          <w:szCs w:val="24"/>
          <w:lang w:val="en-US"/>
        </w:rPr>
      </w:pPr>
      <w:r w:rsidRPr="00356CD8">
        <w:rPr>
          <w:rFonts w:ascii="Times New Roman" w:hAnsi="Times New Roman" w:cs="Times New Roman"/>
          <w:bCs/>
          <w:sz w:val="24"/>
          <w:szCs w:val="24"/>
          <w:lang w:val="en-US"/>
        </w:rPr>
        <w:t>(4) Where the Court is satisfied that the only genuine issue is a question of law, the Court may determine the question and grant judgment accordingly.</w:t>
      </w:r>
    </w:p>
    <w:p w14:paraId="75C320A6" w14:textId="77777777" w:rsidR="00C67881" w:rsidRDefault="00C67881" w:rsidP="00356CD8">
      <w:pPr>
        <w:pStyle w:val="ListParagraph"/>
        <w:spacing w:after="0" w:line="240" w:lineRule="auto"/>
        <w:ind w:left="0" w:right="571"/>
        <w:contextualSpacing w:val="0"/>
        <w:jc w:val="both"/>
        <w:rPr>
          <w:rFonts w:ascii="Times New Roman" w:hAnsi="Times New Roman" w:cs="Times New Roman"/>
          <w:bCs/>
          <w:sz w:val="28"/>
          <w:szCs w:val="28"/>
          <w:lang w:val="en-US"/>
        </w:rPr>
      </w:pPr>
    </w:p>
    <w:p w14:paraId="461A3D88" w14:textId="7AFD697B" w:rsidR="0090033F" w:rsidRPr="00500F30" w:rsidRDefault="00C67881" w:rsidP="0090033F">
      <w:pPr>
        <w:pStyle w:val="ListParagraph"/>
        <w:numPr>
          <w:ilvl w:val="0"/>
          <w:numId w:val="1"/>
        </w:numPr>
        <w:spacing w:after="0" w:line="240" w:lineRule="auto"/>
        <w:contextualSpacing w:val="0"/>
        <w:jc w:val="both"/>
        <w:rPr>
          <w:rFonts w:ascii="Times New Roman" w:hAnsi="Times New Roman" w:cs="Times New Roman"/>
          <w:bCs/>
          <w:sz w:val="28"/>
          <w:szCs w:val="28"/>
        </w:rPr>
      </w:pPr>
      <w:r w:rsidRPr="00500F30">
        <w:rPr>
          <w:rFonts w:ascii="Times New Roman" w:hAnsi="Times New Roman" w:cs="Times New Roman"/>
          <w:bCs/>
          <w:sz w:val="28"/>
          <w:szCs w:val="28"/>
        </w:rPr>
        <w:t xml:space="preserve">In </w:t>
      </w:r>
      <w:r w:rsidRPr="00500F30">
        <w:rPr>
          <w:rFonts w:ascii="Times New Roman" w:hAnsi="Times New Roman" w:cs="Times New Roman"/>
          <w:bCs/>
          <w:i/>
          <w:iCs/>
          <w:sz w:val="28"/>
          <w:szCs w:val="28"/>
        </w:rPr>
        <w:t>Hryniak v Mauldin</w:t>
      </w:r>
      <w:r w:rsidRPr="00500F30">
        <w:rPr>
          <w:rFonts w:ascii="Times New Roman" w:hAnsi="Times New Roman" w:cs="Times New Roman"/>
          <w:bCs/>
          <w:sz w:val="28"/>
          <w:szCs w:val="28"/>
        </w:rPr>
        <w:t>, 2014 SCC 7 [</w:t>
      </w:r>
      <w:r w:rsidRPr="00500F30">
        <w:rPr>
          <w:rFonts w:ascii="Times New Roman" w:hAnsi="Times New Roman" w:cs="Times New Roman"/>
          <w:bCs/>
          <w:i/>
          <w:iCs/>
          <w:sz w:val="28"/>
          <w:szCs w:val="28"/>
        </w:rPr>
        <w:t>Hryniak</w:t>
      </w:r>
      <w:r w:rsidRPr="00500F30">
        <w:rPr>
          <w:rFonts w:ascii="Times New Roman" w:hAnsi="Times New Roman" w:cs="Times New Roman"/>
          <w:bCs/>
          <w:sz w:val="28"/>
          <w:szCs w:val="28"/>
        </w:rPr>
        <w:t xml:space="preserve">], the Supreme Court of Canada took an expansive approach to summary judgments, ruling that “summary judgment rules must be interpreted broadly, favouring proportionality and fair access to the affordable, timely and just adjudication of claims” (para 5). </w:t>
      </w:r>
      <w:r w:rsidR="00200E4A" w:rsidRPr="00500F30">
        <w:rPr>
          <w:rFonts w:ascii="Times New Roman" w:hAnsi="Times New Roman" w:cs="Times New Roman"/>
          <w:bCs/>
          <w:sz w:val="28"/>
          <w:szCs w:val="28"/>
        </w:rPr>
        <w:t xml:space="preserve">When </w:t>
      </w:r>
      <w:r w:rsidRPr="00500F30">
        <w:rPr>
          <w:rFonts w:ascii="Times New Roman" w:hAnsi="Times New Roman" w:cs="Times New Roman"/>
          <w:bCs/>
          <w:sz w:val="28"/>
          <w:szCs w:val="28"/>
        </w:rPr>
        <w:t xml:space="preserve">deciding an application for summary judgment, the question is “whether a full-blown trial is </w:t>
      </w:r>
      <w:r w:rsidRPr="00500F30">
        <w:rPr>
          <w:rFonts w:ascii="Times New Roman" w:hAnsi="Times New Roman" w:cs="Times New Roman"/>
          <w:bCs/>
          <w:sz w:val="28"/>
          <w:szCs w:val="28"/>
        </w:rPr>
        <w:lastRenderedPageBreak/>
        <w:t>required to resolve the issue and reach a fair and just result” (</w:t>
      </w:r>
      <w:r w:rsidRPr="00500F30">
        <w:rPr>
          <w:rFonts w:ascii="Times New Roman" w:hAnsi="Times New Roman" w:cs="Times New Roman"/>
          <w:bCs/>
          <w:i/>
          <w:iCs/>
          <w:sz w:val="28"/>
          <w:szCs w:val="28"/>
        </w:rPr>
        <w:t>The Commissioner of the Northwest Territories v 923115 NWT Limited</w:t>
      </w:r>
      <w:r w:rsidRPr="00500F30">
        <w:rPr>
          <w:rFonts w:ascii="Times New Roman" w:hAnsi="Times New Roman" w:cs="Times New Roman"/>
          <w:bCs/>
          <w:sz w:val="28"/>
          <w:szCs w:val="28"/>
        </w:rPr>
        <w:t>, 2018 NWTSC 24, para 45 [</w:t>
      </w:r>
      <w:r w:rsidRPr="00500F30">
        <w:rPr>
          <w:rFonts w:ascii="Times New Roman" w:hAnsi="Times New Roman" w:cs="Times New Roman"/>
          <w:bCs/>
          <w:i/>
          <w:iCs/>
          <w:sz w:val="28"/>
          <w:szCs w:val="28"/>
        </w:rPr>
        <w:t>Commissioner of the Northwest Territories</w:t>
      </w:r>
      <w:r w:rsidRPr="00500F30">
        <w:rPr>
          <w:rFonts w:ascii="Times New Roman" w:hAnsi="Times New Roman" w:cs="Times New Roman"/>
          <w:bCs/>
          <w:sz w:val="28"/>
          <w:szCs w:val="28"/>
        </w:rPr>
        <w:t xml:space="preserve">]; also see </w:t>
      </w:r>
      <w:r w:rsidRPr="00500F30">
        <w:rPr>
          <w:rFonts w:ascii="Times New Roman" w:hAnsi="Times New Roman" w:cs="Times New Roman"/>
          <w:bCs/>
          <w:i/>
          <w:iCs/>
          <w:sz w:val="28"/>
          <w:szCs w:val="28"/>
        </w:rPr>
        <w:t xml:space="preserve">Leishman v </w:t>
      </w:r>
      <w:proofErr w:type="spellStart"/>
      <w:r w:rsidRPr="00500F30">
        <w:rPr>
          <w:rFonts w:ascii="Times New Roman" w:hAnsi="Times New Roman" w:cs="Times New Roman"/>
          <w:bCs/>
          <w:i/>
          <w:iCs/>
          <w:sz w:val="28"/>
          <w:szCs w:val="28"/>
        </w:rPr>
        <w:t>Hoechsmann</w:t>
      </w:r>
      <w:proofErr w:type="spellEnd"/>
      <w:r w:rsidRPr="00500F30">
        <w:rPr>
          <w:rFonts w:ascii="Times New Roman" w:hAnsi="Times New Roman" w:cs="Times New Roman"/>
          <w:bCs/>
          <w:i/>
          <w:iCs/>
          <w:sz w:val="28"/>
          <w:szCs w:val="28"/>
        </w:rPr>
        <w:t>, </w:t>
      </w:r>
      <w:r w:rsidRPr="00500F30">
        <w:rPr>
          <w:rFonts w:ascii="Times New Roman" w:hAnsi="Times New Roman" w:cs="Times New Roman"/>
          <w:bCs/>
          <w:sz w:val="28"/>
          <w:szCs w:val="28"/>
        </w:rPr>
        <w:t>2016 NWTSC 27, para 42). As stated</w:t>
      </w:r>
      <w:r w:rsidR="00CD75A7" w:rsidRPr="00500F30">
        <w:rPr>
          <w:rFonts w:ascii="Times New Roman" w:hAnsi="Times New Roman" w:cs="Times New Roman"/>
          <w:bCs/>
          <w:sz w:val="28"/>
          <w:szCs w:val="28"/>
        </w:rPr>
        <w:t xml:space="preserve"> in</w:t>
      </w:r>
      <w:r w:rsidRPr="00500F30">
        <w:rPr>
          <w:rFonts w:ascii="Times New Roman" w:hAnsi="Times New Roman" w:cs="Times New Roman"/>
          <w:bCs/>
          <w:sz w:val="28"/>
          <w:szCs w:val="28"/>
        </w:rPr>
        <w:t xml:space="preserve"> </w:t>
      </w:r>
      <w:r w:rsidRPr="00500F30">
        <w:rPr>
          <w:rFonts w:ascii="Times New Roman" w:hAnsi="Times New Roman" w:cs="Times New Roman"/>
          <w:bCs/>
          <w:i/>
          <w:iCs/>
          <w:sz w:val="28"/>
          <w:szCs w:val="28"/>
        </w:rPr>
        <w:t>Hryniak</w:t>
      </w:r>
      <w:r w:rsidRPr="00500F30">
        <w:rPr>
          <w:rFonts w:ascii="Times New Roman" w:hAnsi="Times New Roman" w:cs="Times New Roman"/>
          <w:bCs/>
          <w:sz w:val="28"/>
          <w:szCs w:val="28"/>
        </w:rPr>
        <w:t xml:space="preserve">, this will be the case “when the process (1) allows the judge to make the necessary findings of fact, (2) allows the judge to apply the law to the facts, and (3) is a proportionate, more expeditious and less expensive means to achieve a just result” (para 49). </w:t>
      </w:r>
    </w:p>
    <w:p w14:paraId="4F784AB3" w14:textId="77777777" w:rsidR="00D74ACB" w:rsidRPr="00F82B8E" w:rsidRDefault="00D74ACB" w:rsidP="00D74ACB">
      <w:pPr>
        <w:spacing w:after="0" w:line="240" w:lineRule="auto"/>
        <w:jc w:val="both"/>
        <w:rPr>
          <w:rFonts w:ascii="Times New Roman" w:hAnsi="Times New Roman" w:cs="Times New Roman"/>
          <w:bCs/>
          <w:sz w:val="28"/>
          <w:szCs w:val="28"/>
        </w:rPr>
      </w:pPr>
    </w:p>
    <w:p w14:paraId="0D54E76D" w14:textId="56D3BC20" w:rsidR="00AF746F" w:rsidRPr="001911BB" w:rsidRDefault="001348D3" w:rsidP="001911BB">
      <w:pPr>
        <w:pStyle w:val="ListParagraph"/>
        <w:numPr>
          <w:ilvl w:val="0"/>
          <w:numId w:val="1"/>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Although the burden</w:t>
      </w:r>
      <w:r w:rsidR="00F6624F">
        <w:rPr>
          <w:rFonts w:ascii="Times New Roman" w:hAnsi="Times New Roman" w:cs="Times New Roman"/>
          <w:sz w:val="28"/>
          <w:szCs w:val="28"/>
        </w:rPr>
        <w:t xml:space="preserve"> is</w:t>
      </w:r>
      <w:r>
        <w:rPr>
          <w:rFonts w:ascii="Times New Roman" w:hAnsi="Times New Roman" w:cs="Times New Roman"/>
          <w:sz w:val="28"/>
          <w:szCs w:val="28"/>
        </w:rPr>
        <w:t xml:space="preserve"> on the moving party, o</w:t>
      </w:r>
      <w:r w:rsidR="009F3BFB" w:rsidRPr="009F3BFB">
        <w:rPr>
          <w:rFonts w:ascii="Times New Roman" w:hAnsi="Times New Roman" w:cs="Times New Roman"/>
          <w:sz w:val="28"/>
          <w:szCs w:val="28"/>
        </w:rPr>
        <w:t>n a</w:t>
      </w:r>
      <w:r w:rsidR="009F3BFB">
        <w:rPr>
          <w:rFonts w:ascii="Times New Roman" w:hAnsi="Times New Roman" w:cs="Times New Roman"/>
          <w:sz w:val="28"/>
          <w:szCs w:val="28"/>
        </w:rPr>
        <w:t>n application for summary judgment all parties have the obligation to put their best foot forward</w:t>
      </w:r>
      <w:r w:rsidR="001A7145">
        <w:rPr>
          <w:rFonts w:ascii="Times New Roman" w:hAnsi="Times New Roman" w:cs="Times New Roman"/>
          <w:sz w:val="28"/>
          <w:szCs w:val="28"/>
        </w:rPr>
        <w:t xml:space="preserve"> (</w:t>
      </w:r>
      <w:r w:rsidR="001A7145" w:rsidRPr="00C57372">
        <w:rPr>
          <w:rFonts w:ascii="Times New Roman" w:hAnsi="Times New Roman" w:cs="Times New Roman"/>
          <w:bCs/>
          <w:i/>
          <w:iCs/>
          <w:sz w:val="28"/>
          <w:szCs w:val="28"/>
          <w:lang w:val="en-US"/>
        </w:rPr>
        <w:t>Commissioner of the Northwest Territories</w:t>
      </w:r>
      <w:r w:rsidR="001A7145">
        <w:rPr>
          <w:rFonts w:ascii="Times New Roman" w:hAnsi="Times New Roman" w:cs="Times New Roman"/>
          <w:bCs/>
          <w:sz w:val="28"/>
          <w:szCs w:val="28"/>
          <w:lang w:val="en-US"/>
        </w:rPr>
        <w:t xml:space="preserve">, para </w:t>
      </w:r>
      <w:r w:rsidR="004A77E4">
        <w:rPr>
          <w:rFonts w:ascii="Times New Roman" w:hAnsi="Times New Roman" w:cs="Times New Roman"/>
          <w:bCs/>
          <w:sz w:val="28"/>
          <w:szCs w:val="28"/>
          <w:lang w:val="en-US"/>
        </w:rPr>
        <w:t>60)</w:t>
      </w:r>
      <w:r w:rsidR="009F3BFB">
        <w:rPr>
          <w:rFonts w:ascii="Times New Roman" w:hAnsi="Times New Roman" w:cs="Times New Roman"/>
          <w:sz w:val="28"/>
          <w:szCs w:val="28"/>
        </w:rPr>
        <w:t xml:space="preserve">. </w:t>
      </w:r>
      <w:r w:rsidR="00AF746F" w:rsidRPr="009F3BFB">
        <w:rPr>
          <w:rFonts w:ascii="Times New Roman" w:hAnsi="Times New Roman" w:cs="Times New Roman"/>
          <w:sz w:val="28"/>
          <w:szCs w:val="28"/>
        </w:rPr>
        <w:t xml:space="preserve">As </w:t>
      </w:r>
      <w:r w:rsidR="00B63193">
        <w:rPr>
          <w:rFonts w:ascii="Times New Roman" w:hAnsi="Times New Roman" w:cs="Times New Roman"/>
          <w:sz w:val="28"/>
          <w:szCs w:val="28"/>
        </w:rPr>
        <w:t xml:space="preserve">Schuler J. </w:t>
      </w:r>
      <w:r w:rsidR="00AF746F" w:rsidRPr="009F3BFB">
        <w:rPr>
          <w:rFonts w:ascii="Times New Roman" w:hAnsi="Times New Roman" w:cs="Times New Roman"/>
          <w:sz w:val="28"/>
          <w:szCs w:val="28"/>
        </w:rPr>
        <w:t xml:space="preserve">stated in </w:t>
      </w:r>
      <w:r w:rsidR="001911BB" w:rsidRPr="001911BB">
        <w:rPr>
          <w:rFonts w:ascii="Times New Roman" w:hAnsi="Times New Roman" w:cs="Times New Roman"/>
          <w:i/>
          <w:iCs/>
          <w:sz w:val="28"/>
          <w:szCs w:val="28"/>
        </w:rPr>
        <w:t xml:space="preserve">Arctic Environmental v Northern Mgmt. &amp; Komaromi, </w:t>
      </w:r>
      <w:r w:rsidR="001911BB" w:rsidRPr="00EF31A1">
        <w:rPr>
          <w:rFonts w:ascii="Times New Roman" w:hAnsi="Times New Roman" w:cs="Times New Roman"/>
          <w:sz w:val="28"/>
          <w:szCs w:val="28"/>
        </w:rPr>
        <w:t>2000 NWTSC 53</w:t>
      </w:r>
      <w:r w:rsidR="00AF746F" w:rsidRPr="001911BB">
        <w:rPr>
          <w:rFonts w:ascii="Times New Roman" w:hAnsi="Times New Roman" w:cs="Times New Roman"/>
          <w:sz w:val="28"/>
          <w:szCs w:val="28"/>
        </w:rPr>
        <w:t xml:space="preserve">, </w:t>
      </w:r>
      <w:r w:rsidR="00DA3F47" w:rsidRPr="001911BB">
        <w:rPr>
          <w:rFonts w:ascii="Times New Roman" w:hAnsi="Times New Roman" w:cs="Times New Roman"/>
          <w:sz w:val="28"/>
          <w:szCs w:val="28"/>
        </w:rPr>
        <w:t xml:space="preserve">at </w:t>
      </w:r>
      <w:r w:rsidR="004207DF" w:rsidRPr="001911BB">
        <w:rPr>
          <w:rFonts w:ascii="Times New Roman" w:hAnsi="Times New Roman" w:cs="Times New Roman"/>
          <w:sz w:val="28"/>
          <w:szCs w:val="28"/>
        </w:rPr>
        <w:t>para 23</w:t>
      </w:r>
      <w:r w:rsidR="00AF746F" w:rsidRPr="001911BB">
        <w:rPr>
          <w:rFonts w:ascii="Times New Roman" w:hAnsi="Times New Roman" w:cs="Times New Roman"/>
          <w:sz w:val="28"/>
          <w:szCs w:val="28"/>
        </w:rPr>
        <w:t>:</w:t>
      </w:r>
    </w:p>
    <w:p w14:paraId="75964604" w14:textId="77777777" w:rsidR="00DA3F47" w:rsidRPr="009F3BFB" w:rsidRDefault="00DA3F47" w:rsidP="00DA3F47">
      <w:pPr>
        <w:pStyle w:val="ListParagraph"/>
        <w:spacing w:after="0" w:line="240" w:lineRule="auto"/>
        <w:ind w:left="0"/>
        <w:contextualSpacing w:val="0"/>
        <w:jc w:val="both"/>
        <w:rPr>
          <w:rFonts w:ascii="Times New Roman" w:hAnsi="Times New Roman" w:cs="Times New Roman"/>
          <w:sz w:val="28"/>
          <w:szCs w:val="28"/>
        </w:rPr>
      </w:pPr>
    </w:p>
    <w:p w14:paraId="2B8A42F6" w14:textId="221BF0C6" w:rsidR="004207DF" w:rsidRPr="004207DF" w:rsidRDefault="004207DF" w:rsidP="00E70373">
      <w:pPr>
        <w:pStyle w:val="ListParagraph"/>
        <w:ind w:right="855"/>
        <w:jc w:val="both"/>
        <w:rPr>
          <w:rFonts w:ascii="Times New Roman" w:hAnsi="Times New Roman" w:cs="Times New Roman"/>
          <w:bCs/>
          <w:sz w:val="24"/>
          <w:szCs w:val="24"/>
        </w:rPr>
      </w:pPr>
      <w:r w:rsidRPr="004207DF">
        <w:rPr>
          <w:rFonts w:ascii="Times New Roman" w:hAnsi="Times New Roman" w:cs="Times New Roman"/>
          <w:bCs/>
          <w:sz w:val="24"/>
          <w:szCs w:val="24"/>
        </w:rPr>
        <w:t>A judge hearing an application for summary judgment is entitled to assume that the parties have put their best foot forward.  It is not sufficient for the responding party to say that more and better evidence will or may be available at trial; the judge is entitled to assume that the parties would present no additional evidence at trial</w:t>
      </w:r>
      <w:r w:rsidR="00E70373">
        <w:rPr>
          <w:rFonts w:ascii="Times New Roman" w:hAnsi="Times New Roman" w:cs="Times New Roman"/>
          <w:bCs/>
          <w:sz w:val="24"/>
          <w:szCs w:val="24"/>
        </w:rPr>
        <w:t>.</w:t>
      </w:r>
    </w:p>
    <w:p w14:paraId="16778D07" w14:textId="77777777" w:rsidR="008D48B0" w:rsidRPr="009F3BFB" w:rsidRDefault="008D48B0" w:rsidP="008D48B0">
      <w:pPr>
        <w:pStyle w:val="ListParagraph"/>
        <w:rPr>
          <w:rFonts w:ascii="Times New Roman" w:hAnsi="Times New Roman" w:cs="Times New Roman"/>
          <w:sz w:val="28"/>
          <w:szCs w:val="28"/>
        </w:rPr>
      </w:pPr>
    </w:p>
    <w:p w14:paraId="65B7E85B" w14:textId="1D53499D" w:rsidR="00D74ACB" w:rsidRPr="009F3BFB" w:rsidRDefault="00332382" w:rsidP="00D74ACB">
      <w:pPr>
        <w:pStyle w:val="ListParagraph"/>
        <w:numPr>
          <w:ilvl w:val="0"/>
          <w:numId w:val="1"/>
        </w:numPr>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This principle is embodied in </w:t>
      </w:r>
      <w:r w:rsidR="00D74ACB" w:rsidRPr="009F3BFB">
        <w:rPr>
          <w:rFonts w:ascii="Times New Roman" w:hAnsi="Times New Roman" w:cs="Times New Roman"/>
          <w:sz w:val="28"/>
          <w:szCs w:val="28"/>
        </w:rPr>
        <w:t>R</w:t>
      </w:r>
      <w:r>
        <w:rPr>
          <w:rFonts w:ascii="Times New Roman" w:hAnsi="Times New Roman" w:cs="Times New Roman"/>
          <w:sz w:val="28"/>
          <w:szCs w:val="28"/>
        </w:rPr>
        <w:t>ule</w:t>
      </w:r>
      <w:r w:rsidR="0034722C">
        <w:rPr>
          <w:rFonts w:ascii="Times New Roman" w:hAnsi="Times New Roman" w:cs="Times New Roman"/>
          <w:sz w:val="28"/>
          <w:szCs w:val="28"/>
        </w:rPr>
        <w:t xml:space="preserve"> </w:t>
      </w:r>
      <w:r w:rsidR="00D74ACB" w:rsidRPr="009F3BFB">
        <w:rPr>
          <w:rFonts w:ascii="Times New Roman" w:hAnsi="Times New Roman" w:cs="Times New Roman"/>
          <w:sz w:val="28"/>
          <w:szCs w:val="28"/>
        </w:rPr>
        <w:t>176</w:t>
      </w:r>
      <w:r>
        <w:rPr>
          <w:rFonts w:ascii="Times New Roman" w:hAnsi="Times New Roman" w:cs="Times New Roman"/>
          <w:sz w:val="28"/>
          <w:szCs w:val="28"/>
        </w:rPr>
        <w:t>(1), which provides that</w:t>
      </w:r>
      <w:r w:rsidR="00F55FDA">
        <w:rPr>
          <w:rFonts w:ascii="Times New Roman" w:hAnsi="Times New Roman" w:cs="Times New Roman"/>
          <w:sz w:val="28"/>
          <w:szCs w:val="28"/>
        </w:rPr>
        <w:t xml:space="preserve"> the respondent</w:t>
      </w:r>
      <w:r w:rsidR="00D74ACB" w:rsidRPr="009F3BFB">
        <w:rPr>
          <w:rFonts w:ascii="Times New Roman" w:hAnsi="Times New Roman" w:cs="Times New Roman"/>
          <w:sz w:val="28"/>
          <w:szCs w:val="28"/>
        </w:rPr>
        <w:t xml:space="preserve"> </w:t>
      </w:r>
      <w:r w:rsidR="00CB53E5" w:rsidRPr="0000436D">
        <w:rPr>
          <w:rFonts w:ascii="Times New Roman" w:hAnsi="Times New Roman" w:cs="Times New Roman"/>
          <w:sz w:val="28"/>
          <w:szCs w:val="28"/>
        </w:rPr>
        <w:t>“</w:t>
      </w:r>
      <w:r w:rsidR="00D74ACB" w:rsidRPr="0000436D">
        <w:rPr>
          <w:rFonts w:ascii="Times New Roman" w:hAnsi="Times New Roman" w:cs="Times New Roman"/>
          <w:sz w:val="28"/>
          <w:szCs w:val="28"/>
        </w:rPr>
        <w:t>may not rest on the mere allegations or denials in his or her pleadings, but must set out, in affidavit material or other evidence, specific facts showing that there is a</w:t>
      </w:r>
      <w:r w:rsidR="00D74ACB" w:rsidRPr="009F3BFB">
        <w:rPr>
          <w:rFonts w:ascii="Times New Roman" w:hAnsi="Times New Roman" w:cs="Times New Roman"/>
          <w:sz w:val="28"/>
          <w:szCs w:val="28"/>
        </w:rPr>
        <w:t xml:space="preserve"> genuine issue for trial”.</w:t>
      </w:r>
      <w:r w:rsidR="00A43D6B">
        <w:rPr>
          <w:rFonts w:ascii="Times New Roman" w:hAnsi="Times New Roman" w:cs="Times New Roman"/>
          <w:sz w:val="28"/>
          <w:szCs w:val="28"/>
        </w:rPr>
        <w:t xml:space="preserve"> </w:t>
      </w:r>
    </w:p>
    <w:p w14:paraId="5C929725" w14:textId="77777777" w:rsidR="00D74ACB" w:rsidRPr="009F3BFB" w:rsidRDefault="00D74ACB" w:rsidP="00D74ACB">
      <w:pPr>
        <w:pStyle w:val="ListParagraph"/>
        <w:rPr>
          <w:rFonts w:ascii="Times New Roman" w:hAnsi="Times New Roman" w:cs="Times New Roman"/>
          <w:sz w:val="28"/>
          <w:szCs w:val="28"/>
        </w:rPr>
      </w:pPr>
    </w:p>
    <w:p w14:paraId="7083246C" w14:textId="0CB1952B" w:rsidR="00D74ACB" w:rsidRPr="00352F0A" w:rsidRDefault="008312E8" w:rsidP="00352F0A">
      <w:pPr>
        <w:pStyle w:val="ListParagraph"/>
        <w:numPr>
          <w:ilvl w:val="0"/>
          <w:numId w:val="1"/>
        </w:numPr>
        <w:spacing w:after="0" w:line="240" w:lineRule="auto"/>
        <w:jc w:val="both"/>
        <w:rPr>
          <w:rFonts w:ascii="Times New Roman" w:hAnsi="Times New Roman" w:cs="Times New Roman"/>
          <w:sz w:val="28"/>
          <w:szCs w:val="28"/>
        </w:rPr>
      </w:pPr>
      <w:r w:rsidRPr="00310EDA">
        <w:rPr>
          <w:rFonts w:ascii="Times New Roman" w:hAnsi="Times New Roman" w:cs="Times New Roman"/>
          <w:sz w:val="28"/>
          <w:szCs w:val="28"/>
        </w:rPr>
        <w:t xml:space="preserve">Summary judgment is not limited to cases where the evidence </w:t>
      </w:r>
      <w:r w:rsidR="00226D89">
        <w:rPr>
          <w:rFonts w:ascii="Times New Roman" w:hAnsi="Times New Roman" w:cs="Times New Roman"/>
          <w:sz w:val="28"/>
          <w:szCs w:val="28"/>
        </w:rPr>
        <w:t>is</w:t>
      </w:r>
      <w:r w:rsidR="00226D89" w:rsidRPr="00310EDA">
        <w:rPr>
          <w:rFonts w:ascii="Times New Roman" w:hAnsi="Times New Roman" w:cs="Times New Roman"/>
          <w:sz w:val="28"/>
          <w:szCs w:val="28"/>
        </w:rPr>
        <w:t xml:space="preserve"> </w:t>
      </w:r>
      <w:r w:rsidR="00754605" w:rsidRPr="00310EDA">
        <w:rPr>
          <w:rFonts w:ascii="Times New Roman" w:hAnsi="Times New Roman" w:cs="Times New Roman"/>
          <w:sz w:val="28"/>
          <w:szCs w:val="28"/>
        </w:rPr>
        <w:t>uncontested</w:t>
      </w:r>
      <w:r w:rsidR="00754605">
        <w:rPr>
          <w:rFonts w:ascii="Times New Roman" w:hAnsi="Times New Roman" w:cs="Times New Roman"/>
          <w:sz w:val="28"/>
          <w:szCs w:val="28"/>
        </w:rPr>
        <w:t>.</w:t>
      </w:r>
      <w:r w:rsidR="00545404">
        <w:rPr>
          <w:rFonts w:ascii="Times New Roman" w:hAnsi="Times New Roman" w:cs="Times New Roman"/>
          <w:sz w:val="28"/>
          <w:szCs w:val="28"/>
        </w:rPr>
        <w:t xml:space="preserve"> </w:t>
      </w:r>
      <w:r w:rsidR="00511588">
        <w:rPr>
          <w:rFonts w:ascii="Times New Roman" w:hAnsi="Times New Roman" w:cs="Times New Roman"/>
          <w:sz w:val="28"/>
          <w:szCs w:val="28"/>
        </w:rPr>
        <w:t xml:space="preserve">When possible, the application judge should </w:t>
      </w:r>
      <w:r w:rsidR="000166A9">
        <w:rPr>
          <w:rFonts w:ascii="Times New Roman" w:hAnsi="Times New Roman" w:cs="Times New Roman"/>
          <w:sz w:val="28"/>
          <w:szCs w:val="28"/>
        </w:rPr>
        <w:t xml:space="preserve">make findings of </w:t>
      </w:r>
      <w:r w:rsidR="000166A9" w:rsidRPr="0070287E">
        <w:rPr>
          <w:rFonts w:ascii="Times New Roman" w:hAnsi="Times New Roman" w:cs="Times New Roman"/>
          <w:sz w:val="28"/>
          <w:szCs w:val="28"/>
        </w:rPr>
        <w:t>fact</w:t>
      </w:r>
      <w:r w:rsidR="000166A9">
        <w:rPr>
          <w:rFonts w:ascii="Times New Roman" w:hAnsi="Times New Roman" w:cs="Times New Roman"/>
          <w:sz w:val="28"/>
          <w:szCs w:val="28"/>
        </w:rPr>
        <w:t xml:space="preserve"> (</w:t>
      </w:r>
      <w:r w:rsidR="00D94BD7" w:rsidRPr="00D94BD7">
        <w:rPr>
          <w:rFonts w:ascii="Times New Roman" w:hAnsi="Times New Roman" w:cs="Times New Roman"/>
          <w:i/>
          <w:iCs/>
          <w:sz w:val="28"/>
          <w:szCs w:val="28"/>
        </w:rPr>
        <w:t xml:space="preserve">Weir-Jones Technical Services Incorporated v Purolator Courier Ltd, </w:t>
      </w:r>
      <w:r w:rsidR="00D94BD7" w:rsidRPr="00D94BD7">
        <w:rPr>
          <w:rFonts w:ascii="Times New Roman" w:hAnsi="Times New Roman" w:cs="Times New Roman"/>
          <w:sz w:val="28"/>
          <w:szCs w:val="28"/>
        </w:rPr>
        <w:t>2019 ABCA 49</w:t>
      </w:r>
      <w:r w:rsidR="00D94BD7">
        <w:rPr>
          <w:rFonts w:ascii="Times New Roman" w:hAnsi="Times New Roman" w:cs="Times New Roman"/>
          <w:i/>
          <w:iCs/>
          <w:sz w:val="28"/>
          <w:szCs w:val="28"/>
        </w:rPr>
        <w:t xml:space="preserve">, </w:t>
      </w:r>
      <w:r w:rsidR="000166A9" w:rsidRPr="00D94BD7">
        <w:rPr>
          <w:rFonts w:ascii="Times New Roman" w:hAnsi="Times New Roman" w:cs="Times New Roman"/>
          <w:sz w:val="28"/>
          <w:szCs w:val="28"/>
        </w:rPr>
        <w:t>paras 21 and 36</w:t>
      </w:r>
      <w:r w:rsidR="00D94BD7">
        <w:rPr>
          <w:rFonts w:ascii="Times New Roman" w:hAnsi="Times New Roman" w:cs="Times New Roman"/>
          <w:sz w:val="28"/>
          <w:szCs w:val="28"/>
        </w:rPr>
        <w:t>, [</w:t>
      </w:r>
      <w:r w:rsidR="00D94BD7" w:rsidRPr="00D94BD7">
        <w:rPr>
          <w:rFonts w:ascii="Times New Roman" w:hAnsi="Times New Roman" w:cs="Times New Roman"/>
          <w:i/>
          <w:iCs/>
          <w:sz w:val="28"/>
          <w:szCs w:val="28"/>
        </w:rPr>
        <w:t>Weir-Jones</w:t>
      </w:r>
      <w:r w:rsidR="00D94BD7">
        <w:rPr>
          <w:rFonts w:ascii="Times New Roman" w:hAnsi="Times New Roman" w:cs="Times New Roman"/>
          <w:sz w:val="28"/>
          <w:szCs w:val="28"/>
        </w:rPr>
        <w:t>]</w:t>
      </w:r>
      <w:r w:rsidR="00352F0A">
        <w:rPr>
          <w:rFonts w:ascii="Times New Roman" w:hAnsi="Times New Roman" w:cs="Times New Roman"/>
          <w:sz w:val="28"/>
          <w:szCs w:val="28"/>
        </w:rPr>
        <w:t xml:space="preserve">, </w:t>
      </w:r>
      <w:r w:rsidR="00352F0A" w:rsidRPr="00352F0A">
        <w:rPr>
          <w:rFonts w:ascii="Times New Roman" w:hAnsi="Times New Roman" w:cs="Times New Roman"/>
          <w:i/>
          <w:iCs/>
          <w:sz w:val="28"/>
          <w:szCs w:val="28"/>
        </w:rPr>
        <w:t>Public Service Alliance of Canada v Ryland</w:t>
      </w:r>
      <w:r w:rsidR="00352F0A" w:rsidRPr="00352F0A">
        <w:rPr>
          <w:rFonts w:ascii="Times New Roman" w:hAnsi="Times New Roman" w:cs="Times New Roman"/>
          <w:sz w:val="28"/>
          <w:szCs w:val="28"/>
        </w:rPr>
        <w:t>, 2023 NWTSC 1, para</w:t>
      </w:r>
      <w:r w:rsidR="00635A86">
        <w:rPr>
          <w:rFonts w:ascii="Times New Roman" w:hAnsi="Times New Roman" w:cs="Times New Roman"/>
          <w:sz w:val="28"/>
          <w:szCs w:val="28"/>
        </w:rPr>
        <w:t>s</w:t>
      </w:r>
      <w:r w:rsidR="00352F0A" w:rsidRPr="00352F0A">
        <w:rPr>
          <w:rFonts w:ascii="Times New Roman" w:hAnsi="Times New Roman" w:cs="Times New Roman"/>
          <w:sz w:val="28"/>
          <w:szCs w:val="28"/>
        </w:rPr>
        <w:t xml:space="preserve"> </w:t>
      </w:r>
      <w:r w:rsidR="00635A86">
        <w:rPr>
          <w:rFonts w:ascii="Times New Roman" w:hAnsi="Times New Roman" w:cs="Times New Roman"/>
          <w:sz w:val="28"/>
          <w:szCs w:val="28"/>
        </w:rPr>
        <w:t>40-</w:t>
      </w:r>
      <w:r w:rsidR="00352F0A" w:rsidRPr="00352F0A">
        <w:rPr>
          <w:rFonts w:ascii="Times New Roman" w:hAnsi="Times New Roman" w:cs="Times New Roman"/>
          <w:sz w:val="28"/>
          <w:szCs w:val="28"/>
        </w:rPr>
        <w:t>41</w:t>
      </w:r>
      <w:r w:rsidR="000166A9" w:rsidRPr="00352F0A">
        <w:rPr>
          <w:rFonts w:ascii="Times New Roman" w:hAnsi="Times New Roman" w:cs="Times New Roman"/>
          <w:sz w:val="28"/>
          <w:szCs w:val="28"/>
        </w:rPr>
        <w:t xml:space="preserve">). However, </w:t>
      </w:r>
      <w:r w:rsidR="00A160EB" w:rsidRPr="00352F0A">
        <w:rPr>
          <w:rFonts w:ascii="Times New Roman" w:hAnsi="Times New Roman" w:cs="Times New Roman"/>
          <w:sz w:val="28"/>
          <w:szCs w:val="28"/>
        </w:rPr>
        <w:t xml:space="preserve">there are </w:t>
      </w:r>
      <w:r w:rsidR="009F3A66">
        <w:rPr>
          <w:rFonts w:ascii="Times New Roman" w:hAnsi="Times New Roman" w:cs="Times New Roman"/>
          <w:sz w:val="28"/>
          <w:szCs w:val="28"/>
        </w:rPr>
        <w:t>factual issues</w:t>
      </w:r>
      <w:r w:rsidR="00A160EB" w:rsidRPr="00352F0A">
        <w:rPr>
          <w:rFonts w:ascii="Times New Roman" w:hAnsi="Times New Roman" w:cs="Times New Roman"/>
          <w:sz w:val="28"/>
          <w:szCs w:val="28"/>
        </w:rPr>
        <w:t xml:space="preserve"> that are not suitable for determination by way of summary judgment, such as </w:t>
      </w:r>
      <w:r w:rsidR="003677A1" w:rsidRPr="00352F0A">
        <w:rPr>
          <w:rFonts w:ascii="Times New Roman" w:hAnsi="Times New Roman" w:cs="Times New Roman"/>
          <w:sz w:val="28"/>
          <w:szCs w:val="28"/>
        </w:rPr>
        <w:t>credibility issues and conflicts in the evidence on material issues (</w:t>
      </w:r>
      <w:r w:rsidR="00D94BD7" w:rsidRPr="00352F0A">
        <w:rPr>
          <w:rFonts w:ascii="Times New Roman" w:hAnsi="Times New Roman" w:cs="Times New Roman"/>
          <w:i/>
          <w:iCs/>
          <w:sz w:val="28"/>
          <w:szCs w:val="28"/>
        </w:rPr>
        <w:t>Weir-Jones</w:t>
      </w:r>
      <w:r w:rsidR="003677A1" w:rsidRPr="00352F0A">
        <w:rPr>
          <w:rFonts w:ascii="Times New Roman" w:hAnsi="Times New Roman" w:cs="Times New Roman"/>
          <w:sz w:val="28"/>
          <w:szCs w:val="28"/>
        </w:rPr>
        <w:t>, para</w:t>
      </w:r>
      <w:r w:rsidR="00DC4961" w:rsidRPr="00352F0A">
        <w:rPr>
          <w:rFonts w:ascii="Times New Roman" w:hAnsi="Times New Roman" w:cs="Times New Roman"/>
          <w:sz w:val="28"/>
          <w:szCs w:val="28"/>
        </w:rPr>
        <w:t xml:space="preserve"> 38)</w:t>
      </w:r>
      <w:r w:rsidR="00D94BD7" w:rsidRPr="00352F0A">
        <w:rPr>
          <w:rFonts w:ascii="Times New Roman" w:hAnsi="Times New Roman" w:cs="Times New Roman"/>
          <w:sz w:val="28"/>
          <w:szCs w:val="28"/>
        </w:rPr>
        <w:t>.</w:t>
      </w:r>
    </w:p>
    <w:p w14:paraId="710D3D77" w14:textId="77777777" w:rsidR="004C2C58" w:rsidRPr="00F82B8E" w:rsidRDefault="004C2C58" w:rsidP="008D48B0">
      <w:pPr>
        <w:pStyle w:val="ListParagraph"/>
        <w:spacing w:after="0" w:line="240" w:lineRule="auto"/>
        <w:ind w:left="0"/>
        <w:contextualSpacing w:val="0"/>
        <w:jc w:val="both"/>
        <w:rPr>
          <w:rFonts w:ascii="Times New Roman" w:hAnsi="Times New Roman" w:cs="Times New Roman"/>
          <w:sz w:val="28"/>
          <w:szCs w:val="28"/>
        </w:rPr>
      </w:pPr>
    </w:p>
    <w:p w14:paraId="5EF41966" w14:textId="73C8383E" w:rsidR="009762D6" w:rsidRPr="00F82B8E" w:rsidRDefault="00D325D8" w:rsidP="009762D6">
      <w:pPr>
        <w:spacing w:after="0" w:line="240" w:lineRule="auto"/>
        <w:jc w:val="both"/>
        <w:rPr>
          <w:rFonts w:ascii="Times New Roman" w:hAnsi="Times New Roman" w:cs="Times New Roman"/>
          <w:b/>
          <w:i/>
          <w:iCs/>
          <w:sz w:val="28"/>
          <w:szCs w:val="28"/>
        </w:rPr>
      </w:pPr>
      <w:r w:rsidRPr="00F82B8E">
        <w:rPr>
          <w:rFonts w:ascii="Times New Roman" w:hAnsi="Times New Roman" w:cs="Times New Roman"/>
          <w:b/>
          <w:i/>
          <w:iCs/>
          <w:sz w:val="28"/>
          <w:szCs w:val="28"/>
        </w:rPr>
        <w:t>ONEC’s Claim against Northland</w:t>
      </w:r>
    </w:p>
    <w:p w14:paraId="446CD0EF" w14:textId="77777777" w:rsidR="008B4A4D" w:rsidRPr="00F82B8E" w:rsidRDefault="008B4A4D" w:rsidP="008B4A4D">
      <w:pPr>
        <w:pStyle w:val="ListParagraph"/>
        <w:spacing w:after="0" w:line="240" w:lineRule="auto"/>
        <w:ind w:left="0"/>
        <w:contextualSpacing w:val="0"/>
        <w:jc w:val="both"/>
        <w:rPr>
          <w:rFonts w:ascii="Times New Roman" w:hAnsi="Times New Roman" w:cs="Times New Roman"/>
          <w:bCs/>
          <w:sz w:val="28"/>
          <w:szCs w:val="28"/>
        </w:rPr>
      </w:pPr>
    </w:p>
    <w:p w14:paraId="08FBA06B" w14:textId="24F0B386" w:rsidR="00F62138" w:rsidRPr="00F82B8E" w:rsidRDefault="00792852" w:rsidP="00F62138">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Northland </w:t>
      </w:r>
      <w:r w:rsidR="00887FB2" w:rsidRPr="00F82B8E">
        <w:rPr>
          <w:rFonts w:ascii="Times New Roman" w:hAnsi="Times New Roman" w:cs="Times New Roman"/>
          <w:bCs/>
          <w:sz w:val="28"/>
          <w:szCs w:val="28"/>
        </w:rPr>
        <w:t>submits</w:t>
      </w:r>
      <w:r w:rsidRPr="00F82B8E">
        <w:rPr>
          <w:rFonts w:ascii="Times New Roman" w:hAnsi="Times New Roman" w:cs="Times New Roman"/>
          <w:bCs/>
          <w:sz w:val="28"/>
          <w:szCs w:val="28"/>
        </w:rPr>
        <w:t xml:space="preserve"> that</w:t>
      </w:r>
      <w:r w:rsidR="00A54304" w:rsidRPr="00F82B8E">
        <w:rPr>
          <w:rFonts w:ascii="Times New Roman" w:hAnsi="Times New Roman" w:cs="Times New Roman"/>
          <w:bCs/>
          <w:sz w:val="28"/>
          <w:szCs w:val="28"/>
        </w:rPr>
        <w:t xml:space="preserve"> this matter is s</w:t>
      </w:r>
      <w:r w:rsidRPr="00F82B8E">
        <w:rPr>
          <w:rFonts w:ascii="Times New Roman" w:hAnsi="Times New Roman" w:cs="Times New Roman"/>
          <w:bCs/>
          <w:sz w:val="28"/>
          <w:szCs w:val="28"/>
        </w:rPr>
        <w:t>uitable for summary judgment</w:t>
      </w:r>
      <w:r w:rsidR="00887FB2" w:rsidRPr="00F82B8E">
        <w:rPr>
          <w:rFonts w:ascii="Times New Roman" w:hAnsi="Times New Roman" w:cs="Times New Roman"/>
          <w:bCs/>
          <w:sz w:val="28"/>
          <w:szCs w:val="28"/>
        </w:rPr>
        <w:t xml:space="preserve"> arguing that </w:t>
      </w:r>
      <w:r w:rsidR="007403CD" w:rsidRPr="00F82B8E">
        <w:rPr>
          <w:rFonts w:ascii="Times New Roman" w:hAnsi="Times New Roman" w:cs="Times New Roman"/>
          <w:bCs/>
          <w:sz w:val="28"/>
          <w:szCs w:val="28"/>
        </w:rPr>
        <w:t xml:space="preserve">the affidavit and documentary evidence </w:t>
      </w:r>
      <w:r w:rsidR="00BA70EA" w:rsidRPr="00F82B8E">
        <w:rPr>
          <w:rFonts w:ascii="Times New Roman" w:hAnsi="Times New Roman" w:cs="Times New Roman"/>
          <w:bCs/>
          <w:sz w:val="28"/>
          <w:szCs w:val="28"/>
        </w:rPr>
        <w:t xml:space="preserve">allow the court to fairly </w:t>
      </w:r>
      <w:r w:rsidR="00640DEF" w:rsidRPr="00F82B8E">
        <w:rPr>
          <w:rFonts w:ascii="Times New Roman" w:hAnsi="Times New Roman" w:cs="Times New Roman"/>
          <w:bCs/>
          <w:sz w:val="28"/>
          <w:szCs w:val="28"/>
        </w:rPr>
        <w:t>resolve the issues in dispute</w:t>
      </w:r>
      <w:r w:rsidR="008F7295" w:rsidRPr="00F82B8E">
        <w:rPr>
          <w:rFonts w:ascii="Times New Roman" w:hAnsi="Times New Roman" w:cs="Times New Roman"/>
          <w:bCs/>
          <w:sz w:val="28"/>
          <w:szCs w:val="28"/>
        </w:rPr>
        <w:t>.</w:t>
      </w:r>
      <w:r w:rsidRPr="00F82B8E">
        <w:rPr>
          <w:rFonts w:ascii="Times New Roman" w:hAnsi="Times New Roman" w:cs="Times New Roman"/>
          <w:bCs/>
          <w:sz w:val="28"/>
          <w:szCs w:val="28"/>
        </w:rPr>
        <w:t xml:space="preserve"> ONEC </w:t>
      </w:r>
      <w:r w:rsidR="008F7295" w:rsidRPr="00F82B8E">
        <w:rPr>
          <w:rFonts w:ascii="Times New Roman" w:hAnsi="Times New Roman" w:cs="Times New Roman"/>
          <w:bCs/>
          <w:sz w:val="28"/>
          <w:szCs w:val="28"/>
        </w:rPr>
        <w:t xml:space="preserve">claims </w:t>
      </w:r>
      <w:r w:rsidR="00E83190" w:rsidRPr="00F82B8E">
        <w:rPr>
          <w:rFonts w:ascii="Times New Roman" w:hAnsi="Times New Roman" w:cs="Times New Roman"/>
          <w:bCs/>
          <w:sz w:val="28"/>
          <w:szCs w:val="28"/>
        </w:rPr>
        <w:t xml:space="preserve">the parties have presented conflicting evidence on material </w:t>
      </w:r>
      <w:r w:rsidR="004F1D5E" w:rsidRPr="00F82B8E">
        <w:rPr>
          <w:rFonts w:ascii="Times New Roman" w:hAnsi="Times New Roman" w:cs="Times New Roman"/>
          <w:bCs/>
          <w:sz w:val="28"/>
          <w:szCs w:val="28"/>
        </w:rPr>
        <w:t xml:space="preserve">issues </w:t>
      </w:r>
      <w:r w:rsidR="00455B1C" w:rsidRPr="00F82B8E">
        <w:rPr>
          <w:rFonts w:ascii="Times New Roman" w:hAnsi="Times New Roman" w:cs="Times New Roman"/>
          <w:bCs/>
          <w:sz w:val="28"/>
          <w:szCs w:val="28"/>
        </w:rPr>
        <w:t>and</w:t>
      </w:r>
      <w:r w:rsidR="00E83190" w:rsidRPr="00F82B8E">
        <w:rPr>
          <w:rFonts w:ascii="Times New Roman" w:hAnsi="Times New Roman" w:cs="Times New Roman"/>
          <w:bCs/>
          <w:sz w:val="28"/>
          <w:szCs w:val="28"/>
        </w:rPr>
        <w:t xml:space="preserve"> </w:t>
      </w:r>
      <w:r w:rsidR="0005037D">
        <w:rPr>
          <w:rFonts w:ascii="Times New Roman" w:hAnsi="Times New Roman" w:cs="Times New Roman"/>
          <w:bCs/>
          <w:sz w:val="28"/>
          <w:szCs w:val="28"/>
        </w:rPr>
        <w:t xml:space="preserve">that </w:t>
      </w:r>
      <w:r w:rsidR="007418A0" w:rsidRPr="00F82B8E">
        <w:rPr>
          <w:rFonts w:ascii="Times New Roman" w:hAnsi="Times New Roman" w:cs="Times New Roman"/>
          <w:bCs/>
          <w:sz w:val="28"/>
          <w:szCs w:val="28"/>
        </w:rPr>
        <w:t xml:space="preserve">there are </w:t>
      </w:r>
      <w:r w:rsidR="00E83190" w:rsidRPr="00F82B8E">
        <w:rPr>
          <w:rFonts w:ascii="Times New Roman" w:hAnsi="Times New Roman" w:cs="Times New Roman"/>
          <w:bCs/>
          <w:sz w:val="28"/>
          <w:szCs w:val="28"/>
        </w:rPr>
        <w:t xml:space="preserve">credibility </w:t>
      </w:r>
      <w:r w:rsidR="0058548B" w:rsidRPr="00F82B8E">
        <w:rPr>
          <w:rFonts w:ascii="Times New Roman" w:hAnsi="Times New Roman" w:cs="Times New Roman"/>
          <w:bCs/>
          <w:sz w:val="28"/>
          <w:szCs w:val="28"/>
        </w:rPr>
        <w:t>issues that require a trial.</w:t>
      </w:r>
      <w:r w:rsidR="00E83190" w:rsidRPr="00F82B8E">
        <w:rPr>
          <w:rFonts w:ascii="Times New Roman" w:hAnsi="Times New Roman" w:cs="Times New Roman"/>
          <w:bCs/>
          <w:sz w:val="28"/>
          <w:szCs w:val="28"/>
        </w:rPr>
        <w:t xml:space="preserve"> </w:t>
      </w:r>
    </w:p>
    <w:p w14:paraId="3A6AC859" w14:textId="77777777" w:rsidR="00792852" w:rsidRDefault="00792852" w:rsidP="00F62138">
      <w:pPr>
        <w:pStyle w:val="ListParagraph"/>
        <w:spacing w:after="0" w:line="240" w:lineRule="auto"/>
        <w:ind w:left="0"/>
        <w:contextualSpacing w:val="0"/>
        <w:jc w:val="both"/>
        <w:rPr>
          <w:rFonts w:ascii="Times New Roman" w:hAnsi="Times New Roman" w:cs="Times New Roman"/>
          <w:bCs/>
          <w:sz w:val="28"/>
          <w:szCs w:val="28"/>
        </w:rPr>
      </w:pPr>
    </w:p>
    <w:p w14:paraId="089B0BA2" w14:textId="77777777" w:rsidR="001217AD" w:rsidRPr="00F82B8E" w:rsidRDefault="001217AD" w:rsidP="00F62138">
      <w:pPr>
        <w:pStyle w:val="ListParagraph"/>
        <w:spacing w:after="0" w:line="240" w:lineRule="auto"/>
        <w:ind w:left="0"/>
        <w:contextualSpacing w:val="0"/>
        <w:jc w:val="both"/>
        <w:rPr>
          <w:rFonts w:ascii="Times New Roman" w:hAnsi="Times New Roman" w:cs="Times New Roman"/>
          <w:bCs/>
          <w:sz w:val="28"/>
          <w:szCs w:val="28"/>
        </w:rPr>
      </w:pPr>
    </w:p>
    <w:p w14:paraId="7207204D" w14:textId="4123DC1E" w:rsidR="008B4A4D" w:rsidRPr="00F82B8E" w:rsidRDefault="00982B63" w:rsidP="00F36FC9">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As set out above, in reviewing the evidence, I must assume that the parties have put their best foot forward and that</w:t>
      </w:r>
      <w:r w:rsidR="006809A4">
        <w:rPr>
          <w:rFonts w:ascii="Times New Roman" w:hAnsi="Times New Roman" w:cs="Times New Roman"/>
          <w:bCs/>
          <w:sz w:val="28"/>
          <w:szCs w:val="28"/>
        </w:rPr>
        <w:t xml:space="preserve"> </w:t>
      </w:r>
      <w:r w:rsidRPr="00F82B8E">
        <w:rPr>
          <w:rFonts w:ascii="Times New Roman" w:hAnsi="Times New Roman" w:cs="Times New Roman"/>
          <w:bCs/>
          <w:sz w:val="28"/>
          <w:szCs w:val="28"/>
        </w:rPr>
        <w:t>they have presented</w:t>
      </w:r>
      <w:r w:rsidR="00B0515A" w:rsidRPr="00F82B8E">
        <w:rPr>
          <w:rFonts w:ascii="Times New Roman" w:hAnsi="Times New Roman" w:cs="Times New Roman"/>
          <w:bCs/>
          <w:sz w:val="28"/>
          <w:szCs w:val="28"/>
        </w:rPr>
        <w:t xml:space="preserve"> </w:t>
      </w:r>
      <w:r w:rsidRPr="00F82B8E">
        <w:rPr>
          <w:rFonts w:ascii="Times New Roman" w:hAnsi="Times New Roman" w:cs="Times New Roman"/>
          <w:bCs/>
          <w:sz w:val="28"/>
          <w:szCs w:val="28"/>
        </w:rPr>
        <w:t>the evidence they w</w:t>
      </w:r>
      <w:r w:rsidR="00A0479C">
        <w:rPr>
          <w:rFonts w:ascii="Times New Roman" w:hAnsi="Times New Roman" w:cs="Times New Roman"/>
          <w:bCs/>
          <w:sz w:val="28"/>
          <w:szCs w:val="28"/>
        </w:rPr>
        <w:t>ould</w:t>
      </w:r>
      <w:r w:rsidRPr="00F82B8E">
        <w:rPr>
          <w:rFonts w:ascii="Times New Roman" w:hAnsi="Times New Roman" w:cs="Times New Roman"/>
          <w:bCs/>
          <w:sz w:val="28"/>
          <w:szCs w:val="28"/>
        </w:rPr>
        <w:t xml:space="preserve"> rely on at trial. </w:t>
      </w:r>
      <w:r w:rsidR="008B4A4D" w:rsidRPr="00F82B8E">
        <w:rPr>
          <w:rFonts w:ascii="Times New Roman" w:hAnsi="Times New Roman" w:cs="Times New Roman"/>
          <w:bCs/>
          <w:sz w:val="28"/>
          <w:szCs w:val="28"/>
        </w:rPr>
        <w:t xml:space="preserve">I find that </w:t>
      </w:r>
      <w:r w:rsidR="000C75F6" w:rsidRPr="00F82B8E">
        <w:rPr>
          <w:rFonts w:ascii="Times New Roman" w:hAnsi="Times New Roman" w:cs="Times New Roman"/>
          <w:bCs/>
          <w:sz w:val="28"/>
          <w:szCs w:val="28"/>
        </w:rPr>
        <w:t>the assessment of ONEC’s claim is</w:t>
      </w:r>
      <w:r w:rsidR="008B4A4D" w:rsidRPr="00F82B8E">
        <w:rPr>
          <w:rFonts w:ascii="Times New Roman" w:hAnsi="Times New Roman" w:cs="Times New Roman"/>
          <w:bCs/>
          <w:sz w:val="28"/>
          <w:szCs w:val="28"/>
        </w:rPr>
        <w:t xml:space="preserve"> suitable for summary judgment be</w:t>
      </w:r>
      <w:r w:rsidR="000C75F6" w:rsidRPr="00F82B8E">
        <w:rPr>
          <w:rFonts w:ascii="Times New Roman" w:hAnsi="Times New Roman" w:cs="Times New Roman"/>
          <w:bCs/>
          <w:sz w:val="28"/>
          <w:szCs w:val="28"/>
        </w:rPr>
        <w:t>cause</w:t>
      </w:r>
      <w:r w:rsidR="000D6655" w:rsidRPr="00F82B8E">
        <w:rPr>
          <w:rFonts w:ascii="Times New Roman" w:hAnsi="Times New Roman" w:cs="Times New Roman"/>
          <w:bCs/>
          <w:sz w:val="28"/>
          <w:szCs w:val="28"/>
        </w:rPr>
        <w:t xml:space="preserve"> even </w:t>
      </w:r>
      <w:r w:rsidR="00672512" w:rsidRPr="00F82B8E">
        <w:rPr>
          <w:rFonts w:ascii="Times New Roman" w:hAnsi="Times New Roman" w:cs="Times New Roman"/>
          <w:bCs/>
          <w:sz w:val="28"/>
          <w:szCs w:val="28"/>
        </w:rPr>
        <w:t xml:space="preserve">taking ONEC’s case at its best, </w:t>
      </w:r>
      <w:r w:rsidR="001D39E8" w:rsidRPr="00F82B8E">
        <w:rPr>
          <w:rFonts w:ascii="Times New Roman" w:hAnsi="Times New Roman" w:cs="Times New Roman"/>
          <w:bCs/>
          <w:sz w:val="28"/>
          <w:szCs w:val="28"/>
        </w:rPr>
        <w:t xml:space="preserve">there is simply not sufficient evidence to support ONEC’s claim. </w:t>
      </w:r>
      <w:r w:rsidR="00F62138" w:rsidRPr="00F82B8E">
        <w:rPr>
          <w:rFonts w:ascii="Times New Roman" w:hAnsi="Times New Roman" w:cs="Times New Roman"/>
          <w:bCs/>
          <w:sz w:val="28"/>
          <w:szCs w:val="28"/>
        </w:rPr>
        <w:t xml:space="preserve">On </w:t>
      </w:r>
      <w:r w:rsidR="00A61E33" w:rsidRPr="00F82B8E">
        <w:rPr>
          <w:rFonts w:ascii="Times New Roman" w:hAnsi="Times New Roman" w:cs="Times New Roman"/>
          <w:bCs/>
          <w:sz w:val="28"/>
          <w:szCs w:val="28"/>
        </w:rPr>
        <w:t>the</w:t>
      </w:r>
      <w:r w:rsidR="00F62138" w:rsidRPr="00F82B8E">
        <w:rPr>
          <w:rFonts w:ascii="Times New Roman" w:hAnsi="Times New Roman" w:cs="Times New Roman"/>
          <w:bCs/>
          <w:sz w:val="28"/>
          <w:szCs w:val="28"/>
        </w:rPr>
        <w:t xml:space="preserve"> record</w:t>
      </w:r>
      <w:r w:rsidR="00A61E33" w:rsidRPr="00F82B8E">
        <w:rPr>
          <w:rFonts w:ascii="Times New Roman" w:hAnsi="Times New Roman" w:cs="Times New Roman"/>
          <w:bCs/>
          <w:sz w:val="28"/>
          <w:szCs w:val="28"/>
        </w:rPr>
        <w:t xml:space="preserve"> </w:t>
      </w:r>
      <w:r w:rsidR="00A61E33" w:rsidRPr="00417026">
        <w:rPr>
          <w:rFonts w:ascii="Times New Roman" w:hAnsi="Times New Roman" w:cs="Times New Roman"/>
          <w:bCs/>
          <w:sz w:val="28"/>
          <w:szCs w:val="28"/>
        </w:rPr>
        <w:t>adduced</w:t>
      </w:r>
      <w:r w:rsidR="00A61E33" w:rsidRPr="00F82B8E">
        <w:rPr>
          <w:rFonts w:ascii="Times New Roman" w:hAnsi="Times New Roman" w:cs="Times New Roman"/>
          <w:bCs/>
          <w:sz w:val="28"/>
          <w:szCs w:val="28"/>
        </w:rPr>
        <w:t xml:space="preserve"> before me</w:t>
      </w:r>
      <w:r w:rsidR="00F62138" w:rsidRPr="00F82B8E">
        <w:rPr>
          <w:rFonts w:ascii="Times New Roman" w:hAnsi="Times New Roman" w:cs="Times New Roman"/>
          <w:bCs/>
          <w:sz w:val="28"/>
          <w:szCs w:val="28"/>
        </w:rPr>
        <w:t xml:space="preserve">, ONEC’s action </w:t>
      </w:r>
      <w:r w:rsidR="00B25068" w:rsidRPr="00F82B8E">
        <w:rPr>
          <w:rFonts w:ascii="Times New Roman" w:hAnsi="Times New Roman" w:cs="Times New Roman"/>
          <w:bCs/>
          <w:sz w:val="28"/>
          <w:szCs w:val="28"/>
        </w:rPr>
        <w:t xml:space="preserve">against Northland </w:t>
      </w:r>
      <w:r w:rsidR="00F62138" w:rsidRPr="00F82B8E">
        <w:rPr>
          <w:rFonts w:ascii="Times New Roman" w:hAnsi="Times New Roman" w:cs="Times New Roman"/>
          <w:bCs/>
          <w:sz w:val="28"/>
          <w:szCs w:val="28"/>
        </w:rPr>
        <w:t xml:space="preserve">is bound to fail at trial. </w:t>
      </w:r>
    </w:p>
    <w:p w14:paraId="29F3559D" w14:textId="77777777" w:rsidR="00F62138" w:rsidRPr="00F82B8E" w:rsidRDefault="00F62138" w:rsidP="00D430E1">
      <w:pPr>
        <w:pStyle w:val="ListParagraph"/>
        <w:spacing w:after="0" w:line="240" w:lineRule="auto"/>
        <w:ind w:left="0"/>
        <w:contextualSpacing w:val="0"/>
        <w:jc w:val="both"/>
        <w:rPr>
          <w:rFonts w:ascii="Times New Roman" w:hAnsi="Times New Roman" w:cs="Times New Roman"/>
          <w:bCs/>
          <w:sz w:val="28"/>
          <w:szCs w:val="28"/>
        </w:rPr>
      </w:pPr>
    </w:p>
    <w:p w14:paraId="42E3949E" w14:textId="47504A5D" w:rsidR="00EC7458" w:rsidRPr="00F82B8E" w:rsidRDefault="009D7633" w:rsidP="00F36FC9">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The parties filed evidence. Northland filed an aff</w:t>
      </w:r>
      <w:r w:rsidR="00B7754D" w:rsidRPr="00F82B8E">
        <w:rPr>
          <w:rFonts w:ascii="Times New Roman" w:hAnsi="Times New Roman" w:cs="Times New Roman"/>
          <w:bCs/>
          <w:sz w:val="28"/>
          <w:szCs w:val="28"/>
        </w:rPr>
        <w:t xml:space="preserve">idavit of Rob Christopher Adams. Mr. Adams </w:t>
      </w:r>
      <w:r w:rsidR="00441FB4" w:rsidRPr="00F82B8E">
        <w:rPr>
          <w:rFonts w:ascii="Times New Roman" w:hAnsi="Times New Roman" w:cs="Times New Roman"/>
          <w:bCs/>
          <w:sz w:val="28"/>
          <w:szCs w:val="28"/>
        </w:rPr>
        <w:t>was</w:t>
      </w:r>
      <w:r w:rsidR="0026425A" w:rsidRPr="00F82B8E">
        <w:rPr>
          <w:rFonts w:ascii="Times New Roman" w:hAnsi="Times New Roman" w:cs="Times New Roman"/>
          <w:bCs/>
          <w:sz w:val="28"/>
          <w:szCs w:val="28"/>
        </w:rPr>
        <w:t>,</w:t>
      </w:r>
      <w:r w:rsidR="00441FB4" w:rsidRPr="00F82B8E">
        <w:rPr>
          <w:rFonts w:ascii="Times New Roman" w:hAnsi="Times New Roman" w:cs="Times New Roman"/>
          <w:bCs/>
          <w:sz w:val="28"/>
          <w:szCs w:val="28"/>
        </w:rPr>
        <w:t xml:space="preserve"> at the time of the project</w:t>
      </w:r>
      <w:r w:rsidR="0026425A" w:rsidRPr="00F82B8E">
        <w:rPr>
          <w:rFonts w:ascii="Times New Roman" w:hAnsi="Times New Roman" w:cs="Times New Roman"/>
          <w:bCs/>
          <w:sz w:val="28"/>
          <w:szCs w:val="28"/>
        </w:rPr>
        <w:t>,</w:t>
      </w:r>
      <w:r w:rsidR="00441FB4" w:rsidRPr="00F82B8E">
        <w:rPr>
          <w:rFonts w:ascii="Times New Roman" w:hAnsi="Times New Roman" w:cs="Times New Roman"/>
          <w:bCs/>
          <w:sz w:val="28"/>
          <w:szCs w:val="28"/>
        </w:rPr>
        <w:t xml:space="preserve"> and still is</w:t>
      </w:r>
      <w:r w:rsidR="009E3C3A">
        <w:rPr>
          <w:rFonts w:ascii="Times New Roman" w:hAnsi="Times New Roman" w:cs="Times New Roman"/>
          <w:bCs/>
          <w:sz w:val="28"/>
          <w:szCs w:val="28"/>
        </w:rPr>
        <w:t>,</w:t>
      </w:r>
      <w:r w:rsidR="00B7754D" w:rsidRPr="00F82B8E">
        <w:rPr>
          <w:rFonts w:ascii="Times New Roman" w:hAnsi="Times New Roman" w:cs="Times New Roman"/>
          <w:bCs/>
          <w:sz w:val="28"/>
          <w:szCs w:val="28"/>
        </w:rPr>
        <w:t xml:space="preserve"> </w:t>
      </w:r>
      <w:r w:rsidR="00441FB4" w:rsidRPr="00F82B8E">
        <w:rPr>
          <w:rFonts w:ascii="Times New Roman" w:hAnsi="Times New Roman" w:cs="Times New Roman"/>
          <w:bCs/>
          <w:sz w:val="28"/>
          <w:szCs w:val="28"/>
        </w:rPr>
        <w:t xml:space="preserve">the President of Northland. </w:t>
      </w:r>
      <w:r w:rsidR="00133DAB" w:rsidRPr="00F82B8E">
        <w:rPr>
          <w:rFonts w:ascii="Times New Roman" w:hAnsi="Times New Roman" w:cs="Times New Roman"/>
          <w:bCs/>
          <w:sz w:val="28"/>
          <w:szCs w:val="28"/>
        </w:rPr>
        <w:t xml:space="preserve">Mr. Adams also held the position of President of Northern Operations for </w:t>
      </w:r>
      <w:r w:rsidR="00133DAB" w:rsidRPr="0016177C">
        <w:rPr>
          <w:rFonts w:ascii="Times New Roman" w:hAnsi="Times New Roman" w:cs="Times New Roman"/>
          <w:bCs/>
          <w:sz w:val="28"/>
          <w:szCs w:val="28"/>
        </w:rPr>
        <w:t>ONEC from</w:t>
      </w:r>
      <w:r w:rsidR="00133DAB" w:rsidRPr="00F82B8E">
        <w:rPr>
          <w:rFonts w:ascii="Times New Roman" w:hAnsi="Times New Roman" w:cs="Times New Roman"/>
          <w:bCs/>
          <w:sz w:val="28"/>
          <w:szCs w:val="28"/>
        </w:rPr>
        <w:t xml:space="preserve"> </w:t>
      </w:r>
      <w:r w:rsidR="00EC7458" w:rsidRPr="00F82B8E">
        <w:rPr>
          <w:rFonts w:ascii="Times New Roman" w:hAnsi="Times New Roman" w:cs="Times New Roman"/>
          <w:bCs/>
          <w:sz w:val="28"/>
          <w:szCs w:val="28"/>
        </w:rPr>
        <w:t xml:space="preserve">February 1, </w:t>
      </w:r>
      <w:proofErr w:type="gramStart"/>
      <w:r w:rsidR="00EC7458" w:rsidRPr="00F82B8E">
        <w:rPr>
          <w:rFonts w:ascii="Times New Roman" w:hAnsi="Times New Roman" w:cs="Times New Roman"/>
          <w:bCs/>
          <w:sz w:val="28"/>
          <w:szCs w:val="28"/>
        </w:rPr>
        <w:t>2021</w:t>
      </w:r>
      <w:proofErr w:type="gramEnd"/>
      <w:r w:rsidR="00EC7458" w:rsidRPr="00F82B8E">
        <w:rPr>
          <w:rFonts w:ascii="Times New Roman" w:hAnsi="Times New Roman" w:cs="Times New Roman"/>
          <w:bCs/>
          <w:sz w:val="28"/>
          <w:szCs w:val="28"/>
        </w:rPr>
        <w:t xml:space="preserve"> to June 20, 2022. Mr. Adams deposed </w:t>
      </w:r>
      <w:r w:rsidR="00AB60A3" w:rsidRPr="00F82B8E">
        <w:rPr>
          <w:rFonts w:ascii="Times New Roman" w:hAnsi="Times New Roman" w:cs="Times New Roman"/>
          <w:bCs/>
          <w:sz w:val="28"/>
          <w:szCs w:val="28"/>
        </w:rPr>
        <w:t>on his involvement</w:t>
      </w:r>
      <w:r w:rsidR="007B361E" w:rsidRPr="00F82B8E">
        <w:rPr>
          <w:rFonts w:ascii="Times New Roman" w:hAnsi="Times New Roman" w:cs="Times New Roman"/>
          <w:bCs/>
          <w:sz w:val="28"/>
          <w:szCs w:val="28"/>
        </w:rPr>
        <w:t xml:space="preserve"> and Northland’s involvement</w:t>
      </w:r>
      <w:r w:rsidR="00AB60A3" w:rsidRPr="00F82B8E">
        <w:rPr>
          <w:rFonts w:ascii="Times New Roman" w:hAnsi="Times New Roman" w:cs="Times New Roman"/>
          <w:bCs/>
          <w:sz w:val="28"/>
          <w:szCs w:val="28"/>
        </w:rPr>
        <w:t xml:space="preserve"> in the Inuvik High Point Wind Project</w:t>
      </w:r>
      <w:r w:rsidR="00087444" w:rsidRPr="00F82B8E">
        <w:rPr>
          <w:rFonts w:ascii="Times New Roman" w:hAnsi="Times New Roman" w:cs="Times New Roman"/>
          <w:bCs/>
          <w:sz w:val="28"/>
          <w:szCs w:val="28"/>
        </w:rPr>
        <w:t>. He also produced as exhibits to his affidavit numerous documents related to</w:t>
      </w:r>
      <w:r w:rsidR="006C4FF1" w:rsidRPr="00F82B8E">
        <w:rPr>
          <w:rFonts w:ascii="Times New Roman" w:hAnsi="Times New Roman" w:cs="Times New Roman"/>
          <w:bCs/>
          <w:sz w:val="28"/>
          <w:szCs w:val="28"/>
        </w:rPr>
        <w:t xml:space="preserve"> the project from its</w:t>
      </w:r>
      <w:r w:rsidR="00087444" w:rsidRPr="00F82B8E">
        <w:rPr>
          <w:rFonts w:ascii="Times New Roman" w:hAnsi="Times New Roman" w:cs="Times New Roman"/>
          <w:bCs/>
          <w:sz w:val="28"/>
          <w:szCs w:val="28"/>
        </w:rPr>
        <w:t xml:space="preserve"> </w:t>
      </w:r>
      <w:r w:rsidR="006C4FF1" w:rsidRPr="00F82B8E">
        <w:rPr>
          <w:rFonts w:ascii="Times New Roman" w:hAnsi="Times New Roman" w:cs="Times New Roman"/>
          <w:bCs/>
          <w:sz w:val="28"/>
          <w:szCs w:val="28"/>
        </w:rPr>
        <w:t>inception to the termination of Northland’s contractual relationship with ONEC and</w:t>
      </w:r>
      <w:r w:rsidR="006F4AF4">
        <w:rPr>
          <w:rFonts w:ascii="Times New Roman" w:hAnsi="Times New Roman" w:cs="Times New Roman"/>
          <w:bCs/>
          <w:sz w:val="28"/>
          <w:szCs w:val="28"/>
        </w:rPr>
        <w:t xml:space="preserve"> documents related to</w:t>
      </w:r>
      <w:r w:rsidR="006C4FF1" w:rsidRPr="00F82B8E">
        <w:rPr>
          <w:rFonts w:ascii="Times New Roman" w:hAnsi="Times New Roman" w:cs="Times New Roman"/>
          <w:bCs/>
          <w:sz w:val="28"/>
          <w:szCs w:val="28"/>
        </w:rPr>
        <w:t xml:space="preserve"> </w:t>
      </w:r>
      <w:r w:rsidR="00F1506B" w:rsidRPr="00F82B8E">
        <w:rPr>
          <w:rFonts w:ascii="Times New Roman" w:hAnsi="Times New Roman" w:cs="Times New Roman"/>
          <w:bCs/>
          <w:sz w:val="28"/>
          <w:szCs w:val="28"/>
        </w:rPr>
        <w:t xml:space="preserve">Northland’s claim under the Bond. </w:t>
      </w:r>
      <w:r w:rsidR="007C5238" w:rsidRPr="00F82B8E">
        <w:rPr>
          <w:rFonts w:ascii="Times New Roman" w:hAnsi="Times New Roman" w:cs="Times New Roman"/>
          <w:bCs/>
          <w:sz w:val="28"/>
          <w:szCs w:val="28"/>
        </w:rPr>
        <w:t xml:space="preserve">The affidavit includes evidence that relate both to ONEC’s Statement of Claim and Northland’s </w:t>
      </w:r>
      <w:r w:rsidR="002D07CC">
        <w:rPr>
          <w:rFonts w:ascii="Times New Roman" w:hAnsi="Times New Roman" w:cs="Times New Roman"/>
          <w:bCs/>
          <w:sz w:val="28"/>
          <w:szCs w:val="28"/>
        </w:rPr>
        <w:t>c</w:t>
      </w:r>
      <w:r w:rsidR="007C5238" w:rsidRPr="00F82B8E">
        <w:rPr>
          <w:rFonts w:ascii="Times New Roman" w:hAnsi="Times New Roman" w:cs="Times New Roman"/>
          <w:bCs/>
          <w:sz w:val="28"/>
          <w:szCs w:val="28"/>
        </w:rPr>
        <w:t xml:space="preserve">ounterclaim. </w:t>
      </w:r>
    </w:p>
    <w:p w14:paraId="6EDED05F" w14:textId="77777777" w:rsidR="00877481" w:rsidRPr="00F82B8E" w:rsidRDefault="00877481" w:rsidP="00877481">
      <w:pPr>
        <w:pStyle w:val="ListParagraph"/>
        <w:spacing w:after="0" w:line="240" w:lineRule="auto"/>
        <w:ind w:left="0"/>
        <w:contextualSpacing w:val="0"/>
        <w:jc w:val="both"/>
        <w:rPr>
          <w:rFonts w:ascii="Times New Roman" w:hAnsi="Times New Roman" w:cs="Times New Roman"/>
          <w:bCs/>
          <w:sz w:val="28"/>
          <w:szCs w:val="28"/>
        </w:rPr>
      </w:pPr>
    </w:p>
    <w:p w14:paraId="3FA20FA9" w14:textId="712D4766" w:rsidR="00877481" w:rsidRPr="00F82B8E" w:rsidRDefault="00B47CBF" w:rsidP="00F36FC9">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 December 13, 2024, </w:t>
      </w:r>
      <w:r w:rsidR="00877481" w:rsidRPr="00F82B8E">
        <w:rPr>
          <w:rFonts w:ascii="Times New Roman" w:hAnsi="Times New Roman" w:cs="Times New Roman"/>
          <w:bCs/>
          <w:sz w:val="28"/>
          <w:szCs w:val="28"/>
        </w:rPr>
        <w:t xml:space="preserve">Mr. </w:t>
      </w:r>
      <w:r w:rsidRPr="00F82B8E">
        <w:rPr>
          <w:rFonts w:ascii="Times New Roman" w:hAnsi="Times New Roman" w:cs="Times New Roman"/>
          <w:bCs/>
          <w:sz w:val="28"/>
          <w:szCs w:val="28"/>
        </w:rPr>
        <w:t xml:space="preserve">Adams was </w:t>
      </w:r>
      <w:r w:rsidR="00BF2C3B" w:rsidRPr="00F82B8E">
        <w:rPr>
          <w:rFonts w:ascii="Times New Roman" w:hAnsi="Times New Roman" w:cs="Times New Roman"/>
          <w:bCs/>
          <w:sz w:val="28"/>
          <w:szCs w:val="28"/>
        </w:rPr>
        <w:t>cross-examined</w:t>
      </w:r>
      <w:r w:rsidRPr="00F82B8E">
        <w:rPr>
          <w:rFonts w:ascii="Times New Roman" w:hAnsi="Times New Roman" w:cs="Times New Roman"/>
          <w:bCs/>
          <w:sz w:val="28"/>
          <w:szCs w:val="28"/>
        </w:rPr>
        <w:t xml:space="preserve"> on his affidavit by counsel for ONEC and Liberty and by counsel for NTE. </w:t>
      </w:r>
      <w:r w:rsidR="009C079E" w:rsidRPr="00F82B8E">
        <w:rPr>
          <w:rFonts w:ascii="Times New Roman" w:hAnsi="Times New Roman" w:cs="Times New Roman"/>
          <w:bCs/>
          <w:sz w:val="28"/>
          <w:szCs w:val="28"/>
        </w:rPr>
        <w:t xml:space="preserve">Following this questioning, Northland produced </w:t>
      </w:r>
      <w:r w:rsidR="00BF2C3B" w:rsidRPr="00F82B8E">
        <w:rPr>
          <w:rFonts w:ascii="Times New Roman" w:hAnsi="Times New Roman" w:cs="Times New Roman"/>
          <w:bCs/>
          <w:sz w:val="28"/>
          <w:szCs w:val="28"/>
        </w:rPr>
        <w:t xml:space="preserve">Responses to </w:t>
      </w:r>
      <w:r w:rsidR="008258C8" w:rsidRPr="00F82B8E">
        <w:rPr>
          <w:rFonts w:ascii="Times New Roman" w:hAnsi="Times New Roman" w:cs="Times New Roman"/>
          <w:bCs/>
          <w:sz w:val="28"/>
          <w:szCs w:val="28"/>
        </w:rPr>
        <w:t xml:space="preserve">Undertakings. </w:t>
      </w:r>
    </w:p>
    <w:p w14:paraId="5742F9C8" w14:textId="77777777" w:rsidR="008258C8" w:rsidRPr="00F82B8E" w:rsidRDefault="008258C8" w:rsidP="008258C8">
      <w:pPr>
        <w:pStyle w:val="ListParagraph"/>
        <w:rPr>
          <w:rFonts w:ascii="Times New Roman" w:hAnsi="Times New Roman" w:cs="Times New Roman"/>
          <w:bCs/>
          <w:sz w:val="28"/>
          <w:szCs w:val="28"/>
        </w:rPr>
      </w:pPr>
    </w:p>
    <w:p w14:paraId="3915DDA8" w14:textId="12D5963E" w:rsidR="00D557B0" w:rsidRDefault="008258C8" w:rsidP="00901EF6">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ONEC filed two affidavits</w:t>
      </w:r>
      <w:r w:rsidR="00010E62" w:rsidRPr="00F82B8E">
        <w:rPr>
          <w:rFonts w:ascii="Times New Roman" w:hAnsi="Times New Roman" w:cs="Times New Roman"/>
          <w:bCs/>
          <w:sz w:val="28"/>
          <w:szCs w:val="28"/>
        </w:rPr>
        <w:t xml:space="preserve">: </w:t>
      </w:r>
      <w:r w:rsidR="00C91EE9" w:rsidRPr="00F82B8E">
        <w:rPr>
          <w:rFonts w:ascii="Times New Roman" w:hAnsi="Times New Roman" w:cs="Times New Roman"/>
          <w:bCs/>
          <w:sz w:val="28"/>
          <w:szCs w:val="28"/>
        </w:rPr>
        <w:t xml:space="preserve">the </w:t>
      </w:r>
      <w:r w:rsidR="00010E62" w:rsidRPr="00F82B8E">
        <w:rPr>
          <w:rFonts w:ascii="Times New Roman" w:hAnsi="Times New Roman" w:cs="Times New Roman"/>
          <w:bCs/>
          <w:sz w:val="28"/>
          <w:szCs w:val="28"/>
        </w:rPr>
        <w:t xml:space="preserve">affidavit </w:t>
      </w:r>
      <w:r w:rsidR="00C91EE9" w:rsidRPr="00F82B8E">
        <w:rPr>
          <w:rFonts w:ascii="Times New Roman" w:hAnsi="Times New Roman" w:cs="Times New Roman"/>
          <w:bCs/>
          <w:sz w:val="28"/>
          <w:szCs w:val="28"/>
        </w:rPr>
        <w:t>of</w:t>
      </w:r>
      <w:r w:rsidR="00010E62" w:rsidRPr="00F82B8E">
        <w:rPr>
          <w:rFonts w:ascii="Times New Roman" w:hAnsi="Times New Roman" w:cs="Times New Roman"/>
          <w:bCs/>
          <w:sz w:val="28"/>
          <w:szCs w:val="28"/>
        </w:rPr>
        <w:t xml:space="preserve"> </w:t>
      </w:r>
      <w:r w:rsidR="00A0049F" w:rsidRPr="00F82B8E">
        <w:rPr>
          <w:rFonts w:ascii="Times New Roman" w:hAnsi="Times New Roman" w:cs="Times New Roman"/>
          <w:bCs/>
          <w:sz w:val="28"/>
          <w:szCs w:val="28"/>
        </w:rPr>
        <w:t xml:space="preserve">Denis Wiart, </w:t>
      </w:r>
      <w:r w:rsidR="00C91EE9" w:rsidRPr="00F82B8E">
        <w:rPr>
          <w:rFonts w:ascii="Times New Roman" w:hAnsi="Times New Roman" w:cs="Times New Roman"/>
          <w:bCs/>
          <w:sz w:val="28"/>
          <w:szCs w:val="28"/>
        </w:rPr>
        <w:t>Chief Executive Officer of ONEC, and the affidavit of Stephen Pugh</w:t>
      </w:r>
      <w:r w:rsidR="00DB3523" w:rsidRPr="00F82B8E">
        <w:rPr>
          <w:rFonts w:ascii="Times New Roman" w:hAnsi="Times New Roman" w:cs="Times New Roman"/>
          <w:bCs/>
          <w:sz w:val="28"/>
          <w:szCs w:val="28"/>
        </w:rPr>
        <w:t xml:space="preserve">, </w:t>
      </w:r>
      <w:r w:rsidR="00A0479C">
        <w:rPr>
          <w:rFonts w:ascii="Times New Roman" w:hAnsi="Times New Roman" w:cs="Times New Roman"/>
          <w:bCs/>
          <w:sz w:val="28"/>
          <w:szCs w:val="28"/>
        </w:rPr>
        <w:t xml:space="preserve">an </w:t>
      </w:r>
      <w:r w:rsidR="00DB3523" w:rsidRPr="00F82B8E">
        <w:rPr>
          <w:rFonts w:ascii="Times New Roman" w:hAnsi="Times New Roman" w:cs="Times New Roman"/>
          <w:bCs/>
          <w:sz w:val="28"/>
          <w:szCs w:val="28"/>
        </w:rPr>
        <w:t>Operations Consultant contract</w:t>
      </w:r>
      <w:r w:rsidR="000C4083" w:rsidRPr="00F82B8E">
        <w:rPr>
          <w:rFonts w:ascii="Times New Roman" w:hAnsi="Times New Roman" w:cs="Times New Roman"/>
          <w:bCs/>
          <w:sz w:val="28"/>
          <w:szCs w:val="28"/>
        </w:rPr>
        <w:t xml:space="preserve">ed by ONEC. Mr. Wiart deposed on </w:t>
      </w:r>
      <w:r w:rsidR="00D54C57" w:rsidRPr="00F82B8E">
        <w:rPr>
          <w:rFonts w:ascii="Times New Roman" w:hAnsi="Times New Roman" w:cs="Times New Roman"/>
          <w:bCs/>
          <w:sz w:val="28"/>
          <w:szCs w:val="28"/>
        </w:rPr>
        <w:t>Mr. Adams’ involvement with ONEC</w:t>
      </w:r>
      <w:r w:rsidR="00B17947" w:rsidRPr="00F82B8E">
        <w:rPr>
          <w:rFonts w:ascii="Times New Roman" w:hAnsi="Times New Roman" w:cs="Times New Roman"/>
          <w:bCs/>
          <w:sz w:val="28"/>
          <w:szCs w:val="28"/>
        </w:rPr>
        <w:t xml:space="preserve"> and in the Inuvik High Point Wind Project</w:t>
      </w:r>
      <w:r w:rsidR="003E53E8" w:rsidRPr="00F82B8E">
        <w:rPr>
          <w:rFonts w:ascii="Times New Roman" w:hAnsi="Times New Roman" w:cs="Times New Roman"/>
          <w:bCs/>
          <w:sz w:val="28"/>
          <w:szCs w:val="28"/>
        </w:rPr>
        <w:t>, the role and responsibilities of ONEC in the</w:t>
      </w:r>
      <w:r w:rsidR="005D2C55">
        <w:rPr>
          <w:rFonts w:ascii="Times New Roman" w:hAnsi="Times New Roman" w:cs="Times New Roman"/>
          <w:bCs/>
          <w:sz w:val="28"/>
          <w:szCs w:val="28"/>
        </w:rPr>
        <w:t xml:space="preserve"> project</w:t>
      </w:r>
      <w:r w:rsidR="00FA75AD" w:rsidRPr="00F82B8E">
        <w:rPr>
          <w:rFonts w:ascii="Times New Roman" w:hAnsi="Times New Roman" w:cs="Times New Roman"/>
          <w:bCs/>
          <w:sz w:val="28"/>
          <w:szCs w:val="28"/>
        </w:rPr>
        <w:t xml:space="preserve">, including the contractual relationships between the parties in this litigation, </w:t>
      </w:r>
      <w:r w:rsidR="004B556C" w:rsidRPr="00F82B8E">
        <w:rPr>
          <w:rFonts w:ascii="Times New Roman" w:hAnsi="Times New Roman" w:cs="Times New Roman"/>
          <w:bCs/>
          <w:sz w:val="28"/>
          <w:szCs w:val="28"/>
        </w:rPr>
        <w:t xml:space="preserve">his dealings with Mr. Adams before and during the </w:t>
      </w:r>
      <w:r w:rsidR="00BF6A43" w:rsidRPr="00F82B8E">
        <w:rPr>
          <w:rFonts w:ascii="Times New Roman" w:hAnsi="Times New Roman" w:cs="Times New Roman"/>
          <w:bCs/>
          <w:sz w:val="28"/>
          <w:szCs w:val="28"/>
        </w:rPr>
        <w:t>project</w:t>
      </w:r>
      <w:r w:rsidR="008B6F7A" w:rsidRPr="00F82B8E">
        <w:rPr>
          <w:rFonts w:ascii="Times New Roman" w:hAnsi="Times New Roman" w:cs="Times New Roman"/>
          <w:bCs/>
          <w:sz w:val="28"/>
          <w:szCs w:val="28"/>
        </w:rPr>
        <w:t xml:space="preserve"> and </w:t>
      </w:r>
      <w:r w:rsidR="002C4F59" w:rsidRPr="00F82B8E">
        <w:rPr>
          <w:rFonts w:ascii="Times New Roman" w:hAnsi="Times New Roman" w:cs="Times New Roman"/>
          <w:bCs/>
          <w:sz w:val="28"/>
          <w:szCs w:val="28"/>
        </w:rPr>
        <w:t>issues with Northland’s invoicing</w:t>
      </w:r>
      <w:r w:rsidR="000C4083" w:rsidRPr="00F82B8E">
        <w:rPr>
          <w:rFonts w:ascii="Times New Roman" w:hAnsi="Times New Roman" w:cs="Times New Roman"/>
          <w:bCs/>
          <w:sz w:val="28"/>
          <w:szCs w:val="28"/>
        </w:rPr>
        <w:t>.</w:t>
      </w:r>
      <w:r w:rsidR="00A84CCD" w:rsidRPr="00F82B8E">
        <w:rPr>
          <w:rFonts w:ascii="Times New Roman" w:hAnsi="Times New Roman" w:cs="Times New Roman"/>
          <w:bCs/>
          <w:sz w:val="28"/>
          <w:szCs w:val="28"/>
        </w:rPr>
        <w:t xml:space="preserve"> </w:t>
      </w:r>
      <w:r w:rsidR="007E1C12" w:rsidRPr="00F82B8E">
        <w:rPr>
          <w:rFonts w:ascii="Times New Roman" w:hAnsi="Times New Roman" w:cs="Times New Roman"/>
          <w:bCs/>
          <w:sz w:val="28"/>
          <w:szCs w:val="28"/>
        </w:rPr>
        <w:t>He produced</w:t>
      </w:r>
      <w:r w:rsidR="00174B61">
        <w:rPr>
          <w:rFonts w:ascii="Times New Roman" w:hAnsi="Times New Roman" w:cs="Times New Roman"/>
          <w:bCs/>
          <w:sz w:val="28"/>
          <w:szCs w:val="28"/>
        </w:rPr>
        <w:t>,</w:t>
      </w:r>
      <w:r w:rsidR="007E1C12" w:rsidRPr="00F82B8E">
        <w:rPr>
          <w:rFonts w:ascii="Times New Roman" w:hAnsi="Times New Roman" w:cs="Times New Roman"/>
          <w:bCs/>
          <w:sz w:val="28"/>
          <w:szCs w:val="28"/>
        </w:rPr>
        <w:t xml:space="preserve"> as exhibits to his affidavit</w:t>
      </w:r>
      <w:r w:rsidR="00174B61">
        <w:rPr>
          <w:rFonts w:ascii="Times New Roman" w:hAnsi="Times New Roman" w:cs="Times New Roman"/>
          <w:bCs/>
          <w:sz w:val="28"/>
          <w:szCs w:val="28"/>
        </w:rPr>
        <w:t>,</w:t>
      </w:r>
      <w:r w:rsidR="007E1C12" w:rsidRPr="00F82B8E">
        <w:rPr>
          <w:rFonts w:ascii="Times New Roman" w:hAnsi="Times New Roman" w:cs="Times New Roman"/>
          <w:bCs/>
          <w:sz w:val="28"/>
          <w:szCs w:val="28"/>
        </w:rPr>
        <w:t xml:space="preserve"> related documents.</w:t>
      </w:r>
      <w:r w:rsidR="000C4083" w:rsidRPr="00F82B8E">
        <w:rPr>
          <w:rFonts w:ascii="Times New Roman" w:hAnsi="Times New Roman" w:cs="Times New Roman"/>
          <w:bCs/>
          <w:sz w:val="28"/>
          <w:szCs w:val="28"/>
        </w:rPr>
        <w:t xml:space="preserve"> </w:t>
      </w:r>
    </w:p>
    <w:p w14:paraId="16E53F50" w14:textId="77777777" w:rsidR="00D557B0" w:rsidRPr="00D557B0" w:rsidRDefault="00D557B0" w:rsidP="00D557B0">
      <w:pPr>
        <w:pStyle w:val="ListParagraph"/>
        <w:rPr>
          <w:rFonts w:ascii="Times New Roman" w:hAnsi="Times New Roman" w:cs="Times New Roman"/>
          <w:bCs/>
          <w:sz w:val="28"/>
          <w:szCs w:val="28"/>
        </w:rPr>
      </w:pPr>
    </w:p>
    <w:p w14:paraId="614A13D1" w14:textId="3F42E13A" w:rsidR="00CC0D7A" w:rsidRPr="00F82B8E" w:rsidRDefault="000C4083" w:rsidP="00901EF6">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Mr. Pugh deposed on</w:t>
      </w:r>
      <w:r w:rsidR="00076527" w:rsidRPr="00F82B8E">
        <w:rPr>
          <w:rFonts w:ascii="Times New Roman" w:hAnsi="Times New Roman" w:cs="Times New Roman"/>
          <w:bCs/>
          <w:sz w:val="28"/>
          <w:szCs w:val="28"/>
        </w:rPr>
        <w:t xml:space="preserve"> his involvement in the Inuvik High Point Wind Project, </w:t>
      </w:r>
      <w:r w:rsidR="009F6AAA" w:rsidRPr="00F82B8E">
        <w:rPr>
          <w:rFonts w:ascii="Times New Roman" w:hAnsi="Times New Roman" w:cs="Times New Roman"/>
          <w:bCs/>
          <w:sz w:val="28"/>
          <w:szCs w:val="28"/>
        </w:rPr>
        <w:t xml:space="preserve">his dealings with Mr. Adams, </w:t>
      </w:r>
      <w:r w:rsidR="00B603A7" w:rsidRPr="00F82B8E">
        <w:rPr>
          <w:rFonts w:ascii="Times New Roman" w:hAnsi="Times New Roman" w:cs="Times New Roman"/>
          <w:bCs/>
          <w:sz w:val="28"/>
          <w:szCs w:val="28"/>
        </w:rPr>
        <w:t>Mr. Adams’ role</w:t>
      </w:r>
      <w:r w:rsidR="00B73195" w:rsidRPr="00F82B8E">
        <w:rPr>
          <w:rFonts w:ascii="Times New Roman" w:hAnsi="Times New Roman" w:cs="Times New Roman"/>
          <w:bCs/>
          <w:sz w:val="28"/>
          <w:szCs w:val="28"/>
        </w:rPr>
        <w:t xml:space="preserve"> and responsibilities in the project</w:t>
      </w:r>
      <w:r w:rsidR="00B43810" w:rsidRPr="00F82B8E">
        <w:rPr>
          <w:rFonts w:ascii="Times New Roman" w:hAnsi="Times New Roman" w:cs="Times New Roman"/>
          <w:bCs/>
          <w:sz w:val="28"/>
          <w:szCs w:val="28"/>
        </w:rPr>
        <w:t xml:space="preserve"> including</w:t>
      </w:r>
      <w:r w:rsidR="00237D0E" w:rsidRPr="00F82B8E">
        <w:rPr>
          <w:rFonts w:ascii="Times New Roman" w:hAnsi="Times New Roman" w:cs="Times New Roman"/>
          <w:bCs/>
          <w:sz w:val="28"/>
          <w:szCs w:val="28"/>
        </w:rPr>
        <w:t xml:space="preserve"> Mr. </w:t>
      </w:r>
      <w:r w:rsidR="00283045" w:rsidRPr="00F82B8E">
        <w:rPr>
          <w:rFonts w:ascii="Times New Roman" w:hAnsi="Times New Roman" w:cs="Times New Roman"/>
          <w:bCs/>
          <w:sz w:val="28"/>
          <w:szCs w:val="28"/>
        </w:rPr>
        <w:t xml:space="preserve">Adams’ </w:t>
      </w:r>
      <w:r w:rsidR="006919D0" w:rsidRPr="00F82B8E">
        <w:rPr>
          <w:rFonts w:ascii="Times New Roman" w:hAnsi="Times New Roman" w:cs="Times New Roman"/>
          <w:bCs/>
          <w:sz w:val="28"/>
          <w:szCs w:val="28"/>
        </w:rPr>
        <w:t xml:space="preserve">role in </w:t>
      </w:r>
      <w:r w:rsidR="00283045" w:rsidRPr="00F82B8E">
        <w:rPr>
          <w:rFonts w:ascii="Times New Roman" w:hAnsi="Times New Roman" w:cs="Times New Roman"/>
          <w:bCs/>
          <w:sz w:val="28"/>
          <w:szCs w:val="28"/>
        </w:rPr>
        <w:t xml:space="preserve">reviewing and </w:t>
      </w:r>
      <w:r w:rsidR="006919D0" w:rsidRPr="00F82B8E">
        <w:rPr>
          <w:rFonts w:ascii="Times New Roman" w:hAnsi="Times New Roman" w:cs="Times New Roman"/>
          <w:bCs/>
          <w:sz w:val="28"/>
          <w:szCs w:val="28"/>
        </w:rPr>
        <w:t>approving subcontract invoices for ONEC</w:t>
      </w:r>
      <w:r w:rsidR="001A7699" w:rsidRPr="00F82B8E">
        <w:rPr>
          <w:rFonts w:ascii="Times New Roman" w:hAnsi="Times New Roman" w:cs="Times New Roman"/>
          <w:bCs/>
          <w:sz w:val="28"/>
          <w:szCs w:val="28"/>
        </w:rPr>
        <w:t>,</w:t>
      </w:r>
      <w:r w:rsidR="00DD4FC6" w:rsidRPr="00F82B8E">
        <w:rPr>
          <w:rFonts w:ascii="Times New Roman" w:hAnsi="Times New Roman" w:cs="Times New Roman"/>
          <w:bCs/>
          <w:sz w:val="28"/>
          <w:szCs w:val="28"/>
        </w:rPr>
        <w:t xml:space="preserve"> Northland’s claim for standby charges and </w:t>
      </w:r>
      <w:r w:rsidR="000375A6" w:rsidRPr="00F82B8E">
        <w:rPr>
          <w:rFonts w:ascii="Times New Roman" w:hAnsi="Times New Roman" w:cs="Times New Roman"/>
          <w:bCs/>
          <w:sz w:val="28"/>
          <w:szCs w:val="28"/>
        </w:rPr>
        <w:t xml:space="preserve">ONEC’s invoicing of NTE. </w:t>
      </w:r>
      <w:r w:rsidR="007E1C12" w:rsidRPr="00F82B8E">
        <w:rPr>
          <w:rFonts w:ascii="Times New Roman" w:hAnsi="Times New Roman" w:cs="Times New Roman"/>
          <w:bCs/>
          <w:sz w:val="28"/>
          <w:szCs w:val="28"/>
        </w:rPr>
        <w:t xml:space="preserve">Mr. Pugh also produced documents as exhibits to his affidavit. </w:t>
      </w:r>
    </w:p>
    <w:p w14:paraId="1C60CBE8" w14:textId="77777777" w:rsidR="00D9107A" w:rsidRDefault="00D9107A" w:rsidP="00D9107A">
      <w:pPr>
        <w:pStyle w:val="ListParagraph"/>
        <w:spacing w:after="0" w:line="240" w:lineRule="auto"/>
        <w:ind w:left="0"/>
        <w:jc w:val="both"/>
        <w:rPr>
          <w:rFonts w:ascii="Times New Roman" w:hAnsi="Times New Roman" w:cs="Times New Roman"/>
          <w:bCs/>
          <w:sz w:val="28"/>
          <w:szCs w:val="28"/>
        </w:rPr>
      </w:pPr>
    </w:p>
    <w:p w14:paraId="1CBBBFDB" w14:textId="74655F62" w:rsidR="00103C95" w:rsidRPr="00F82B8E" w:rsidRDefault="00AD2F48" w:rsidP="00D557B0">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Neither Mr. Wiart, nor Mr. Pugh, provided any evidence that relates directly to ONEC’s </w:t>
      </w:r>
      <w:r w:rsidR="0008191E" w:rsidRPr="00F82B8E">
        <w:rPr>
          <w:rFonts w:ascii="Times New Roman" w:hAnsi="Times New Roman" w:cs="Times New Roman"/>
          <w:bCs/>
          <w:sz w:val="28"/>
          <w:szCs w:val="28"/>
        </w:rPr>
        <w:t xml:space="preserve">four </w:t>
      </w:r>
      <w:r w:rsidR="00E71BD3" w:rsidRPr="00F82B8E">
        <w:rPr>
          <w:rFonts w:ascii="Times New Roman" w:hAnsi="Times New Roman" w:cs="Times New Roman"/>
          <w:bCs/>
          <w:sz w:val="28"/>
          <w:szCs w:val="28"/>
        </w:rPr>
        <w:t>causes of action</w:t>
      </w:r>
      <w:r w:rsidR="00324DF0" w:rsidRPr="00F82B8E">
        <w:rPr>
          <w:rFonts w:ascii="Times New Roman" w:hAnsi="Times New Roman" w:cs="Times New Roman"/>
          <w:bCs/>
          <w:sz w:val="28"/>
          <w:szCs w:val="28"/>
        </w:rPr>
        <w:t xml:space="preserve"> </w:t>
      </w:r>
      <w:r w:rsidR="00DD2329" w:rsidRPr="00F82B8E">
        <w:rPr>
          <w:rFonts w:ascii="Times New Roman" w:hAnsi="Times New Roman" w:cs="Times New Roman"/>
          <w:bCs/>
          <w:sz w:val="28"/>
          <w:szCs w:val="28"/>
        </w:rPr>
        <w:t>against Northland</w:t>
      </w:r>
      <w:r w:rsidR="00CC0D7A" w:rsidRPr="00F82B8E">
        <w:rPr>
          <w:rFonts w:ascii="Times New Roman" w:hAnsi="Times New Roman" w:cs="Times New Roman"/>
          <w:bCs/>
          <w:sz w:val="28"/>
          <w:szCs w:val="28"/>
        </w:rPr>
        <w:t xml:space="preserve">: </w:t>
      </w:r>
      <w:r w:rsidR="00392102" w:rsidRPr="00F82B8E">
        <w:rPr>
          <w:rFonts w:ascii="Times New Roman" w:hAnsi="Times New Roman" w:cs="Times New Roman"/>
          <w:bCs/>
          <w:sz w:val="28"/>
          <w:szCs w:val="28"/>
        </w:rPr>
        <w:t xml:space="preserve">1) </w:t>
      </w:r>
      <w:r w:rsidR="00BE35C7" w:rsidRPr="00F82B8E">
        <w:rPr>
          <w:rFonts w:ascii="Times New Roman" w:hAnsi="Times New Roman" w:cs="Times New Roman"/>
          <w:bCs/>
          <w:sz w:val="28"/>
          <w:szCs w:val="28"/>
        </w:rPr>
        <w:t>inducing breach of contract</w:t>
      </w:r>
      <w:r w:rsidR="00A0479C">
        <w:rPr>
          <w:rFonts w:ascii="Times New Roman" w:hAnsi="Times New Roman" w:cs="Times New Roman"/>
          <w:bCs/>
          <w:sz w:val="28"/>
          <w:szCs w:val="28"/>
        </w:rPr>
        <w:t>;</w:t>
      </w:r>
      <w:r w:rsidR="00BE35C7" w:rsidRPr="00F82B8E">
        <w:rPr>
          <w:rFonts w:ascii="Times New Roman" w:hAnsi="Times New Roman" w:cs="Times New Roman"/>
          <w:bCs/>
          <w:sz w:val="28"/>
          <w:szCs w:val="28"/>
        </w:rPr>
        <w:t xml:space="preserve"> </w:t>
      </w:r>
      <w:r w:rsidR="00392102" w:rsidRPr="00F82B8E">
        <w:rPr>
          <w:rFonts w:ascii="Times New Roman" w:hAnsi="Times New Roman" w:cs="Times New Roman"/>
          <w:bCs/>
          <w:sz w:val="28"/>
          <w:szCs w:val="28"/>
        </w:rPr>
        <w:lastRenderedPageBreak/>
        <w:t xml:space="preserve">2) </w:t>
      </w:r>
      <w:r w:rsidR="00BE35C7" w:rsidRPr="00F82B8E">
        <w:rPr>
          <w:rFonts w:ascii="Times New Roman" w:hAnsi="Times New Roman" w:cs="Times New Roman"/>
          <w:bCs/>
          <w:sz w:val="28"/>
          <w:szCs w:val="28"/>
        </w:rPr>
        <w:t xml:space="preserve">in inducing the breach of contract </w:t>
      </w:r>
      <w:r w:rsidR="00392102" w:rsidRPr="00F82B8E">
        <w:rPr>
          <w:rFonts w:ascii="Times New Roman" w:hAnsi="Times New Roman" w:cs="Times New Roman"/>
          <w:bCs/>
          <w:sz w:val="28"/>
          <w:szCs w:val="28"/>
        </w:rPr>
        <w:t>by third parties</w:t>
      </w:r>
      <w:r w:rsidR="00A0479C">
        <w:rPr>
          <w:rFonts w:ascii="Times New Roman" w:hAnsi="Times New Roman" w:cs="Times New Roman"/>
          <w:bCs/>
          <w:sz w:val="28"/>
          <w:szCs w:val="28"/>
        </w:rPr>
        <w:t>;</w:t>
      </w:r>
      <w:r w:rsidR="00392102" w:rsidRPr="00F82B8E">
        <w:rPr>
          <w:rFonts w:ascii="Times New Roman" w:hAnsi="Times New Roman" w:cs="Times New Roman"/>
          <w:bCs/>
          <w:sz w:val="28"/>
          <w:szCs w:val="28"/>
        </w:rPr>
        <w:t xml:space="preserve"> </w:t>
      </w:r>
      <w:r w:rsidR="00CC0D7A" w:rsidRPr="00F82B8E">
        <w:rPr>
          <w:rFonts w:ascii="Times New Roman" w:hAnsi="Times New Roman" w:cs="Times New Roman"/>
          <w:bCs/>
          <w:sz w:val="28"/>
          <w:szCs w:val="28"/>
        </w:rPr>
        <w:t>breach</w:t>
      </w:r>
      <w:r w:rsidR="00392102" w:rsidRPr="00F82B8E">
        <w:rPr>
          <w:rFonts w:ascii="Times New Roman" w:hAnsi="Times New Roman" w:cs="Times New Roman"/>
          <w:bCs/>
          <w:sz w:val="28"/>
          <w:szCs w:val="28"/>
        </w:rPr>
        <w:t>ing</w:t>
      </w:r>
      <w:r w:rsidR="00CC0D7A" w:rsidRPr="00F82B8E">
        <w:rPr>
          <w:rFonts w:ascii="Times New Roman" w:hAnsi="Times New Roman" w:cs="Times New Roman"/>
          <w:bCs/>
          <w:sz w:val="28"/>
          <w:szCs w:val="28"/>
        </w:rPr>
        <w:t xml:space="preserve"> </w:t>
      </w:r>
      <w:r w:rsidR="00392102" w:rsidRPr="00F82B8E">
        <w:rPr>
          <w:rFonts w:ascii="Times New Roman" w:hAnsi="Times New Roman" w:cs="Times New Roman"/>
          <w:bCs/>
          <w:sz w:val="28"/>
          <w:szCs w:val="28"/>
        </w:rPr>
        <w:t>the</w:t>
      </w:r>
      <w:r w:rsidR="00CC0D7A" w:rsidRPr="00F82B8E">
        <w:rPr>
          <w:rFonts w:ascii="Times New Roman" w:hAnsi="Times New Roman" w:cs="Times New Roman"/>
          <w:bCs/>
          <w:sz w:val="28"/>
          <w:szCs w:val="28"/>
        </w:rPr>
        <w:t xml:space="preserve"> terms of the IPD Contract</w:t>
      </w:r>
      <w:r w:rsidR="00A0479C">
        <w:rPr>
          <w:rFonts w:ascii="Times New Roman" w:hAnsi="Times New Roman" w:cs="Times New Roman"/>
          <w:bCs/>
          <w:sz w:val="28"/>
          <w:szCs w:val="28"/>
        </w:rPr>
        <w:t>;</w:t>
      </w:r>
      <w:r w:rsidR="00392102" w:rsidRPr="00F82B8E">
        <w:rPr>
          <w:rFonts w:ascii="Times New Roman" w:hAnsi="Times New Roman" w:cs="Times New Roman"/>
          <w:bCs/>
          <w:sz w:val="28"/>
          <w:szCs w:val="28"/>
        </w:rPr>
        <w:t xml:space="preserve"> 3) causing </w:t>
      </w:r>
      <w:r w:rsidR="00CC0D7A" w:rsidRPr="00F82B8E">
        <w:rPr>
          <w:rFonts w:ascii="Times New Roman" w:hAnsi="Times New Roman" w:cs="Times New Roman"/>
          <w:bCs/>
          <w:sz w:val="28"/>
          <w:szCs w:val="28"/>
        </w:rPr>
        <w:t>damage to equipment belonging to ONEC</w:t>
      </w:r>
      <w:r w:rsidR="00A0479C">
        <w:rPr>
          <w:rFonts w:ascii="Times New Roman" w:hAnsi="Times New Roman" w:cs="Times New Roman"/>
          <w:bCs/>
          <w:sz w:val="28"/>
          <w:szCs w:val="28"/>
        </w:rPr>
        <w:t>;</w:t>
      </w:r>
      <w:r w:rsidR="00392102" w:rsidRPr="00F82B8E">
        <w:rPr>
          <w:rFonts w:ascii="Times New Roman" w:hAnsi="Times New Roman" w:cs="Times New Roman"/>
          <w:bCs/>
          <w:sz w:val="28"/>
          <w:szCs w:val="28"/>
        </w:rPr>
        <w:t xml:space="preserve"> </w:t>
      </w:r>
      <w:r w:rsidR="00CC0D7A" w:rsidRPr="00F82B8E">
        <w:rPr>
          <w:rFonts w:ascii="Times New Roman" w:hAnsi="Times New Roman" w:cs="Times New Roman"/>
          <w:bCs/>
          <w:sz w:val="28"/>
          <w:szCs w:val="28"/>
        </w:rPr>
        <w:t>and</w:t>
      </w:r>
      <w:r w:rsidR="00392102" w:rsidRPr="00F82B8E">
        <w:rPr>
          <w:rFonts w:ascii="Times New Roman" w:hAnsi="Times New Roman" w:cs="Times New Roman"/>
          <w:bCs/>
          <w:sz w:val="28"/>
          <w:szCs w:val="28"/>
        </w:rPr>
        <w:t xml:space="preserve"> 4) using</w:t>
      </w:r>
      <w:r w:rsidR="00CC0D7A" w:rsidRPr="00F82B8E">
        <w:rPr>
          <w:rFonts w:ascii="Times New Roman" w:hAnsi="Times New Roman" w:cs="Times New Roman"/>
          <w:bCs/>
          <w:sz w:val="28"/>
          <w:szCs w:val="28"/>
        </w:rPr>
        <w:t xml:space="preserve"> fuel provided by third parties under contract with ONEC after the termination of the IPD Contract. </w:t>
      </w:r>
      <w:r w:rsidR="00D557B0" w:rsidRPr="00F82B8E">
        <w:rPr>
          <w:rFonts w:ascii="Times New Roman" w:hAnsi="Times New Roman" w:cs="Times New Roman"/>
          <w:bCs/>
          <w:sz w:val="28"/>
          <w:szCs w:val="28"/>
        </w:rPr>
        <w:t xml:space="preserve">Northland did not cross-examine Mr. Wiart </w:t>
      </w:r>
      <w:r w:rsidR="00A0479C">
        <w:rPr>
          <w:rFonts w:ascii="Times New Roman" w:hAnsi="Times New Roman" w:cs="Times New Roman"/>
          <w:bCs/>
          <w:sz w:val="28"/>
          <w:szCs w:val="28"/>
        </w:rPr>
        <w:t>or</w:t>
      </w:r>
      <w:r w:rsidR="00D557B0" w:rsidRPr="00F82B8E">
        <w:rPr>
          <w:rFonts w:ascii="Times New Roman" w:hAnsi="Times New Roman" w:cs="Times New Roman"/>
          <w:bCs/>
          <w:sz w:val="28"/>
          <w:szCs w:val="28"/>
        </w:rPr>
        <w:t xml:space="preserve"> Mr. Pugh.  </w:t>
      </w:r>
    </w:p>
    <w:p w14:paraId="33D71EFF" w14:textId="77777777" w:rsidR="003757F3" w:rsidRDefault="003757F3" w:rsidP="00D50B46">
      <w:pPr>
        <w:spacing w:after="0"/>
        <w:rPr>
          <w:rFonts w:ascii="Times New Roman" w:hAnsi="Times New Roman" w:cs="Times New Roman"/>
          <w:bCs/>
          <w:i/>
          <w:iCs/>
          <w:sz w:val="28"/>
          <w:szCs w:val="28"/>
        </w:rPr>
      </w:pPr>
    </w:p>
    <w:p w14:paraId="0DF0B7BD" w14:textId="5F073DB5" w:rsidR="003F3C4F" w:rsidRPr="00FF58C8" w:rsidRDefault="00D365A0" w:rsidP="003F3C4F">
      <w:pPr>
        <w:rPr>
          <w:rFonts w:ascii="Times New Roman" w:hAnsi="Times New Roman" w:cs="Times New Roman"/>
          <w:bCs/>
          <w:sz w:val="28"/>
          <w:szCs w:val="28"/>
          <w:u w:val="single"/>
        </w:rPr>
      </w:pPr>
      <w:r w:rsidRPr="00FF58C8">
        <w:rPr>
          <w:rFonts w:ascii="Times New Roman" w:hAnsi="Times New Roman" w:cs="Times New Roman"/>
          <w:bCs/>
          <w:sz w:val="28"/>
          <w:szCs w:val="28"/>
          <w:u w:val="single"/>
        </w:rPr>
        <w:t>Inducing Breach of Contract</w:t>
      </w:r>
    </w:p>
    <w:p w14:paraId="66D5171F" w14:textId="244E239D" w:rsidR="00D365A0" w:rsidRPr="00F82B8E" w:rsidRDefault="00D365A0" w:rsidP="00103C95">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The tort of inducing breach of contract </w:t>
      </w:r>
      <w:r w:rsidR="00ED7881">
        <w:rPr>
          <w:rFonts w:ascii="Times New Roman" w:hAnsi="Times New Roman" w:cs="Times New Roman"/>
          <w:bCs/>
          <w:sz w:val="28"/>
          <w:szCs w:val="28"/>
        </w:rPr>
        <w:t>requires the proof of the following elements</w:t>
      </w:r>
      <w:r w:rsidR="00AB5373" w:rsidRPr="00F82B8E">
        <w:rPr>
          <w:rFonts w:ascii="Times New Roman" w:hAnsi="Times New Roman" w:cs="Times New Roman"/>
          <w:bCs/>
          <w:sz w:val="28"/>
          <w:szCs w:val="28"/>
        </w:rPr>
        <w:t>:</w:t>
      </w:r>
    </w:p>
    <w:p w14:paraId="0DB6F68C" w14:textId="77777777" w:rsidR="009C5158" w:rsidRPr="00F82B8E" w:rsidRDefault="009C5158" w:rsidP="009C5158">
      <w:pPr>
        <w:spacing w:after="0" w:line="240" w:lineRule="auto"/>
        <w:jc w:val="both"/>
        <w:rPr>
          <w:rFonts w:ascii="Times New Roman" w:hAnsi="Times New Roman" w:cs="Times New Roman"/>
          <w:bCs/>
          <w:sz w:val="28"/>
          <w:szCs w:val="28"/>
        </w:rPr>
      </w:pPr>
    </w:p>
    <w:p w14:paraId="5911D045" w14:textId="14788EDB" w:rsidR="009C5158" w:rsidRPr="00751094" w:rsidRDefault="00636A84" w:rsidP="009C5158">
      <w:pPr>
        <w:pStyle w:val="ListParagraph"/>
        <w:numPr>
          <w:ilvl w:val="0"/>
          <w:numId w:val="2"/>
        </w:numPr>
        <w:spacing w:after="0" w:line="240" w:lineRule="auto"/>
        <w:ind w:left="1418" w:hanging="567"/>
        <w:jc w:val="both"/>
        <w:rPr>
          <w:rFonts w:ascii="Times New Roman" w:hAnsi="Times New Roman" w:cs="Times New Roman"/>
          <w:bCs/>
          <w:sz w:val="28"/>
          <w:szCs w:val="28"/>
        </w:rPr>
      </w:pPr>
      <w:r w:rsidRPr="00751094">
        <w:rPr>
          <w:rFonts w:ascii="Times New Roman" w:hAnsi="Times New Roman" w:cs="Times New Roman"/>
          <w:bCs/>
          <w:sz w:val="28"/>
          <w:szCs w:val="28"/>
        </w:rPr>
        <w:t>the existence of a contract</w:t>
      </w:r>
      <w:r w:rsidR="00392102" w:rsidRPr="00751094">
        <w:rPr>
          <w:rFonts w:ascii="Times New Roman" w:hAnsi="Times New Roman" w:cs="Times New Roman"/>
          <w:bCs/>
          <w:sz w:val="28"/>
          <w:szCs w:val="28"/>
        </w:rPr>
        <w:t xml:space="preserve"> between the plaintiff and a third </w:t>
      </w:r>
      <w:proofErr w:type="gramStart"/>
      <w:r w:rsidR="00392102" w:rsidRPr="00751094">
        <w:rPr>
          <w:rFonts w:ascii="Times New Roman" w:hAnsi="Times New Roman" w:cs="Times New Roman"/>
          <w:bCs/>
          <w:sz w:val="28"/>
          <w:szCs w:val="28"/>
        </w:rPr>
        <w:t>party</w:t>
      </w:r>
      <w:r w:rsidRPr="00751094">
        <w:rPr>
          <w:rFonts w:ascii="Times New Roman" w:hAnsi="Times New Roman" w:cs="Times New Roman"/>
          <w:bCs/>
          <w:sz w:val="28"/>
          <w:szCs w:val="28"/>
        </w:rPr>
        <w:t>;</w:t>
      </w:r>
      <w:proofErr w:type="gramEnd"/>
    </w:p>
    <w:p w14:paraId="1A9E05D2" w14:textId="1EBD23C4" w:rsidR="00636A84" w:rsidRPr="00751094" w:rsidRDefault="00636A84" w:rsidP="009C5158">
      <w:pPr>
        <w:pStyle w:val="ListParagraph"/>
        <w:numPr>
          <w:ilvl w:val="0"/>
          <w:numId w:val="2"/>
        </w:numPr>
        <w:spacing w:after="0" w:line="240" w:lineRule="auto"/>
        <w:ind w:left="1418" w:hanging="567"/>
        <w:jc w:val="both"/>
        <w:rPr>
          <w:rFonts w:ascii="Times New Roman" w:hAnsi="Times New Roman" w:cs="Times New Roman"/>
          <w:bCs/>
          <w:sz w:val="28"/>
          <w:szCs w:val="28"/>
        </w:rPr>
      </w:pPr>
      <w:r w:rsidRPr="00751094">
        <w:rPr>
          <w:rFonts w:ascii="Times New Roman" w:hAnsi="Times New Roman" w:cs="Times New Roman"/>
          <w:bCs/>
          <w:sz w:val="28"/>
          <w:szCs w:val="28"/>
        </w:rPr>
        <w:t xml:space="preserve">knowledge or awareness by the defendant of the </w:t>
      </w:r>
      <w:proofErr w:type="gramStart"/>
      <w:r w:rsidRPr="00751094">
        <w:rPr>
          <w:rFonts w:ascii="Times New Roman" w:hAnsi="Times New Roman" w:cs="Times New Roman"/>
          <w:bCs/>
          <w:sz w:val="28"/>
          <w:szCs w:val="28"/>
        </w:rPr>
        <w:t>contract;</w:t>
      </w:r>
      <w:proofErr w:type="gramEnd"/>
    </w:p>
    <w:p w14:paraId="53E4B6AB" w14:textId="221279A8" w:rsidR="00636A84" w:rsidRPr="00751094" w:rsidRDefault="00636A84" w:rsidP="009C5158">
      <w:pPr>
        <w:pStyle w:val="ListParagraph"/>
        <w:numPr>
          <w:ilvl w:val="0"/>
          <w:numId w:val="2"/>
        </w:numPr>
        <w:spacing w:after="0" w:line="240" w:lineRule="auto"/>
        <w:ind w:left="1418" w:hanging="567"/>
        <w:jc w:val="both"/>
        <w:rPr>
          <w:rFonts w:ascii="Times New Roman" w:hAnsi="Times New Roman" w:cs="Times New Roman"/>
          <w:bCs/>
          <w:sz w:val="28"/>
          <w:szCs w:val="28"/>
        </w:rPr>
      </w:pPr>
      <w:r w:rsidRPr="00751094">
        <w:rPr>
          <w:rFonts w:ascii="Times New Roman" w:hAnsi="Times New Roman" w:cs="Times New Roman"/>
          <w:bCs/>
          <w:sz w:val="28"/>
          <w:szCs w:val="28"/>
        </w:rPr>
        <w:t xml:space="preserve">a breach of the contract by a contracting </w:t>
      </w:r>
      <w:proofErr w:type="gramStart"/>
      <w:r w:rsidRPr="00751094">
        <w:rPr>
          <w:rFonts w:ascii="Times New Roman" w:hAnsi="Times New Roman" w:cs="Times New Roman"/>
          <w:bCs/>
          <w:sz w:val="28"/>
          <w:szCs w:val="28"/>
        </w:rPr>
        <w:t>party;</w:t>
      </w:r>
      <w:proofErr w:type="gramEnd"/>
    </w:p>
    <w:p w14:paraId="239EE86D" w14:textId="02C0632E" w:rsidR="00636A84" w:rsidRPr="00751094" w:rsidRDefault="00636A84" w:rsidP="009C5158">
      <w:pPr>
        <w:pStyle w:val="ListParagraph"/>
        <w:numPr>
          <w:ilvl w:val="0"/>
          <w:numId w:val="2"/>
        </w:numPr>
        <w:spacing w:after="0" w:line="240" w:lineRule="auto"/>
        <w:ind w:left="1418" w:hanging="567"/>
        <w:jc w:val="both"/>
        <w:rPr>
          <w:rFonts w:ascii="Times New Roman" w:hAnsi="Times New Roman" w:cs="Times New Roman"/>
          <w:bCs/>
          <w:sz w:val="28"/>
          <w:szCs w:val="28"/>
        </w:rPr>
      </w:pPr>
      <w:r w:rsidRPr="00751094">
        <w:rPr>
          <w:rFonts w:ascii="Times New Roman" w:hAnsi="Times New Roman" w:cs="Times New Roman"/>
          <w:bCs/>
          <w:sz w:val="28"/>
          <w:szCs w:val="28"/>
        </w:rPr>
        <w:t xml:space="preserve">the defendant induced the </w:t>
      </w:r>
      <w:proofErr w:type="gramStart"/>
      <w:r w:rsidRPr="00751094">
        <w:rPr>
          <w:rFonts w:ascii="Times New Roman" w:hAnsi="Times New Roman" w:cs="Times New Roman"/>
          <w:bCs/>
          <w:sz w:val="28"/>
          <w:szCs w:val="28"/>
        </w:rPr>
        <w:t>breach;</w:t>
      </w:r>
      <w:proofErr w:type="gramEnd"/>
    </w:p>
    <w:p w14:paraId="29EBFECD" w14:textId="007A4737" w:rsidR="00636A84" w:rsidRPr="00751094" w:rsidRDefault="00636A84" w:rsidP="009C5158">
      <w:pPr>
        <w:pStyle w:val="ListParagraph"/>
        <w:numPr>
          <w:ilvl w:val="0"/>
          <w:numId w:val="2"/>
        </w:numPr>
        <w:spacing w:after="0" w:line="240" w:lineRule="auto"/>
        <w:ind w:left="1418" w:hanging="567"/>
        <w:jc w:val="both"/>
        <w:rPr>
          <w:rFonts w:ascii="Times New Roman" w:hAnsi="Times New Roman" w:cs="Times New Roman"/>
          <w:bCs/>
          <w:sz w:val="28"/>
          <w:szCs w:val="28"/>
        </w:rPr>
      </w:pPr>
      <w:r w:rsidRPr="00751094">
        <w:rPr>
          <w:rFonts w:ascii="Times New Roman" w:hAnsi="Times New Roman" w:cs="Times New Roman"/>
          <w:bCs/>
          <w:sz w:val="28"/>
          <w:szCs w:val="28"/>
        </w:rPr>
        <w:t xml:space="preserve">the defendant, by </w:t>
      </w:r>
      <w:r w:rsidR="00FE3E72" w:rsidRPr="00751094">
        <w:rPr>
          <w:rFonts w:ascii="Times New Roman" w:hAnsi="Times New Roman" w:cs="Times New Roman"/>
          <w:bCs/>
          <w:sz w:val="28"/>
          <w:szCs w:val="28"/>
        </w:rPr>
        <w:t xml:space="preserve">their </w:t>
      </w:r>
      <w:r w:rsidRPr="00751094">
        <w:rPr>
          <w:rFonts w:ascii="Times New Roman" w:hAnsi="Times New Roman" w:cs="Times New Roman"/>
          <w:bCs/>
          <w:sz w:val="28"/>
          <w:szCs w:val="28"/>
        </w:rPr>
        <w:t xml:space="preserve">conduct, intended to cause the </w:t>
      </w:r>
      <w:proofErr w:type="gramStart"/>
      <w:r w:rsidRPr="00751094">
        <w:rPr>
          <w:rFonts w:ascii="Times New Roman" w:hAnsi="Times New Roman" w:cs="Times New Roman"/>
          <w:bCs/>
          <w:sz w:val="28"/>
          <w:szCs w:val="28"/>
        </w:rPr>
        <w:t>breach;</w:t>
      </w:r>
      <w:proofErr w:type="gramEnd"/>
    </w:p>
    <w:p w14:paraId="176F31FD" w14:textId="4AA40DD0" w:rsidR="00636A84" w:rsidRPr="00751094" w:rsidRDefault="00636A84" w:rsidP="009C5158">
      <w:pPr>
        <w:pStyle w:val="ListParagraph"/>
        <w:numPr>
          <w:ilvl w:val="0"/>
          <w:numId w:val="2"/>
        </w:numPr>
        <w:spacing w:after="0" w:line="240" w:lineRule="auto"/>
        <w:ind w:left="1418" w:hanging="567"/>
        <w:jc w:val="both"/>
        <w:rPr>
          <w:rFonts w:ascii="Times New Roman" w:hAnsi="Times New Roman" w:cs="Times New Roman"/>
          <w:bCs/>
          <w:sz w:val="28"/>
          <w:szCs w:val="28"/>
        </w:rPr>
      </w:pPr>
      <w:r w:rsidRPr="00751094">
        <w:rPr>
          <w:rFonts w:ascii="Times New Roman" w:hAnsi="Times New Roman" w:cs="Times New Roman"/>
          <w:bCs/>
          <w:sz w:val="28"/>
          <w:szCs w:val="28"/>
        </w:rPr>
        <w:t>the defendant acted without justification; and</w:t>
      </w:r>
    </w:p>
    <w:p w14:paraId="6FBEB4BE" w14:textId="4832E72E" w:rsidR="00F5230F" w:rsidRPr="00751094" w:rsidRDefault="00636A84" w:rsidP="009C5158">
      <w:pPr>
        <w:pStyle w:val="ListParagraph"/>
        <w:numPr>
          <w:ilvl w:val="0"/>
          <w:numId w:val="2"/>
        </w:numPr>
        <w:spacing w:after="0" w:line="240" w:lineRule="auto"/>
        <w:ind w:left="1418" w:hanging="567"/>
        <w:jc w:val="both"/>
        <w:rPr>
          <w:rFonts w:ascii="Times New Roman" w:hAnsi="Times New Roman" w:cs="Times New Roman"/>
          <w:bCs/>
          <w:sz w:val="28"/>
          <w:szCs w:val="28"/>
        </w:rPr>
      </w:pPr>
      <w:r w:rsidRPr="00751094">
        <w:rPr>
          <w:rFonts w:ascii="Times New Roman" w:hAnsi="Times New Roman" w:cs="Times New Roman"/>
          <w:bCs/>
          <w:sz w:val="28"/>
          <w:szCs w:val="28"/>
        </w:rPr>
        <w:t>the plaintiff suffered damages.</w:t>
      </w:r>
    </w:p>
    <w:p w14:paraId="46FC81F3" w14:textId="77777777" w:rsidR="00F90A04" w:rsidRPr="00DA3F71" w:rsidRDefault="00F90A04" w:rsidP="00F90A04">
      <w:pPr>
        <w:pStyle w:val="ListParagraph"/>
        <w:spacing w:after="0" w:line="240" w:lineRule="auto"/>
        <w:ind w:left="1418"/>
        <w:jc w:val="both"/>
        <w:rPr>
          <w:rFonts w:ascii="Times New Roman" w:hAnsi="Times New Roman" w:cs="Times New Roman"/>
          <w:bCs/>
          <w:sz w:val="28"/>
          <w:szCs w:val="28"/>
        </w:rPr>
      </w:pPr>
    </w:p>
    <w:p w14:paraId="3C1B392C" w14:textId="27DB6974" w:rsidR="00E1014B" w:rsidRPr="00F82B8E" w:rsidRDefault="00201EE8" w:rsidP="005D3530">
      <w:pPr>
        <w:spacing w:after="0" w:line="240" w:lineRule="auto"/>
        <w:ind w:left="2880"/>
        <w:jc w:val="both"/>
        <w:rPr>
          <w:rFonts w:ascii="Times New Roman" w:hAnsi="Times New Roman" w:cs="Times New Roman"/>
          <w:bCs/>
          <w:sz w:val="28"/>
          <w:szCs w:val="28"/>
        </w:rPr>
      </w:pPr>
      <w:r w:rsidRPr="00DA3F71">
        <w:rPr>
          <w:rFonts w:ascii="Times New Roman" w:hAnsi="Times New Roman" w:cs="Times New Roman"/>
          <w:bCs/>
          <w:i/>
          <w:iCs/>
          <w:sz w:val="28"/>
          <w:szCs w:val="28"/>
        </w:rPr>
        <w:t xml:space="preserve">369413 Alberta Ltd. </w:t>
      </w:r>
      <w:r w:rsidRPr="00DA3F71">
        <w:rPr>
          <w:rFonts w:ascii="Times New Roman" w:hAnsi="Times New Roman" w:cs="Times New Roman"/>
          <w:bCs/>
          <w:sz w:val="28"/>
          <w:szCs w:val="28"/>
        </w:rPr>
        <w:t>v</w:t>
      </w:r>
      <w:r w:rsidRPr="00DA3F71">
        <w:rPr>
          <w:rFonts w:ascii="Times New Roman" w:hAnsi="Times New Roman" w:cs="Times New Roman"/>
          <w:bCs/>
          <w:i/>
          <w:iCs/>
          <w:sz w:val="28"/>
          <w:szCs w:val="28"/>
        </w:rPr>
        <w:t xml:space="preserve"> Pocklington, </w:t>
      </w:r>
      <w:r w:rsidRPr="00DA3F71">
        <w:rPr>
          <w:rFonts w:ascii="Times New Roman" w:hAnsi="Times New Roman" w:cs="Times New Roman"/>
          <w:bCs/>
          <w:sz w:val="28"/>
          <w:szCs w:val="28"/>
        </w:rPr>
        <w:t>2000 ABCA 307 at para 13</w:t>
      </w:r>
      <w:r w:rsidR="0023519C" w:rsidRPr="00DA3F71">
        <w:rPr>
          <w:rFonts w:ascii="Times New Roman" w:hAnsi="Times New Roman" w:cs="Times New Roman"/>
          <w:bCs/>
          <w:sz w:val="28"/>
          <w:szCs w:val="28"/>
        </w:rPr>
        <w:t xml:space="preserve">; </w:t>
      </w:r>
      <w:r w:rsidR="0069246F" w:rsidRPr="00DA3F71">
        <w:rPr>
          <w:rFonts w:ascii="Times New Roman" w:hAnsi="Times New Roman" w:cs="Times New Roman"/>
          <w:bCs/>
          <w:i/>
          <w:iCs/>
          <w:sz w:val="28"/>
          <w:szCs w:val="28"/>
        </w:rPr>
        <w:t>38274 Yukon Inc.</w:t>
      </w:r>
      <w:r w:rsidR="0069246F" w:rsidRPr="00DA3F71">
        <w:rPr>
          <w:rFonts w:ascii="Times New Roman" w:hAnsi="Times New Roman" w:cs="Times New Roman"/>
          <w:bCs/>
          <w:sz w:val="28"/>
          <w:szCs w:val="28"/>
        </w:rPr>
        <w:t xml:space="preserve"> </w:t>
      </w:r>
      <w:r w:rsidR="003A5D47" w:rsidRPr="00DA3F71">
        <w:rPr>
          <w:rFonts w:ascii="Times New Roman" w:hAnsi="Times New Roman" w:cs="Times New Roman"/>
          <w:bCs/>
          <w:sz w:val="28"/>
          <w:szCs w:val="28"/>
        </w:rPr>
        <w:t>v</w:t>
      </w:r>
      <w:r w:rsidR="0069246F" w:rsidRPr="00DA3F71">
        <w:rPr>
          <w:rFonts w:ascii="Times New Roman" w:hAnsi="Times New Roman" w:cs="Times New Roman"/>
          <w:bCs/>
          <w:sz w:val="28"/>
          <w:szCs w:val="28"/>
        </w:rPr>
        <w:t xml:space="preserve"> </w:t>
      </w:r>
      <w:r w:rsidR="0069246F" w:rsidRPr="00DA3F71">
        <w:rPr>
          <w:rFonts w:ascii="Times New Roman" w:hAnsi="Times New Roman" w:cs="Times New Roman"/>
          <w:bCs/>
          <w:i/>
          <w:iCs/>
          <w:sz w:val="28"/>
          <w:szCs w:val="28"/>
        </w:rPr>
        <w:t>Borealis Fuels &amp; Logistics Ltd.</w:t>
      </w:r>
      <w:r w:rsidR="0069246F" w:rsidRPr="00DA3F71">
        <w:rPr>
          <w:rFonts w:ascii="Times New Roman" w:hAnsi="Times New Roman" w:cs="Times New Roman"/>
          <w:bCs/>
          <w:sz w:val="28"/>
          <w:szCs w:val="28"/>
        </w:rPr>
        <w:t>, 202</w:t>
      </w:r>
      <w:r w:rsidR="003A5D47" w:rsidRPr="00DA3F71">
        <w:rPr>
          <w:rFonts w:ascii="Times New Roman" w:hAnsi="Times New Roman" w:cs="Times New Roman"/>
          <w:bCs/>
          <w:sz w:val="28"/>
          <w:szCs w:val="28"/>
        </w:rPr>
        <w:t>4 YKCA 17</w:t>
      </w:r>
      <w:r w:rsidR="00A0479C">
        <w:rPr>
          <w:rFonts w:ascii="Times New Roman" w:hAnsi="Times New Roman" w:cs="Times New Roman"/>
          <w:bCs/>
          <w:sz w:val="28"/>
          <w:szCs w:val="28"/>
        </w:rPr>
        <w:t xml:space="preserve"> at para 14</w:t>
      </w:r>
    </w:p>
    <w:p w14:paraId="2E35FCA4" w14:textId="77777777" w:rsidR="00D430E1" w:rsidRPr="00F82B8E" w:rsidRDefault="00D430E1" w:rsidP="00F96D73">
      <w:pPr>
        <w:pStyle w:val="ListParagraph"/>
        <w:spacing w:after="0" w:line="240" w:lineRule="auto"/>
        <w:ind w:left="0"/>
        <w:contextualSpacing w:val="0"/>
        <w:jc w:val="both"/>
        <w:rPr>
          <w:rFonts w:ascii="Times New Roman" w:hAnsi="Times New Roman" w:cs="Times New Roman"/>
          <w:bCs/>
          <w:sz w:val="28"/>
          <w:szCs w:val="28"/>
        </w:rPr>
      </w:pPr>
    </w:p>
    <w:p w14:paraId="783BC553" w14:textId="5E94384F" w:rsidR="007803E3" w:rsidRDefault="00E40026" w:rsidP="001E74AE">
      <w:pPr>
        <w:pStyle w:val="ListParagraph"/>
        <w:numPr>
          <w:ilvl w:val="0"/>
          <w:numId w:val="1"/>
        </w:numPr>
        <w:spacing w:after="0" w:line="240" w:lineRule="auto"/>
        <w:contextualSpacing w:val="0"/>
        <w:jc w:val="both"/>
        <w:rPr>
          <w:rFonts w:ascii="Times New Roman" w:hAnsi="Times New Roman" w:cs="Times New Roman"/>
          <w:bCs/>
          <w:sz w:val="28"/>
          <w:szCs w:val="28"/>
        </w:rPr>
      </w:pPr>
      <w:r w:rsidRPr="000C2217">
        <w:rPr>
          <w:rFonts w:ascii="Times New Roman" w:hAnsi="Times New Roman" w:cs="Times New Roman"/>
          <w:bCs/>
          <w:sz w:val="28"/>
          <w:szCs w:val="28"/>
        </w:rPr>
        <w:t>There</w:t>
      </w:r>
      <w:r w:rsidR="0001643E" w:rsidRPr="000C2217">
        <w:rPr>
          <w:rFonts w:ascii="Times New Roman" w:hAnsi="Times New Roman" w:cs="Times New Roman"/>
          <w:bCs/>
          <w:sz w:val="28"/>
          <w:szCs w:val="28"/>
        </w:rPr>
        <w:t xml:space="preserve"> is evidence</w:t>
      </w:r>
      <w:r w:rsidR="001D3700" w:rsidRPr="000C2217">
        <w:rPr>
          <w:rFonts w:ascii="Times New Roman" w:hAnsi="Times New Roman" w:cs="Times New Roman"/>
          <w:bCs/>
          <w:sz w:val="28"/>
          <w:szCs w:val="28"/>
        </w:rPr>
        <w:t xml:space="preserve"> before me</w:t>
      </w:r>
      <w:r w:rsidR="0001643E" w:rsidRPr="000C2217">
        <w:rPr>
          <w:rFonts w:ascii="Times New Roman" w:hAnsi="Times New Roman" w:cs="Times New Roman"/>
          <w:bCs/>
          <w:sz w:val="28"/>
          <w:szCs w:val="28"/>
        </w:rPr>
        <w:t xml:space="preserve"> that</w:t>
      </w:r>
      <w:r w:rsidR="00D80BDB" w:rsidRPr="000C2217">
        <w:rPr>
          <w:rFonts w:ascii="Times New Roman" w:hAnsi="Times New Roman" w:cs="Times New Roman"/>
          <w:bCs/>
          <w:sz w:val="28"/>
          <w:szCs w:val="28"/>
        </w:rPr>
        <w:t xml:space="preserve"> ONEC </w:t>
      </w:r>
      <w:proofErr w:type="gramStart"/>
      <w:r w:rsidR="00C25ADC" w:rsidRPr="000C2217">
        <w:rPr>
          <w:rFonts w:ascii="Times New Roman" w:hAnsi="Times New Roman" w:cs="Times New Roman"/>
          <w:bCs/>
          <w:sz w:val="28"/>
          <w:szCs w:val="28"/>
        </w:rPr>
        <w:t>entered into</w:t>
      </w:r>
      <w:proofErr w:type="gramEnd"/>
      <w:r w:rsidR="00C25ADC" w:rsidRPr="000C2217">
        <w:rPr>
          <w:rFonts w:ascii="Times New Roman" w:hAnsi="Times New Roman" w:cs="Times New Roman"/>
          <w:bCs/>
          <w:sz w:val="28"/>
          <w:szCs w:val="28"/>
        </w:rPr>
        <w:t xml:space="preserve"> the Prime Contract</w:t>
      </w:r>
      <w:r w:rsidR="00D80BDB" w:rsidRPr="000C2217">
        <w:rPr>
          <w:rFonts w:ascii="Times New Roman" w:hAnsi="Times New Roman" w:cs="Times New Roman"/>
          <w:bCs/>
          <w:sz w:val="28"/>
          <w:szCs w:val="28"/>
        </w:rPr>
        <w:t xml:space="preserve"> with NTE and that</w:t>
      </w:r>
      <w:r w:rsidR="001D3700" w:rsidRPr="000C2217">
        <w:rPr>
          <w:rFonts w:ascii="Times New Roman" w:hAnsi="Times New Roman" w:cs="Times New Roman"/>
          <w:bCs/>
          <w:sz w:val="28"/>
          <w:szCs w:val="28"/>
        </w:rPr>
        <w:t xml:space="preserve"> ONEC </w:t>
      </w:r>
      <w:r w:rsidR="00C07715" w:rsidRPr="000C2217">
        <w:rPr>
          <w:rFonts w:ascii="Times New Roman" w:hAnsi="Times New Roman" w:cs="Times New Roman"/>
          <w:bCs/>
          <w:sz w:val="28"/>
          <w:szCs w:val="28"/>
        </w:rPr>
        <w:t xml:space="preserve">also </w:t>
      </w:r>
      <w:r w:rsidR="001D3700" w:rsidRPr="000C2217">
        <w:rPr>
          <w:rFonts w:ascii="Times New Roman" w:hAnsi="Times New Roman" w:cs="Times New Roman"/>
          <w:bCs/>
          <w:sz w:val="28"/>
          <w:szCs w:val="28"/>
        </w:rPr>
        <w:t>had contracts with</w:t>
      </w:r>
      <w:r w:rsidR="00D80BDB" w:rsidRPr="000C2217">
        <w:rPr>
          <w:rFonts w:ascii="Times New Roman" w:hAnsi="Times New Roman" w:cs="Times New Roman"/>
          <w:bCs/>
          <w:sz w:val="28"/>
          <w:szCs w:val="28"/>
        </w:rPr>
        <w:t xml:space="preserve"> several subcontractors </w:t>
      </w:r>
      <w:r w:rsidR="001D3700" w:rsidRPr="000C2217">
        <w:rPr>
          <w:rFonts w:ascii="Times New Roman" w:hAnsi="Times New Roman" w:cs="Times New Roman"/>
          <w:bCs/>
          <w:sz w:val="28"/>
          <w:szCs w:val="28"/>
        </w:rPr>
        <w:t xml:space="preserve">who </w:t>
      </w:r>
      <w:r w:rsidR="00D80BDB" w:rsidRPr="000C2217">
        <w:rPr>
          <w:rFonts w:ascii="Times New Roman" w:hAnsi="Times New Roman" w:cs="Times New Roman"/>
          <w:bCs/>
          <w:sz w:val="28"/>
          <w:szCs w:val="28"/>
        </w:rPr>
        <w:t>worked on the Inuvik High Point Wind Project.</w:t>
      </w:r>
      <w:r w:rsidR="000640F5" w:rsidRPr="000C2217">
        <w:rPr>
          <w:rFonts w:ascii="Times New Roman" w:hAnsi="Times New Roman" w:cs="Times New Roman"/>
          <w:bCs/>
          <w:sz w:val="28"/>
          <w:szCs w:val="28"/>
        </w:rPr>
        <w:t xml:space="preserve"> Mr. Adams </w:t>
      </w:r>
      <w:r w:rsidR="00C25ADC" w:rsidRPr="000C2217">
        <w:rPr>
          <w:rFonts w:ascii="Times New Roman" w:hAnsi="Times New Roman" w:cs="Times New Roman"/>
          <w:bCs/>
          <w:sz w:val="28"/>
          <w:szCs w:val="28"/>
        </w:rPr>
        <w:t xml:space="preserve">acknowledged in cross-examination that he </w:t>
      </w:r>
      <w:r w:rsidR="000640F5" w:rsidRPr="000C2217">
        <w:rPr>
          <w:rFonts w:ascii="Times New Roman" w:hAnsi="Times New Roman" w:cs="Times New Roman"/>
          <w:bCs/>
          <w:sz w:val="28"/>
          <w:szCs w:val="28"/>
        </w:rPr>
        <w:t xml:space="preserve">was aware of these </w:t>
      </w:r>
      <w:r w:rsidR="00610B65">
        <w:rPr>
          <w:rFonts w:ascii="Times New Roman" w:hAnsi="Times New Roman" w:cs="Times New Roman"/>
          <w:bCs/>
          <w:sz w:val="28"/>
          <w:szCs w:val="28"/>
        </w:rPr>
        <w:t>contracts</w:t>
      </w:r>
      <w:r w:rsidR="000640F5" w:rsidRPr="000C2217">
        <w:rPr>
          <w:rFonts w:ascii="Times New Roman" w:hAnsi="Times New Roman" w:cs="Times New Roman"/>
          <w:bCs/>
          <w:sz w:val="28"/>
          <w:szCs w:val="28"/>
        </w:rPr>
        <w:t>. However, th</w:t>
      </w:r>
      <w:r w:rsidR="00CB5567" w:rsidRPr="000C2217">
        <w:rPr>
          <w:rFonts w:ascii="Times New Roman" w:hAnsi="Times New Roman" w:cs="Times New Roman"/>
          <w:bCs/>
          <w:sz w:val="28"/>
          <w:szCs w:val="28"/>
        </w:rPr>
        <w:t>ere</w:t>
      </w:r>
      <w:r w:rsidR="00C7463A" w:rsidRPr="000C2217">
        <w:rPr>
          <w:rFonts w:ascii="Times New Roman" w:hAnsi="Times New Roman" w:cs="Times New Roman"/>
          <w:bCs/>
          <w:sz w:val="28"/>
          <w:szCs w:val="28"/>
        </w:rPr>
        <w:t xml:space="preserve"> is no evidence </w:t>
      </w:r>
      <w:r w:rsidR="00C25ADC" w:rsidRPr="000C2217">
        <w:rPr>
          <w:rFonts w:ascii="Times New Roman" w:hAnsi="Times New Roman" w:cs="Times New Roman"/>
          <w:bCs/>
          <w:sz w:val="28"/>
          <w:szCs w:val="28"/>
        </w:rPr>
        <w:t>of a breach of contract by NTE or by the subcontractors</w:t>
      </w:r>
      <w:r w:rsidR="00201DBA" w:rsidRPr="000C2217">
        <w:rPr>
          <w:rFonts w:ascii="Times New Roman" w:hAnsi="Times New Roman" w:cs="Times New Roman"/>
          <w:bCs/>
          <w:sz w:val="28"/>
          <w:szCs w:val="28"/>
        </w:rPr>
        <w:t xml:space="preserve">. The evidence before me of the circumstances of termination of the Prime Contract by NTE </w:t>
      </w:r>
      <w:r w:rsidR="00701232" w:rsidRPr="000C2217">
        <w:rPr>
          <w:rFonts w:ascii="Times New Roman" w:hAnsi="Times New Roman" w:cs="Times New Roman"/>
          <w:bCs/>
          <w:sz w:val="28"/>
          <w:szCs w:val="28"/>
        </w:rPr>
        <w:t xml:space="preserve">is </w:t>
      </w:r>
      <w:r w:rsidR="00701232" w:rsidRPr="00DB09A9">
        <w:rPr>
          <w:rFonts w:ascii="Times New Roman" w:hAnsi="Times New Roman" w:cs="Times New Roman"/>
          <w:bCs/>
          <w:sz w:val="28"/>
          <w:szCs w:val="28"/>
        </w:rPr>
        <w:t>scant.</w:t>
      </w:r>
      <w:r w:rsidR="00FE16A4" w:rsidRPr="000C2217">
        <w:rPr>
          <w:rFonts w:ascii="Times New Roman" w:hAnsi="Times New Roman" w:cs="Times New Roman"/>
          <w:bCs/>
          <w:sz w:val="28"/>
          <w:szCs w:val="28"/>
        </w:rPr>
        <w:t xml:space="preserve"> </w:t>
      </w:r>
      <w:r w:rsidR="0000023F" w:rsidRPr="000C2217">
        <w:rPr>
          <w:rFonts w:ascii="Times New Roman" w:hAnsi="Times New Roman" w:cs="Times New Roman"/>
          <w:bCs/>
          <w:sz w:val="28"/>
          <w:szCs w:val="28"/>
        </w:rPr>
        <w:t xml:space="preserve">Apart from the Prime Contract, </w:t>
      </w:r>
      <w:r w:rsidR="00610B65">
        <w:rPr>
          <w:rFonts w:ascii="Times New Roman" w:hAnsi="Times New Roman" w:cs="Times New Roman"/>
          <w:bCs/>
          <w:sz w:val="28"/>
          <w:szCs w:val="28"/>
        </w:rPr>
        <w:t>the parties have</w:t>
      </w:r>
      <w:r w:rsidR="0000023F" w:rsidRPr="000C2217">
        <w:rPr>
          <w:rFonts w:ascii="Times New Roman" w:hAnsi="Times New Roman" w:cs="Times New Roman"/>
          <w:bCs/>
          <w:sz w:val="28"/>
          <w:szCs w:val="28"/>
        </w:rPr>
        <w:t xml:space="preserve"> not produced the contracts allegedly breached. </w:t>
      </w:r>
      <w:r w:rsidR="00A14F8A" w:rsidRPr="000C2217">
        <w:rPr>
          <w:rFonts w:ascii="Times New Roman" w:hAnsi="Times New Roman" w:cs="Times New Roman"/>
          <w:bCs/>
          <w:sz w:val="28"/>
          <w:szCs w:val="28"/>
        </w:rPr>
        <w:t>There is no evidence o</w:t>
      </w:r>
      <w:r w:rsidR="003F4F7F" w:rsidRPr="000C2217">
        <w:rPr>
          <w:rFonts w:ascii="Times New Roman" w:hAnsi="Times New Roman" w:cs="Times New Roman"/>
          <w:bCs/>
          <w:sz w:val="28"/>
          <w:szCs w:val="28"/>
        </w:rPr>
        <w:t>n</w:t>
      </w:r>
      <w:r w:rsidR="00A14F8A" w:rsidRPr="000C2217">
        <w:rPr>
          <w:rFonts w:ascii="Times New Roman" w:hAnsi="Times New Roman" w:cs="Times New Roman"/>
          <w:bCs/>
          <w:sz w:val="28"/>
          <w:szCs w:val="28"/>
        </w:rPr>
        <w:t xml:space="preserve"> the </w:t>
      </w:r>
      <w:r w:rsidR="00C7463A" w:rsidRPr="000C2217">
        <w:rPr>
          <w:rFonts w:ascii="Times New Roman" w:hAnsi="Times New Roman" w:cs="Times New Roman"/>
          <w:bCs/>
          <w:sz w:val="28"/>
          <w:szCs w:val="28"/>
        </w:rPr>
        <w:t xml:space="preserve">identity of </w:t>
      </w:r>
      <w:r w:rsidR="00955F09" w:rsidRPr="000C2217">
        <w:rPr>
          <w:rFonts w:ascii="Times New Roman" w:hAnsi="Times New Roman" w:cs="Times New Roman"/>
          <w:bCs/>
          <w:sz w:val="28"/>
          <w:szCs w:val="28"/>
        </w:rPr>
        <w:t xml:space="preserve">the </w:t>
      </w:r>
      <w:r w:rsidR="00CB5567" w:rsidRPr="000C2217">
        <w:rPr>
          <w:rFonts w:ascii="Times New Roman" w:hAnsi="Times New Roman" w:cs="Times New Roman"/>
          <w:bCs/>
          <w:sz w:val="28"/>
          <w:szCs w:val="28"/>
        </w:rPr>
        <w:t>sub</w:t>
      </w:r>
      <w:r w:rsidR="00955F09" w:rsidRPr="000C2217">
        <w:rPr>
          <w:rFonts w:ascii="Times New Roman" w:hAnsi="Times New Roman" w:cs="Times New Roman"/>
          <w:bCs/>
          <w:sz w:val="28"/>
          <w:szCs w:val="28"/>
        </w:rPr>
        <w:t xml:space="preserve">contractors ONEC claims Northland induced to breach </w:t>
      </w:r>
      <w:r w:rsidR="00354771" w:rsidRPr="000C2217">
        <w:rPr>
          <w:rFonts w:ascii="Times New Roman" w:hAnsi="Times New Roman" w:cs="Times New Roman"/>
          <w:bCs/>
          <w:sz w:val="28"/>
          <w:szCs w:val="28"/>
        </w:rPr>
        <w:t>terms of the subcontracts</w:t>
      </w:r>
      <w:r w:rsidR="00C7463A" w:rsidRPr="000C2217">
        <w:rPr>
          <w:rFonts w:ascii="Times New Roman" w:hAnsi="Times New Roman" w:cs="Times New Roman"/>
          <w:bCs/>
          <w:sz w:val="28"/>
          <w:szCs w:val="28"/>
        </w:rPr>
        <w:t xml:space="preserve"> </w:t>
      </w:r>
      <w:r w:rsidR="00FE2D0D" w:rsidRPr="000C2217">
        <w:rPr>
          <w:rFonts w:ascii="Times New Roman" w:hAnsi="Times New Roman" w:cs="Times New Roman"/>
          <w:bCs/>
          <w:sz w:val="28"/>
          <w:szCs w:val="28"/>
        </w:rPr>
        <w:t>or</w:t>
      </w:r>
      <w:r w:rsidR="00A14F8A" w:rsidRPr="000C2217">
        <w:rPr>
          <w:rFonts w:ascii="Times New Roman" w:hAnsi="Times New Roman" w:cs="Times New Roman"/>
          <w:bCs/>
          <w:sz w:val="28"/>
          <w:szCs w:val="28"/>
        </w:rPr>
        <w:t xml:space="preserve"> of</w:t>
      </w:r>
      <w:r w:rsidR="00C7463A" w:rsidRPr="000C2217">
        <w:rPr>
          <w:rFonts w:ascii="Times New Roman" w:hAnsi="Times New Roman" w:cs="Times New Roman"/>
          <w:bCs/>
          <w:sz w:val="28"/>
          <w:szCs w:val="28"/>
        </w:rPr>
        <w:t xml:space="preserve"> the </w:t>
      </w:r>
      <w:r w:rsidR="00FE2D0D" w:rsidRPr="000C2217">
        <w:rPr>
          <w:rFonts w:ascii="Times New Roman" w:hAnsi="Times New Roman" w:cs="Times New Roman"/>
          <w:bCs/>
          <w:sz w:val="28"/>
          <w:szCs w:val="28"/>
        </w:rPr>
        <w:t>way</w:t>
      </w:r>
      <w:r w:rsidR="00C7463A" w:rsidRPr="000C2217">
        <w:rPr>
          <w:rFonts w:ascii="Times New Roman" w:hAnsi="Times New Roman" w:cs="Times New Roman"/>
          <w:bCs/>
          <w:sz w:val="28"/>
          <w:szCs w:val="28"/>
        </w:rPr>
        <w:t xml:space="preserve"> Northland might have induced the</w:t>
      </w:r>
      <w:r w:rsidR="00A14F8A" w:rsidRPr="000C2217">
        <w:rPr>
          <w:rFonts w:ascii="Times New Roman" w:hAnsi="Times New Roman" w:cs="Times New Roman"/>
          <w:bCs/>
          <w:sz w:val="28"/>
          <w:szCs w:val="28"/>
        </w:rPr>
        <w:t>se</w:t>
      </w:r>
      <w:r w:rsidR="00C7463A" w:rsidRPr="000C2217">
        <w:rPr>
          <w:rFonts w:ascii="Times New Roman" w:hAnsi="Times New Roman" w:cs="Times New Roman"/>
          <w:bCs/>
          <w:sz w:val="28"/>
          <w:szCs w:val="28"/>
        </w:rPr>
        <w:t xml:space="preserve"> </w:t>
      </w:r>
      <w:r w:rsidR="00752A2E" w:rsidRPr="000C2217">
        <w:rPr>
          <w:rFonts w:ascii="Times New Roman" w:hAnsi="Times New Roman" w:cs="Times New Roman"/>
          <w:bCs/>
          <w:sz w:val="28"/>
          <w:szCs w:val="28"/>
        </w:rPr>
        <w:t>sub</w:t>
      </w:r>
      <w:r w:rsidR="00C7463A" w:rsidRPr="000C2217">
        <w:rPr>
          <w:rFonts w:ascii="Times New Roman" w:hAnsi="Times New Roman" w:cs="Times New Roman"/>
          <w:bCs/>
          <w:sz w:val="28"/>
          <w:szCs w:val="28"/>
        </w:rPr>
        <w:t xml:space="preserve">contractors to do so. </w:t>
      </w:r>
      <w:r w:rsidR="00752A2E" w:rsidRPr="000C2217">
        <w:rPr>
          <w:rFonts w:ascii="Times New Roman" w:hAnsi="Times New Roman" w:cs="Times New Roman"/>
          <w:bCs/>
          <w:sz w:val="28"/>
          <w:szCs w:val="28"/>
        </w:rPr>
        <w:t>There is no evidence</w:t>
      </w:r>
      <w:r w:rsidR="00985334" w:rsidRPr="000C2217">
        <w:rPr>
          <w:rFonts w:ascii="Times New Roman" w:hAnsi="Times New Roman" w:cs="Times New Roman"/>
          <w:bCs/>
          <w:sz w:val="28"/>
          <w:szCs w:val="28"/>
        </w:rPr>
        <w:t xml:space="preserve"> that</w:t>
      </w:r>
      <w:r w:rsidR="00A31D02" w:rsidRPr="000C2217">
        <w:rPr>
          <w:rFonts w:ascii="Times New Roman" w:hAnsi="Times New Roman" w:cs="Times New Roman"/>
          <w:bCs/>
          <w:sz w:val="28"/>
          <w:szCs w:val="28"/>
        </w:rPr>
        <w:t xml:space="preserve"> </w:t>
      </w:r>
      <w:r w:rsidR="00D36D5E" w:rsidRPr="000C2217">
        <w:rPr>
          <w:rFonts w:ascii="Times New Roman" w:hAnsi="Times New Roman" w:cs="Times New Roman"/>
          <w:bCs/>
          <w:sz w:val="28"/>
          <w:szCs w:val="28"/>
        </w:rPr>
        <w:t>points to</w:t>
      </w:r>
      <w:r w:rsidR="00A31D02" w:rsidRPr="000C2217">
        <w:rPr>
          <w:rFonts w:ascii="Times New Roman" w:hAnsi="Times New Roman" w:cs="Times New Roman"/>
          <w:bCs/>
          <w:sz w:val="28"/>
          <w:szCs w:val="28"/>
        </w:rPr>
        <w:t xml:space="preserve"> how</w:t>
      </w:r>
      <w:r w:rsidR="00985334" w:rsidRPr="000C2217">
        <w:rPr>
          <w:rFonts w:ascii="Times New Roman" w:hAnsi="Times New Roman" w:cs="Times New Roman"/>
          <w:bCs/>
          <w:sz w:val="28"/>
          <w:szCs w:val="28"/>
        </w:rPr>
        <w:t xml:space="preserve"> Northland </w:t>
      </w:r>
      <w:r w:rsidR="00D36D5E" w:rsidRPr="000C2217">
        <w:rPr>
          <w:rFonts w:ascii="Times New Roman" w:hAnsi="Times New Roman" w:cs="Times New Roman"/>
          <w:bCs/>
          <w:sz w:val="28"/>
          <w:szCs w:val="28"/>
        </w:rPr>
        <w:t>would have</w:t>
      </w:r>
      <w:r w:rsidR="00BF2C10" w:rsidRPr="000C2217">
        <w:rPr>
          <w:rFonts w:ascii="Times New Roman" w:hAnsi="Times New Roman" w:cs="Times New Roman"/>
          <w:bCs/>
          <w:sz w:val="28"/>
          <w:szCs w:val="28"/>
        </w:rPr>
        <w:t xml:space="preserve"> </w:t>
      </w:r>
      <w:r w:rsidR="00985334" w:rsidRPr="000C2217">
        <w:rPr>
          <w:rFonts w:ascii="Times New Roman" w:hAnsi="Times New Roman" w:cs="Times New Roman"/>
          <w:bCs/>
          <w:sz w:val="28"/>
          <w:szCs w:val="28"/>
        </w:rPr>
        <w:t>induced NTE to breach the Prime Contrac</w:t>
      </w:r>
      <w:r w:rsidR="00304CE5" w:rsidRPr="000C2217">
        <w:rPr>
          <w:rFonts w:ascii="Times New Roman" w:hAnsi="Times New Roman" w:cs="Times New Roman"/>
          <w:bCs/>
          <w:sz w:val="28"/>
          <w:szCs w:val="28"/>
        </w:rPr>
        <w:t>t. The</w:t>
      </w:r>
      <w:r w:rsidR="00796A8A" w:rsidRPr="000C2217">
        <w:rPr>
          <w:rFonts w:ascii="Times New Roman" w:hAnsi="Times New Roman" w:cs="Times New Roman"/>
          <w:bCs/>
          <w:sz w:val="28"/>
          <w:szCs w:val="28"/>
        </w:rPr>
        <w:t>re is no evidence that Northland intended, by its conduct</w:t>
      </w:r>
      <w:r w:rsidR="00144B0E">
        <w:rPr>
          <w:rFonts w:ascii="Times New Roman" w:hAnsi="Times New Roman" w:cs="Times New Roman"/>
          <w:bCs/>
          <w:sz w:val="28"/>
          <w:szCs w:val="28"/>
        </w:rPr>
        <w:t>,</w:t>
      </w:r>
      <w:r w:rsidR="00796A8A" w:rsidRPr="000C2217">
        <w:rPr>
          <w:rFonts w:ascii="Times New Roman" w:hAnsi="Times New Roman" w:cs="Times New Roman"/>
          <w:bCs/>
          <w:sz w:val="28"/>
          <w:szCs w:val="28"/>
        </w:rPr>
        <w:t xml:space="preserve"> to cause NTE or any subcontractor to breach their contract. </w:t>
      </w:r>
      <w:r w:rsidR="00D42371" w:rsidRPr="000C2217">
        <w:rPr>
          <w:rFonts w:ascii="Times New Roman" w:hAnsi="Times New Roman" w:cs="Times New Roman"/>
          <w:bCs/>
          <w:sz w:val="28"/>
          <w:szCs w:val="28"/>
        </w:rPr>
        <w:t xml:space="preserve">In addition, </w:t>
      </w:r>
      <w:r w:rsidR="00796A8A" w:rsidRPr="000C2217">
        <w:rPr>
          <w:rFonts w:ascii="Times New Roman" w:hAnsi="Times New Roman" w:cs="Times New Roman"/>
          <w:bCs/>
          <w:sz w:val="28"/>
          <w:szCs w:val="28"/>
        </w:rPr>
        <w:t>in cross-examination</w:t>
      </w:r>
      <w:r w:rsidR="00CA7313">
        <w:rPr>
          <w:rFonts w:ascii="Times New Roman" w:hAnsi="Times New Roman" w:cs="Times New Roman"/>
          <w:bCs/>
          <w:sz w:val="28"/>
          <w:szCs w:val="28"/>
        </w:rPr>
        <w:t>,</w:t>
      </w:r>
      <w:r w:rsidR="00796A8A" w:rsidRPr="000C2217">
        <w:rPr>
          <w:rFonts w:ascii="Times New Roman" w:hAnsi="Times New Roman" w:cs="Times New Roman"/>
          <w:bCs/>
          <w:sz w:val="28"/>
          <w:szCs w:val="28"/>
        </w:rPr>
        <w:t xml:space="preserve"> Mr. Adams explained that the reason </w:t>
      </w:r>
      <w:r w:rsidR="00B4573D" w:rsidRPr="000C2217">
        <w:rPr>
          <w:rFonts w:ascii="Times New Roman" w:hAnsi="Times New Roman" w:cs="Times New Roman"/>
          <w:bCs/>
          <w:sz w:val="28"/>
          <w:szCs w:val="28"/>
        </w:rPr>
        <w:t>subcontractors left the project was that they were not being paid by ONEC</w:t>
      </w:r>
      <w:r w:rsidR="000C2217" w:rsidRPr="000C2217">
        <w:rPr>
          <w:rFonts w:ascii="Times New Roman" w:hAnsi="Times New Roman" w:cs="Times New Roman"/>
          <w:bCs/>
          <w:sz w:val="28"/>
          <w:szCs w:val="28"/>
        </w:rPr>
        <w:t xml:space="preserve"> in breach of their contracts with ONEC. </w:t>
      </w:r>
      <w:r w:rsidR="003D12AB">
        <w:rPr>
          <w:rFonts w:ascii="Times New Roman" w:hAnsi="Times New Roman" w:cs="Times New Roman"/>
          <w:bCs/>
          <w:sz w:val="28"/>
          <w:szCs w:val="28"/>
        </w:rPr>
        <w:t xml:space="preserve">ONEC did not lead any evidence to the contrary. </w:t>
      </w:r>
    </w:p>
    <w:p w14:paraId="77FCFD06" w14:textId="77777777" w:rsidR="000C2217" w:rsidRDefault="000C2217" w:rsidP="000C2217">
      <w:pPr>
        <w:pStyle w:val="ListParagraph"/>
        <w:spacing w:after="0" w:line="240" w:lineRule="auto"/>
        <w:ind w:left="0"/>
        <w:contextualSpacing w:val="0"/>
        <w:jc w:val="both"/>
        <w:rPr>
          <w:rFonts w:ascii="Times New Roman" w:hAnsi="Times New Roman" w:cs="Times New Roman"/>
          <w:bCs/>
          <w:sz w:val="28"/>
          <w:szCs w:val="28"/>
        </w:rPr>
      </w:pPr>
    </w:p>
    <w:p w14:paraId="7CC59DE0" w14:textId="77777777" w:rsidR="00B84B11" w:rsidRPr="000C2217" w:rsidRDefault="00B84B11" w:rsidP="000C2217">
      <w:pPr>
        <w:pStyle w:val="ListParagraph"/>
        <w:spacing w:after="0" w:line="240" w:lineRule="auto"/>
        <w:ind w:left="0"/>
        <w:contextualSpacing w:val="0"/>
        <w:jc w:val="both"/>
        <w:rPr>
          <w:rFonts w:ascii="Times New Roman" w:hAnsi="Times New Roman" w:cs="Times New Roman"/>
          <w:bCs/>
          <w:sz w:val="28"/>
          <w:szCs w:val="28"/>
        </w:rPr>
      </w:pPr>
    </w:p>
    <w:p w14:paraId="73743B0E" w14:textId="12F52853" w:rsidR="00490D19" w:rsidRDefault="007803E3" w:rsidP="007803E3">
      <w:pPr>
        <w:pStyle w:val="ListParagraph"/>
        <w:numPr>
          <w:ilvl w:val="0"/>
          <w:numId w:val="1"/>
        </w:numPr>
        <w:spacing w:after="0" w:line="240" w:lineRule="auto"/>
        <w:contextualSpacing w:val="0"/>
        <w:jc w:val="both"/>
        <w:rPr>
          <w:rFonts w:ascii="Times New Roman" w:hAnsi="Times New Roman" w:cs="Times New Roman"/>
          <w:bCs/>
          <w:sz w:val="28"/>
          <w:szCs w:val="28"/>
        </w:rPr>
      </w:pPr>
      <w:r w:rsidRPr="00676D7E">
        <w:rPr>
          <w:rFonts w:ascii="Times New Roman" w:hAnsi="Times New Roman" w:cs="Times New Roman"/>
          <w:bCs/>
          <w:sz w:val="28"/>
          <w:szCs w:val="28"/>
        </w:rPr>
        <w:t>ONEC argues that it does not have the burden of proof</w:t>
      </w:r>
      <w:r w:rsidR="00412C33" w:rsidRPr="00676D7E">
        <w:rPr>
          <w:rFonts w:ascii="Times New Roman" w:hAnsi="Times New Roman" w:cs="Times New Roman"/>
          <w:bCs/>
          <w:sz w:val="28"/>
          <w:szCs w:val="28"/>
        </w:rPr>
        <w:t xml:space="preserve"> on this application. Relying on</w:t>
      </w:r>
      <w:r w:rsidR="006F0D34" w:rsidRPr="00676D7E">
        <w:rPr>
          <w:rFonts w:ascii="Times New Roman" w:hAnsi="Times New Roman" w:cs="Times New Roman"/>
          <w:bCs/>
          <w:sz w:val="28"/>
          <w:szCs w:val="28"/>
        </w:rPr>
        <w:t xml:space="preserve"> </w:t>
      </w:r>
      <w:r w:rsidR="00E335B3" w:rsidRPr="00676D7E">
        <w:rPr>
          <w:rFonts w:ascii="Times New Roman" w:hAnsi="Times New Roman" w:cs="Times New Roman"/>
          <w:bCs/>
          <w:i/>
          <w:iCs/>
          <w:sz w:val="28"/>
          <w:szCs w:val="28"/>
        </w:rPr>
        <w:t>Weir-Jones</w:t>
      </w:r>
      <w:r w:rsidR="00676D7E" w:rsidRPr="00676D7E">
        <w:rPr>
          <w:rFonts w:ascii="Times New Roman" w:hAnsi="Times New Roman" w:cs="Times New Roman"/>
          <w:bCs/>
          <w:sz w:val="28"/>
          <w:szCs w:val="28"/>
        </w:rPr>
        <w:t>,</w:t>
      </w:r>
      <w:r w:rsidR="00E335B3" w:rsidRPr="00676D7E">
        <w:rPr>
          <w:rFonts w:ascii="Times New Roman" w:hAnsi="Times New Roman" w:cs="Times New Roman"/>
          <w:bCs/>
          <w:sz w:val="28"/>
          <w:szCs w:val="28"/>
        </w:rPr>
        <w:t xml:space="preserve"> it submits that</w:t>
      </w:r>
      <w:r w:rsidR="00F4296F" w:rsidRPr="00676D7E">
        <w:rPr>
          <w:rFonts w:ascii="Times New Roman" w:hAnsi="Times New Roman" w:cs="Times New Roman"/>
          <w:bCs/>
          <w:sz w:val="28"/>
          <w:szCs w:val="28"/>
        </w:rPr>
        <w:t xml:space="preserve"> on an application for summary judgment, there is no </w:t>
      </w:r>
      <w:r w:rsidR="008D6B38" w:rsidRPr="00676D7E">
        <w:rPr>
          <w:rFonts w:ascii="Times New Roman" w:hAnsi="Times New Roman" w:cs="Times New Roman"/>
          <w:bCs/>
          <w:sz w:val="28"/>
          <w:szCs w:val="28"/>
        </w:rPr>
        <w:t>symmetry of burdens. A</w:t>
      </w:r>
      <w:r w:rsidR="00F4296F" w:rsidRPr="00676D7E">
        <w:rPr>
          <w:rFonts w:ascii="Times New Roman" w:hAnsi="Times New Roman" w:cs="Times New Roman"/>
          <w:bCs/>
          <w:sz w:val="28"/>
          <w:szCs w:val="28"/>
        </w:rPr>
        <w:t xml:space="preserve">s </w:t>
      </w:r>
      <w:r w:rsidR="00F4296F" w:rsidRPr="00DB09A9">
        <w:rPr>
          <w:rFonts w:ascii="Times New Roman" w:hAnsi="Times New Roman" w:cs="Times New Roman"/>
          <w:bCs/>
          <w:sz w:val="28"/>
          <w:szCs w:val="28"/>
        </w:rPr>
        <w:t xml:space="preserve">the </w:t>
      </w:r>
      <w:r w:rsidR="008D6B38" w:rsidRPr="00DB09A9">
        <w:rPr>
          <w:rFonts w:ascii="Times New Roman" w:hAnsi="Times New Roman" w:cs="Times New Roman"/>
          <w:bCs/>
          <w:sz w:val="28"/>
          <w:szCs w:val="28"/>
        </w:rPr>
        <w:t>resisting</w:t>
      </w:r>
      <w:r w:rsidR="00F4296F" w:rsidRPr="00DB09A9">
        <w:rPr>
          <w:rFonts w:ascii="Times New Roman" w:hAnsi="Times New Roman" w:cs="Times New Roman"/>
          <w:bCs/>
          <w:sz w:val="28"/>
          <w:szCs w:val="28"/>
        </w:rPr>
        <w:t xml:space="preserve"> party</w:t>
      </w:r>
      <w:r w:rsidR="00F4296F" w:rsidRPr="00676D7E">
        <w:rPr>
          <w:rFonts w:ascii="Times New Roman" w:hAnsi="Times New Roman" w:cs="Times New Roman"/>
          <w:bCs/>
          <w:sz w:val="28"/>
          <w:szCs w:val="28"/>
        </w:rPr>
        <w:t xml:space="preserve"> on this application, </w:t>
      </w:r>
      <w:r w:rsidR="008B003E" w:rsidRPr="00676D7E">
        <w:rPr>
          <w:rFonts w:ascii="Times New Roman" w:hAnsi="Times New Roman" w:cs="Times New Roman"/>
          <w:bCs/>
          <w:sz w:val="28"/>
          <w:szCs w:val="28"/>
        </w:rPr>
        <w:t xml:space="preserve">it does not have to prove its own case but </w:t>
      </w:r>
      <w:r w:rsidR="00D101D1">
        <w:rPr>
          <w:rFonts w:ascii="Times New Roman" w:hAnsi="Times New Roman" w:cs="Times New Roman"/>
          <w:bCs/>
          <w:sz w:val="28"/>
          <w:szCs w:val="28"/>
        </w:rPr>
        <w:t xml:space="preserve">only needs to convince the court </w:t>
      </w:r>
      <w:r w:rsidR="00B50764" w:rsidRPr="00676D7E">
        <w:rPr>
          <w:rFonts w:ascii="Times New Roman" w:hAnsi="Times New Roman" w:cs="Times New Roman"/>
          <w:bCs/>
          <w:sz w:val="28"/>
          <w:szCs w:val="28"/>
        </w:rPr>
        <w:t xml:space="preserve">that the moving party has failed to establish there is no genuine issue </w:t>
      </w:r>
      <w:r w:rsidR="00452FC9" w:rsidRPr="00676D7E">
        <w:rPr>
          <w:rFonts w:ascii="Times New Roman" w:hAnsi="Times New Roman" w:cs="Times New Roman"/>
          <w:bCs/>
          <w:sz w:val="28"/>
          <w:szCs w:val="28"/>
        </w:rPr>
        <w:t>requiring a trial (</w:t>
      </w:r>
      <w:r w:rsidR="00D101D1" w:rsidRPr="00D101D1">
        <w:rPr>
          <w:rFonts w:ascii="Times New Roman" w:hAnsi="Times New Roman" w:cs="Times New Roman"/>
          <w:bCs/>
          <w:i/>
          <w:iCs/>
          <w:sz w:val="28"/>
          <w:szCs w:val="28"/>
        </w:rPr>
        <w:t>Weir-Jones</w:t>
      </w:r>
      <w:r w:rsidR="00D101D1">
        <w:rPr>
          <w:rFonts w:ascii="Times New Roman" w:hAnsi="Times New Roman" w:cs="Times New Roman"/>
          <w:bCs/>
          <w:sz w:val="28"/>
          <w:szCs w:val="28"/>
        </w:rPr>
        <w:t xml:space="preserve">, </w:t>
      </w:r>
      <w:r w:rsidR="008B003E" w:rsidRPr="00676D7E">
        <w:rPr>
          <w:rFonts w:ascii="Times New Roman" w:hAnsi="Times New Roman" w:cs="Times New Roman"/>
          <w:bCs/>
          <w:sz w:val="28"/>
          <w:szCs w:val="28"/>
        </w:rPr>
        <w:t>at paras 32 and 4</w:t>
      </w:r>
      <w:r w:rsidR="00452FC9" w:rsidRPr="00676D7E">
        <w:rPr>
          <w:rFonts w:ascii="Times New Roman" w:hAnsi="Times New Roman" w:cs="Times New Roman"/>
          <w:bCs/>
          <w:sz w:val="28"/>
          <w:szCs w:val="28"/>
        </w:rPr>
        <w:t>3)</w:t>
      </w:r>
      <w:r w:rsidRPr="00676D7E">
        <w:rPr>
          <w:rFonts w:ascii="Times New Roman" w:hAnsi="Times New Roman" w:cs="Times New Roman"/>
          <w:bCs/>
          <w:sz w:val="28"/>
          <w:szCs w:val="28"/>
        </w:rPr>
        <w:t>.</w:t>
      </w:r>
      <w:r w:rsidRPr="00F82B8E">
        <w:rPr>
          <w:rFonts w:ascii="Times New Roman" w:hAnsi="Times New Roman" w:cs="Times New Roman"/>
          <w:bCs/>
          <w:sz w:val="28"/>
          <w:szCs w:val="28"/>
        </w:rPr>
        <w:t xml:space="preserve"> I agree</w:t>
      </w:r>
      <w:r w:rsidR="00D101D1">
        <w:rPr>
          <w:rFonts w:ascii="Times New Roman" w:hAnsi="Times New Roman" w:cs="Times New Roman"/>
          <w:bCs/>
          <w:sz w:val="28"/>
          <w:szCs w:val="28"/>
        </w:rPr>
        <w:t>,</w:t>
      </w:r>
      <w:r w:rsidRPr="00F82B8E">
        <w:rPr>
          <w:rFonts w:ascii="Times New Roman" w:hAnsi="Times New Roman" w:cs="Times New Roman"/>
          <w:bCs/>
          <w:sz w:val="28"/>
          <w:szCs w:val="28"/>
        </w:rPr>
        <w:t xml:space="preserve"> but</w:t>
      </w:r>
      <w:r w:rsidR="00C12911" w:rsidRPr="00F82B8E">
        <w:rPr>
          <w:rFonts w:ascii="Times New Roman" w:hAnsi="Times New Roman" w:cs="Times New Roman"/>
          <w:bCs/>
          <w:sz w:val="28"/>
          <w:szCs w:val="28"/>
        </w:rPr>
        <w:t xml:space="preserve"> </w:t>
      </w:r>
      <w:r w:rsidR="00AB32D2">
        <w:rPr>
          <w:rFonts w:ascii="Times New Roman" w:hAnsi="Times New Roman" w:cs="Times New Roman"/>
          <w:bCs/>
          <w:sz w:val="28"/>
          <w:szCs w:val="28"/>
        </w:rPr>
        <w:t>ONEC ca</w:t>
      </w:r>
      <w:r w:rsidR="00A27415">
        <w:rPr>
          <w:rFonts w:ascii="Times New Roman" w:hAnsi="Times New Roman" w:cs="Times New Roman"/>
          <w:bCs/>
          <w:sz w:val="28"/>
          <w:szCs w:val="28"/>
        </w:rPr>
        <w:t>nnot simply rely on the mere allegations in its pleadings (R</w:t>
      </w:r>
      <w:r w:rsidR="006D3DA5">
        <w:rPr>
          <w:rFonts w:ascii="Times New Roman" w:hAnsi="Times New Roman" w:cs="Times New Roman"/>
          <w:bCs/>
          <w:sz w:val="28"/>
          <w:szCs w:val="28"/>
        </w:rPr>
        <w:t xml:space="preserve">ule </w:t>
      </w:r>
      <w:r w:rsidR="00A27415">
        <w:rPr>
          <w:rFonts w:ascii="Times New Roman" w:hAnsi="Times New Roman" w:cs="Times New Roman"/>
          <w:bCs/>
          <w:sz w:val="28"/>
          <w:szCs w:val="28"/>
        </w:rPr>
        <w:t>176</w:t>
      </w:r>
      <w:r w:rsidR="004E01AA">
        <w:rPr>
          <w:rFonts w:ascii="Times New Roman" w:hAnsi="Times New Roman" w:cs="Times New Roman"/>
          <w:bCs/>
          <w:sz w:val="28"/>
          <w:szCs w:val="28"/>
        </w:rPr>
        <w:t xml:space="preserve"> of the </w:t>
      </w:r>
      <w:r w:rsidR="004E01AA" w:rsidRPr="00562C5C">
        <w:rPr>
          <w:rFonts w:ascii="Times New Roman" w:hAnsi="Times New Roman" w:cs="Times New Roman"/>
          <w:bCs/>
          <w:i/>
          <w:iCs/>
          <w:sz w:val="28"/>
          <w:szCs w:val="28"/>
        </w:rPr>
        <w:t>Rules</w:t>
      </w:r>
      <w:r w:rsidR="00A27415">
        <w:rPr>
          <w:rFonts w:ascii="Times New Roman" w:hAnsi="Times New Roman" w:cs="Times New Roman"/>
          <w:bCs/>
          <w:sz w:val="28"/>
          <w:szCs w:val="28"/>
        </w:rPr>
        <w:t>)</w:t>
      </w:r>
      <w:r w:rsidR="004E01AA">
        <w:rPr>
          <w:rFonts w:ascii="Times New Roman" w:hAnsi="Times New Roman" w:cs="Times New Roman"/>
          <w:bCs/>
          <w:sz w:val="28"/>
          <w:szCs w:val="28"/>
        </w:rPr>
        <w:t xml:space="preserve">. </w:t>
      </w:r>
      <w:r w:rsidR="00084531">
        <w:rPr>
          <w:rFonts w:ascii="Times New Roman" w:hAnsi="Times New Roman" w:cs="Times New Roman"/>
          <w:bCs/>
          <w:sz w:val="28"/>
          <w:szCs w:val="28"/>
        </w:rPr>
        <w:t xml:space="preserve">As stated above, the respondent also has an obligation to put its </w:t>
      </w:r>
      <w:r w:rsidR="0001342B">
        <w:rPr>
          <w:rFonts w:ascii="Times New Roman" w:hAnsi="Times New Roman" w:cs="Times New Roman"/>
          <w:bCs/>
          <w:sz w:val="28"/>
          <w:szCs w:val="28"/>
        </w:rPr>
        <w:t xml:space="preserve">best foot forward and present the evidence it intends </w:t>
      </w:r>
      <w:r w:rsidR="00A004D0">
        <w:rPr>
          <w:rFonts w:ascii="Times New Roman" w:hAnsi="Times New Roman" w:cs="Times New Roman"/>
          <w:bCs/>
          <w:sz w:val="28"/>
          <w:szCs w:val="28"/>
        </w:rPr>
        <w:t>to rely</w:t>
      </w:r>
      <w:r w:rsidR="0001342B">
        <w:rPr>
          <w:rFonts w:ascii="Times New Roman" w:hAnsi="Times New Roman" w:cs="Times New Roman"/>
          <w:bCs/>
          <w:sz w:val="28"/>
          <w:szCs w:val="28"/>
        </w:rPr>
        <w:t xml:space="preserve"> on at trial.</w:t>
      </w:r>
      <w:r w:rsidR="00084531">
        <w:rPr>
          <w:rFonts w:ascii="Times New Roman" w:hAnsi="Times New Roman" w:cs="Times New Roman"/>
          <w:bCs/>
          <w:sz w:val="28"/>
          <w:szCs w:val="28"/>
        </w:rPr>
        <w:t xml:space="preserve"> </w:t>
      </w:r>
    </w:p>
    <w:p w14:paraId="4D0A7ACD" w14:textId="77777777" w:rsidR="00490D19" w:rsidRPr="00490D19" w:rsidRDefault="00490D19" w:rsidP="00490D19">
      <w:pPr>
        <w:pStyle w:val="ListParagraph"/>
        <w:rPr>
          <w:rFonts w:ascii="Times New Roman" w:hAnsi="Times New Roman" w:cs="Times New Roman"/>
          <w:bCs/>
          <w:sz w:val="28"/>
          <w:szCs w:val="28"/>
        </w:rPr>
      </w:pPr>
    </w:p>
    <w:p w14:paraId="580B1826" w14:textId="06DD5E3C" w:rsidR="007C117F" w:rsidRDefault="00C12911" w:rsidP="007C117F">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I must assess</w:t>
      </w:r>
      <w:r w:rsidR="007803E3" w:rsidRPr="00F82B8E">
        <w:rPr>
          <w:rFonts w:ascii="Times New Roman" w:hAnsi="Times New Roman" w:cs="Times New Roman"/>
          <w:bCs/>
          <w:sz w:val="28"/>
          <w:szCs w:val="28"/>
        </w:rPr>
        <w:t xml:space="preserve"> whether Northland has met its burden to establish ONEC’s claim is </w:t>
      </w:r>
      <w:r w:rsidR="003A3649" w:rsidRPr="00F82B8E">
        <w:rPr>
          <w:rFonts w:ascii="Times New Roman" w:hAnsi="Times New Roman" w:cs="Times New Roman"/>
          <w:bCs/>
          <w:sz w:val="28"/>
          <w:szCs w:val="28"/>
        </w:rPr>
        <w:t>meritless</w:t>
      </w:r>
      <w:r w:rsidRPr="00F82B8E">
        <w:rPr>
          <w:rFonts w:ascii="Times New Roman" w:hAnsi="Times New Roman" w:cs="Times New Roman"/>
          <w:bCs/>
          <w:sz w:val="28"/>
          <w:szCs w:val="28"/>
        </w:rPr>
        <w:t xml:space="preserve"> </w:t>
      </w:r>
      <w:r w:rsidR="007803E3" w:rsidRPr="00F82B8E">
        <w:rPr>
          <w:rFonts w:ascii="Times New Roman" w:hAnsi="Times New Roman" w:cs="Times New Roman"/>
          <w:bCs/>
          <w:sz w:val="28"/>
          <w:szCs w:val="28"/>
        </w:rPr>
        <w:t xml:space="preserve">based on the </w:t>
      </w:r>
      <w:r w:rsidR="00C26589">
        <w:rPr>
          <w:rFonts w:ascii="Times New Roman" w:hAnsi="Times New Roman" w:cs="Times New Roman"/>
          <w:bCs/>
          <w:sz w:val="28"/>
          <w:szCs w:val="28"/>
        </w:rPr>
        <w:t>record</w:t>
      </w:r>
      <w:r w:rsidR="007803E3" w:rsidRPr="00F82B8E">
        <w:rPr>
          <w:rFonts w:ascii="Times New Roman" w:hAnsi="Times New Roman" w:cs="Times New Roman"/>
          <w:bCs/>
          <w:sz w:val="28"/>
          <w:szCs w:val="28"/>
        </w:rPr>
        <w:t xml:space="preserve"> before me</w:t>
      </w:r>
      <w:r w:rsidR="00ED4066">
        <w:rPr>
          <w:rFonts w:ascii="Times New Roman" w:hAnsi="Times New Roman" w:cs="Times New Roman"/>
          <w:bCs/>
          <w:sz w:val="28"/>
          <w:szCs w:val="28"/>
        </w:rPr>
        <w:t xml:space="preserve"> (</w:t>
      </w:r>
      <w:r w:rsidR="00C26589" w:rsidRPr="00C8584C">
        <w:rPr>
          <w:rFonts w:ascii="Times New Roman" w:hAnsi="Times New Roman" w:cs="Times New Roman"/>
          <w:bCs/>
          <w:i/>
          <w:iCs/>
          <w:sz w:val="28"/>
          <w:szCs w:val="28"/>
        </w:rPr>
        <w:t>Weir-Jones</w:t>
      </w:r>
      <w:r w:rsidR="00C26589">
        <w:rPr>
          <w:rFonts w:ascii="Times New Roman" w:hAnsi="Times New Roman" w:cs="Times New Roman"/>
          <w:bCs/>
          <w:sz w:val="28"/>
          <w:szCs w:val="28"/>
        </w:rPr>
        <w:t>, para</w:t>
      </w:r>
      <w:r w:rsidR="00504FCE">
        <w:rPr>
          <w:rFonts w:ascii="Times New Roman" w:hAnsi="Times New Roman" w:cs="Times New Roman"/>
          <w:bCs/>
          <w:sz w:val="28"/>
          <w:szCs w:val="28"/>
        </w:rPr>
        <w:t>s</w:t>
      </w:r>
      <w:r w:rsidR="00C26589">
        <w:rPr>
          <w:rFonts w:ascii="Times New Roman" w:hAnsi="Times New Roman" w:cs="Times New Roman"/>
          <w:bCs/>
          <w:sz w:val="28"/>
          <w:szCs w:val="28"/>
        </w:rPr>
        <w:t xml:space="preserve"> 37</w:t>
      </w:r>
      <w:r w:rsidR="00504FCE">
        <w:rPr>
          <w:rFonts w:ascii="Times New Roman" w:hAnsi="Times New Roman" w:cs="Times New Roman"/>
          <w:bCs/>
          <w:sz w:val="28"/>
          <w:szCs w:val="28"/>
        </w:rPr>
        <w:t xml:space="preserve"> and 39</w:t>
      </w:r>
      <w:r w:rsidR="00C26589">
        <w:rPr>
          <w:rFonts w:ascii="Times New Roman" w:hAnsi="Times New Roman" w:cs="Times New Roman"/>
          <w:bCs/>
          <w:sz w:val="28"/>
          <w:szCs w:val="28"/>
        </w:rPr>
        <w:t>)</w:t>
      </w:r>
      <w:r w:rsidR="00287F24">
        <w:rPr>
          <w:rFonts w:ascii="Times New Roman" w:hAnsi="Times New Roman" w:cs="Times New Roman"/>
          <w:bCs/>
          <w:sz w:val="28"/>
          <w:szCs w:val="28"/>
        </w:rPr>
        <w:t>.</w:t>
      </w:r>
      <w:r w:rsidR="007803E3" w:rsidRPr="00F82B8E">
        <w:rPr>
          <w:rFonts w:ascii="Times New Roman" w:hAnsi="Times New Roman" w:cs="Times New Roman"/>
          <w:bCs/>
          <w:sz w:val="28"/>
          <w:szCs w:val="28"/>
        </w:rPr>
        <w:t xml:space="preserve"> </w:t>
      </w:r>
      <w:r w:rsidR="00DF109E" w:rsidRPr="00F82B8E">
        <w:rPr>
          <w:rFonts w:ascii="Times New Roman" w:hAnsi="Times New Roman" w:cs="Times New Roman"/>
          <w:bCs/>
          <w:sz w:val="28"/>
          <w:szCs w:val="28"/>
        </w:rPr>
        <w:t>Because of the absence of evidence o</w:t>
      </w:r>
      <w:r w:rsidR="00287F24">
        <w:rPr>
          <w:rFonts w:ascii="Times New Roman" w:hAnsi="Times New Roman" w:cs="Times New Roman"/>
          <w:bCs/>
          <w:sz w:val="28"/>
          <w:szCs w:val="28"/>
        </w:rPr>
        <w:t>f</w:t>
      </w:r>
      <w:r w:rsidR="00DF109E" w:rsidRPr="00F82B8E">
        <w:rPr>
          <w:rFonts w:ascii="Times New Roman" w:hAnsi="Times New Roman" w:cs="Times New Roman"/>
          <w:bCs/>
          <w:sz w:val="28"/>
          <w:szCs w:val="28"/>
        </w:rPr>
        <w:t xml:space="preserve"> essential elements of the tort of </w:t>
      </w:r>
      <w:r w:rsidR="00E967D0" w:rsidRPr="00F82B8E">
        <w:rPr>
          <w:rFonts w:ascii="Times New Roman" w:hAnsi="Times New Roman" w:cs="Times New Roman"/>
          <w:bCs/>
          <w:sz w:val="28"/>
          <w:szCs w:val="28"/>
        </w:rPr>
        <w:t>inducing</w:t>
      </w:r>
      <w:r w:rsidR="00DF109E" w:rsidRPr="00F82B8E">
        <w:rPr>
          <w:rFonts w:ascii="Times New Roman" w:hAnsi="Times New Roman" w:cs="Times New Roman"/>
          <w:bCs/>
          <w:sz w:val="28"/>
          <w:szCs w:val="28"/>
        </w:rPr>
        <w:t xml:space="preserve"> breach of contract, I am satisfied that Northland has met its burden to </w:t>
      </w:r>
      <w:r w:rsidR="00A20D04" w:rsidRPr="00F82B8E">
        <w:rPr>
          <w:rFonts w:ascii="Times New Roman" w:hAnsi="Times New Roman" w:cs="Times New Roman"/>
          <w:bCs/>
          <w:sz w:val="28"/>
          <w:szCs w:val="28"/>
        </w:rPr>
        <w:t xml:space="preserve">establish that </w:t>
      </w:r>
      <w:r w:rsidR="00F7562A" w:rsidRPr="00F82B8E">
        <w:rPr>
          <w:rFonts w:ascii="Times New Roman" w:hAnsi="Times New Roman" w:cs="Times New Roman"/>
          <w:bCs/>
          <w:sz w:val="28"/>
          <w:szCs w:val="28"/>
        </w:rPr>
        <w:t>this</w:t>
      </w:r>
      <w:r w:rsidR="00A20D04" w:rsidRPr="00F82B8E">
        <w:rPr>
          <w:rFonts w:ascii="Times New Roman" w:hAnsi="Times New Roman" w:cs="Times New Roman"/>
          <w:bCs/>
          <w:sz w:val="28"/>
          <w:szCs w:val="28"/>
        </w:rPr>
        <w:t xml:space="preserve"> claim</w:t>
      </w:r>
      <w:r w:rsidR="00864C5B" w:rsidRPr="00F82B8E">
        <w:rPr>
          <w:rFonts w:ascii="Times New Roman" w:hAnsi="Times New Roman" w:cs="Times New Roman"/>
          <w:bCs/>
          <w:sz w:val="28"/>
          <w:szCs w:val="28"/>
        </w:rPr>
        <w:t xml:space="preserve"> has no merit</w:t>
      </w:r>
      <w:r w:rsidR="00A20D04" w:rsidRPr="00F82B8E">
        <w:rPr>
          <w:rFonts w:ascii="Times New Roman" w:hAnsi="Times New Roman" w:cs="Times New Roman"/>
          <w:bCs/>
          <w:sz w:val="28"/>
          <w:szCs w:val="28"/>
        </w:rPr>
        <w:t xml:space="preserve">. </w:t>
      </w:r>
    </w:p>
    <w:p w14:paraId="243C5351" w14:textId="77777777" w:rsidR="00A13B87" w:rsidRPr="00C44364" w:rsidRDefault="00A13B87" w:rsidP="00A13B87">
      <w:pPr>
        <w:pStyle w:val="ListParagraph"/>
        <w:spacing w:after="0" w:line="240" w:lineRule="auto"/>
        <w:ind w:left="0"/>
        <w:contextualSpacing w:val="0"/>
        <w:jc w:val="both"/>
        <w:rPr>
          <w:rFonts w:ascii="Times New Roman" w:hAnsi="Times New Roman" w:cs="Times New Roman"/>
          <w:bCs/>
          <w:sz w:val="28"/>
          <w:szCs w:val="28"/>
        </w:rPr>
      </w:pPr>
    </w:p>
    <w:p w14:paraId="2844805D" w14:textId="1DBBFEC2" w:rsidR="003206CF" w:rsidRPr="004867F5" w:rsidRDefault="003206CF" w:rsidP="007C117F">
      <w:pPr>
        <w:spacing w:after="0" w:line="240" w:lineRule="auto"/>
        <w:jc w:val="both"/>
        <w:rPr>
          <w:rFonts w:ascii="Times New Roman" w:hAnsi="Times New Roman" w:cs="Times New Roman"/>
          <w:bCs/>
          <w:sz w:val="28"/>
          <w:szCs w:val="28"/>
          <w:u w:val="single"/>
        </w:rPr>
      </w:pPr>
      <w:r w:rsidRPr="004867F5">
        <w:rPr>
          <w:rFonts w:ascii="Times New Roman" w:hAnsi="Times New Roman" w:cs="Times New Roman"/>
          <w:bCs/>
          <w:sz w:val="28"/>
          <w:szCs w:val="28"/>
          <w:u w:val="single"/>
        </w:rPr>
        <w:t>Breach of Contract</w:t>
      </w:r>
    </w:p>
    <w:p w14:paraId="192488AB" w14:textId="77777777" w:rsidR="003206CF" w:rsidRPr="00F82B8E" w:rsidRDefault="003206CF" w:rsidP="007C117F">
      <w:pPr>
        <w:spacing w:after="0" w:line="240" w:lineRule="auto"/>
        <w:jc w:val="both"/>
        <w:rPr>
          <w:rFonts w:ascii="Times New Roman" w:hAnsi="Times New Roman" w:cs="Times New Roman"/>
          <w:bCs/>
          <w:sz w:val="28"/>
          <w:szCs w:val="28"/>
        </w:rPr>
      </w:pPr>
    </w:p>
    <w:p w14:paraId="6B37B966" w14:textId="52710F40" w:rsidR="00864C5B" w:rsidRPr="00F82B8E" w:rsidRDefault="004E3EAA" w:rsidP="004E3EAA">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ONEC also alleges that Northland breached the IPD Contract. </w:t>
      </w:r>
      <w:r w:rsidR="00D8227E">
        <w:rPr>
          <w:rFonts w:ascii="Times New Roman" w:hAnsi="Times New Roman" w:cs="Times New Roman"/>
          <w:bCs/>
          <w:sz w:val="28"/>
          <w:szCs w:val="28"/>
        </w:rPr>
        <w:t xml:space="preserve">On the application for summary judgment, </w:t>
      </w:r>
      <w:r w:rsidR="00E509CC" w:rsidRPr="00F82B8E">
        <w:rPr>
          <w:rFonts w:ascii="Times New Roman" w:hAnsi="Times New Roman" w:cs="Times New Roman"/>
          <w:bCs/>
          <w:sz w:val="28"/>
          <w:szCs w:val="28"/>
        </w:rPr>
        <w:t>ONEC argue</w:t>
      </w:r>
      <w:r w:rsidR="00A91012">
        <w:rPr>
          <w:rFonts w:ascii="Times New Roman" w:hAnsi="Times New Roman" w:cs="Times New Roman"/>
          <w:bCs/>
          <w:sz w:val="28"/>
          <w:szCs w:val="28"/>
        </w:rPr>
        <w:t>s</w:t>
      </w:r>
      <w:r w:rsidR="00E509CC" w:rsidRPr="00F82B8E">
        <w:rPr>
          <w:rFonts w:ascii="Times New Roman" w:hAnsi="Times New Roman" w:cs="Times New Roman"/>
          <w:bCs/>
          <w:sz w:val="28"/>
          <w:szCs w:val="28"/>
        </w:rPr>
        <w:t xml:space="preserve"> that Northland</w:t>
      </w:r>
      <w:r w:rsidR="00E7018D">
        <w:rPr>
          <w:rFonts w:ascii="Times New Roman" w:hAnsi="Times New Roman" w:cs="Times New Roman"/>
          <w:bCs/>
          <w:sz w:val="28"/>
          <w:szCs w:val="28"/>
        </w:rPr>
        <w:t xml:space="preserve"> breached the IPD Contract when it </w:t>
      </w:r>
      <w:r w:rsidR="009124BA">
        <w:rPr>
          <w:rFonts w:ascii="Times New Roman" w:hAnsi="Times New Roman" w:cs="Times New Roman"/>
          <w:bCs/>
          <w:sz w:val="28"/>
          <w:szCs w:val="28"/>
        </w:rPr>
        <w:t xml:space="preserve">terminated the contract and </w:t>
      </w:r>
      <w:r w:rsidR="000E6006" w:rsidRPr="00F82B8E">
        <w:rPr>
          <w:rFonts w:ascii="Times New Roman" w:hAnsi="Times New Roman" w:cs="Times New Roman"/>
          <w:bCs/>
          <w:sz w:val="28"/>
          <w:szCs w:val="28"/>
        </w:rPr>
        <w:t>refus</w:t>
      </w:r>
      <w:r w:rsidR="009124BA">
        <w:rPr>
          <w:rFonts w:ascii="Times New Roman" w:hAnsi="Times New Roman" w:cs="Times New Roman"/>
          <w:bCs/>
          <w:sz w:val="28"/>
          <w:szCs w:val="28"/>
        </w:rPr>
        <w:t xml:space="preserve">ed </w:t>
      </w:r>
      <w:r w:rsidR="000E6006" w:rsidRPr="00F82B8E">
        <w:rPr>
          <w:rFonts w:ascii="Times New Roman" w:hAnsi="Times New Roman" w:cs="Times New Roman"/>
          <w:bCs/>
          <w:sz w:val="28"/>
          <w:szCs w:val="28"/>
        </w:rPr>
        <w:t>to remobilize to the work site after</w:t>
      </w:r>
      <w:r w:rsidR="00B90727" w:rsidRPr="00F82B8E">
        <w:rPr>
          <w:rFonts w:ascii="Times New Roman" w:hAnsi="Times New Roman" w:cs="Times New Roman"/>
          <w:bCs/>
          <w:sz w:val="28"/>
          <w:szCs w:val="28"/>
        </w:rPr>
        <w:t xml:space="preserve"> the dispute that arose between ONEC and NTE in November 2022 was resolved. </w:t>
      </w:r>
      <w:r w:rsidR="007D081D" w:rsidRPr="00F82B8E">
        <w:rPr>
          <w:rFonts w:ascii="Times New Roman" w:hAnsi="Times New Roman" w:cs="Times New Roman"/>
          <w:bCs/>
          <w:sz w:val="28"/>
          <w:szCs w:val="28"/>
        </w:rPr>
        <w:t xml:space="preserve">ONEC </w:t>
      </w:r>
      <w:r w:rsidR="00395E47">
        <w:rPr>
          <w:rFonts w:ascii="Times New Roman" w:hAnsi="Times New Roman" w:cs="Times New Roman"/>
          <w:bCs/>
          <w:sz w:val="28"/>
          <w:szCs w:val="28"/>
        </w:rPr>
        <w:t xml:space="preserve">submits </w:t>
      </w:r>
      <w:r w:rsidR="007D081D" w:rsidRPr="00F82B8E">
        <w:rPr>
          <w:rFonts w:ascii="Times New Roman" w:hAnsi="Times New Roman" w:cs="Times New Roman"/>
          <w:bCs/>
          <w:sz w:val="28"/>
          <w:szCs w:val="28"/>
        </w:rPr>
        <w:t>Northland</w:t>
      </w:r>
      <w:r w:rsidR="00516E55" w:rsidRPr="00F82B8E">
        <w:rPr>
          <w:rFonts w:ascii="Times New Roman" w:hAnsi="Times New Roman" w:cs="Times New Roman"/>
          <w:bCs/>
          <w:sz w:val="28"/>
          <w:szCs w:val="28"/>
        </w:rPr>
        <w:t>’s claim for payment of the outstanding invoices was not justified under the IPD Contract. As a result,</w:t>
      </w:r>
      <w:r w:rsidR="00766A9E" w:rsidRPr="00F82B8E">
        <w:rPr>
          <w:rFonts w:ascii="Times New Roman" w:hAnsi="Times New Roman" w:cs="Times New Roman"/>
          <w:bCs/>
          <w:sz w:val="28"/>
          <w:szCs w:val="28"/>
        </w:rPr>
        <w:t xml:space="preserve"> it clai</w:t>
      </w:r>
      <w:r w:rsidR="003E1DEC">
        <w:rPr>
          <w:rFonts w:ascii="Times New Roman" w:hAnsi="Times New Roman" w:cs="Times New Roman"/>
          <w:bCs/>
          <w:sz w:val="28"/>
          <w:szCs w:val="28"/>
        </w:rPr>
        <w:t>ms</w:t>
      </w:r>
      <w:r w:rsidR="00516E55" w:rsidRPr="00F82B8E">
        <w:rPr>
          <w:rFonts w:ascii="Times New Roman" w:hAnsi="Times New Roman" w:cs="Times New Roman"/>
          <w:bCs/>
          <w:sz w:val="28"/>
          <w:szCs w:val="28"/>
        </w:rPr>
        <w:t xml:space="preserve"> the decision to terminate the contract on that basis was equally unjustified </w:t>
      </w:r>
      <w:r w:rsidR="003F176E" w:rsidRPr="00F82B8E">
        <w:rPr>
          <w:rFonts w:ascii="Times New Roman" w:hAnsi="Times New Roman" w:cs="Times New Roman"/>
          <w:bCs/>
          <w:sz w:val="28"/>
          <w:szCs w:val="28"/>
        </w:rPr>
        <w:t xml:space="preserve">and </w:t>
      </w:r>
      <w:r w:rsidR="001003EE" w:rsidRPr="00F82B8E">
        <w:rPr>
          <w:rFonts w:ascii="Times New Roman" w:hAnsi="Times New Roman" w:cs="Times New Roman"/>
          <w:bCs/>
          <w:sz w:val="28"/>
          <w:szCs w:val="28"/>
        </w:rPr>
        <w:t>was a</w:t>
      </w:r>
      <w:r w:rsidR="003F176E" w:rsidRPr="00F82B8E">
        <w:rPr>
          <w:rFonts w:ascii="Times New Roman" w:hAnsi="Times New Roman" w:cs="Times New Roman"/>
          <w:bCs/>
          <w:sz w:val="28"/>
          <w:szCs w:val="28"/>
        </w:rPr>
        <w:t xml:space="preserve"> breach of the IPD Contract. </w:t>
      </w:r>
    </w:p>
    <w:p w14:paraId="69A303E8" w14:textId="77777777" w:rsidR="003F176E" w:rsidRPr="00F82B8E" w:rsidRDefault="003F176E" w:rsidP="003F176E">
      <w:pPr>
        <w:pStyle w:val="ListParagraph"/>
        <w:spacing w:after="0" w:line="240" w:lineRule="auto"/>
        <w:ind w:left="0"/>
        <w:contextualSpacing w:val="0"/>
        <w:jc w:val="both"/>
        <w:rPr>
          <w:rFonts w:ascii="Times New Roman" w:hAnsi="Times New Roman" w:cs="Times New Roman"/>
          <w:bCs/>
          <w:sz w:val="28"/>
          <w:szCs w:val="28"/>
        </w:rPr>
      </w:pPr>
    </w:p>
    <w:p w14:paraId="42DE48DD" w14:textId="13A4B0F4" w:rsidR="000B7908" w:rsidRPr="00562C5C" w:rsidRDefault="004B0A9E" w:rsidP="003206CF">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The </w:t>
      </w:r>
      <w:r w:rsidR="0051723D">
        <w:rPr>
          <w:rFonts w:ascii="Times New Roman" w:hAnsi="Times New Roman" w:cs="Times New Roman"/>
          <w:bCs/>
          <w:sz w:val="28"/>
          <w:szCs w:val="28"/>
        </w:rPr>
        <w:t>problem</w:t>
      </w:r>
      <w:r w:rsidRPr="00F82B8E">
        <w:rPr>
          <w:rFonts w:ascii="Times New Roman" w:hAnsi="Times New Roman" w:cs="Times New Roman"/>
          <w:bCs/>
          <w:sz w:val="28"/>
          <w:szCs w:val="28"/>
        </w:rPr>
        <w:t xml:space="preserve"> with th</w:t>
      </w:r>
      <w:r w:rsidR="00DD49EC">
        <w:rPr>
          <w:rFonts w:ascii="Times New Roman" w:hAnsi="Times New Roman" w:cs="Times New Roman"/>
          <w:bCs/>
          <w:sz w:val="28"/>
          <w:szCs w:val="28"/>
        </w:rPr>
        <w:t xml:space="preserve">ese allegations </w:t>
      </w:r>
      <w:r w:rsidRPr="00F82B8E">
        <w:rPr>
          <w:rFonts w:ascii="Times New Roman" w:hAnsi="Times New Roman" w:cs="Times New Roman"/>
          <w:bCs/>
          <w:sz w:val="28"/>
          <w:szCs w:val="28"/>
        </w:rPr>
        <w:t xml:space="preserve">is that </w:t>
      </w:r>
      <w:r w:rsidR="00DD49EC">
        <w:rPr>
          <w:rFonts w:ascii="Times New Roman" w:hAnsi="Times New Roman" w:cs="Times New Roman"/>
          <w:bCs/>
          <w:sz w:val="28"/>
          <w:szCs w:val="28"/>
        </w:rPr>
        <w:t>the</w:t>
      </w:r>
      <w:r w:rsidR="008F129F">
        <w:rPr>
          <w:rFonts w:ascii="Times New Roman" w:hAnsi="Times New Roman" w:cs="Times New Roman"/>
          <w:bCs/>
          <w:sz w:val="28"/>
          <w:szCs w:val="28"/>
        </w:rPr>
        <w:t>y</w:t>
      </w:r>
      <w:r w:rsidR="00DD49EC">
        <w:rPr>
          <w:rFonts w:ascii="Times New Roman" w:hAnsi="Times New Roman" w:cs="Times New Roman"/>
          <w:bCs/>
          <w:sz w:val="28"/>
          <w:szCs w:val="28"/>
        </w:rPr>
        <w:t xml:space="preserve"> were not</w:t>
      </w:r>
      <w:r w:rsidRPr="00F82B8E">
        <w:rPr>
          <w:rFonts w:ascii="Times New Roman" w:hAnsi="Times New Roman" w:cs="Times New Roman"/>
          <w:bCs/>
          <w:sz w:val="28"/>
          <w:szCs w:val="28"/>
        </w:rPr>
        <w:t xml:space="preserve"> pled in the Statement of Claim</w:t>
      </w:r>
      <w:r w:rsidR="000E5098">
        <w:rPr>
          <w:rFonts w:ascii="Times New Roman" w:hAnsi="Times New Roman" w:cs="Times New Roman"/>
          <w:bCs/>
          <w:sz w:val="28"/>
          <w:szCs w:val="28"/>
        </w:rPr>
        <w:t xml:space="preserve"> and ONEC has not sought to amend </w:t>
      </w:r>
      <w:r w:rsidR="001053B2">
        <w:rPr>
          <w:rFonts w:ascii="Times New Roman" w:hAnsi="Times New Roman" w:cs="Times New Roman"/>
          <w:bCs/>
          <w:sz w:val="28"/>
          <w:szCs w:val="28"/>
        </w:rPr>
        <w:t>its</w:t>
      </w:r>
      <w:r w:rsidR="000E5098">
        <w:rPr>
          <w:rFonts w:ascii="Times New Roman" w:hAnsi="Times New Roman" w:cs="Times New Roman"/>
          <w:bCs/>
          <w:sz w:val="28"/>
          <w:szCs w:val="28"/>
        </w:rPr>
        <w:t xml:space="preserve"> </w:t>
      </w:r>
      <w:r w:rsidR="001053B2">
        <w:rPr>
          <w:rFonts w:ascii="Times New Roman" w:hAnsi="Times New Roman" w:cs="Times New Roman"/>
          <w:bCs/>
          <w:sz w:val="28"/>
          <w:szCs w:val="28"/>
        </w:rPr>
        <w:t>pleadings</w:t>
      </w:r>
      <w:r w:rsidRPr="00F82B8E">
        <w:rPr>
          <w:rFonts w:ascii="Times New Roman" w:hAnsi="Times New Roman" w:cs="Times New Roman"/>
          <w:bCs/>
          <w:sz w:val="28"/>
          <w:szCs w:val="28"/>
        </w:rPr>
        <w:t xml:space="preserve">. </w:t>
      </w:r>
      <w:r w:rsidR="000B7908" w:rsidRPr="00F82B8E">
        <w:rPr>
          <w:rFonts w:ascii="Times New Roman" w:hAnsi="Times New Roman" w:cs="Times New Roman"/>
          <w:bCs/>
          <w:sz w:val="28"/>
          <w:szCs w:val="28"/>
        </w:rPr>
        <w:t>ONEC’s Statement of Claim only refers to</w:t>
      </w:r>
      <w:r w:rsidR="000A5790" w:rsidRPr="00F82B8E">
        <w:rPr>
          <w:rFonts w:ascii="Times New Roman" w:hAnsi="Times New Roman" w:cs="Times New Roman"/>
          <w:bCs/>
          <w:sz w:val="28"/>
          <w:szCs w:val="28"/>
        </w:rPr>
        <w:t xml:space="preserve"> a breach of the terms of the IPD Contract</w:t>
      </w:r>
      <w:r w:rsidR="00885C13" w:rsidRPr="00F82B8E">
        <w:rPr>
          <w:rFonts w:ascii="Times New Roman" w:hAnsi="Times New Roman" w:cs="Times New Roman"/>
          <w:bCs/>
          <w:sz w:val="28"/>
          <w:szCs w:val="28"/>
        </w:rPr>
        <w:t xml:space="preserve"> in “committing the Northland Inducements”. In the Statement of Claim, </w:t>
      </w:r>
      <w:r w:rsidR="00203FEE" w:rsidRPr="00F82B8E">
        <w:rPr>
          <w:rFonts w:ascii="Times New Roman" w:hAnsi="Times New Roman" w:cs="Times New Roman"/>
          <w:bCs/>
          <w:sz w:val="28"/>
          <w:szCs w:val="28"/>
        </w:rPr>
        <w:t>the “Northland Inducements” refer to the conduct that</w:t>
      </w:r>
      <w:r w:rsidR="001D162A" w:rsidRPr="00F82B8E">
        <w:rPr>
          <w:rFonts w:ascii="Times New Roman" w:hAnsi="Times New Roman" w:cs="Times New Roman"/>
          <w:bCs/>
          <w:sz w:val="28"/>
          <w:szCs w:val="28"/>
        </w:rPr>
        <w:t xml:space="preserve"> underlies the allegations of </w:t>
      </w:r>
      <w:r w:rsidR="00A90260" w:rsidRPr="00F82B8E">
        <w:rPr>
          <w:rFonts w:ascii="Times New Roman" w:hAnsi="Times New Roman" w:cs="Times New Roman"/>
          <w:bCs/>
          <w:sz w:val="28"/>
          <w:szCs w:val="28"/>
        </w:rPr>
        <w:t xml:space="preserve">inducing a breach of contract I described above. </w:t>
      </w:r>
      <w:r w:rsidR="000B7908" w:rsidRPr="00F82B8E">
        <w:rPr>
          <w:rFonts w:ascii="Times New Roman" w:hAnsi="Times New Roman" w:cs="Times New Roman"/>
          <w:bCs/>
          <w:sz w:val="28"/>
          <w:szCs w:val="28"/>
        </w:rPr>
        <w:t xml:space="preserve">ONEC cannot </w:t>
      </w:r>
      <w:r w:rsidR="00562C5C">
        <w:rPr>
          <w:rFonts w:ascii="Times New Roman" w:hAnsi="Times New Roman" w:cs="Times New Roman"/>
          <w:bCs/>
          <w:sz w:val="28"/>
          <w:szCs w:val="28"/>
        </w:rPr>
        <w:t>now</w:t>
      </w:r>
      <w:r w:rsidR="00E35807" w:rsidRPr="00F82B8E">
        <w:rPr>
          <w:rFonts w:ascii="Times New Roman" w:hAnsi="Times New Roman" w:cs="Times New Roman"/>
          <w:bCs/>
          <w:sz w:val="28"/>
          <w:szCs w:val="28"/>
        </w:rPr>
        <w:t xml:space="preserve"> rely</w:t>
      </w:r>
      <w:r w:rsidR="000B7908" w:rsidRPr="00F82B8E">
        <w:rPr>
          <w:rFonts w:ascii="Times New Roman" w:hAnsi="Times New Roman" w:cs="Times New Roman"/>
          <w:bCs/>
          <w:sz w:val="28"/>
          <w:szCs w:val="28"/>
        </w:rPr>
        <w:t xml:space="preserve"> on a </w:t>
      </w:r>
      <w:r w:rsidR="00562C5C">
        <w:rPr>
          <w:rFonts w:ascii="Times New Roman" w:hAnsi="Times New Roman" w:cs="Times New Roman"/>
          <w:bCs/>
          <w:sz w:val="28"/>
          <w:szCs w:val="28"/>
        </w:rPr>
        <w:t xml:space="preserve">different </w:t>
      </w:r>
      <w:r w:rsidR="00E35807" w:rsidRPr="00F82B8E">
        <w:rPr>
          <w:rFonts w:ascii="Times New Roman" w:hAnsi="Times New Roman" w:cs="Times New Roman"/>
          <w:bCs/>
          <w:sz w:val="28"/>
          <w:szCs w:val="28"/>
        </w:rPr>
        <w:t>cause of action</w:t>
      </w:r>
      <w:r w:rsidR="000B7908" w:rsidRPr="00F82B8E">
        <w:rPr>
          <w:rFonts w:ascii="Times New Roman" w:hAnsi="Times New Roman" w:cs="Times New Roman"/>
          <w:bCs/>
          <w:sz w:val="28"/>
          <w:szCs w:val="28"/>
        </w:rPr>
        <w:t xml:space="preserve"> it did not </w:t>
      </w:r>
      <w:r w:rsidR="000B7908" w:rsidRPr="00562C5C">
        <w:rPr>
          <w:rFonts w:ascii="Times New Roman" w:hAnsi="Times New Roman" w:cs="Times New Roman"/>
          <w:bCs/>
          <w:sz w:val="28"/>
          <w:szCs w:val="28"/>
        </w:rPr>
        <w:t xml:space="preserve">plead </w:t>
      </w:r>
      <w:r w:rsidR="00CC307A" w:rsidRPr="00562C5C">
        <w:rPr>
          <w:rFonts w:ascii="Times New Roman" w:hAnsi="Times New Roman" w:cs="Times New Roman"/>
          <w:bCs/>
          <w:sz w:val="28"/>
          <w:szCs w:val="28"/>
        </w:rPr>
        <w:t>(</w:t>
      </w:r>
      <w:r w:rsidR="00B352B7" w:rsidRPr="009B0F12">
        <w:rPr>
          <w:rFonts w:ascii="Times New Roman" w:hAnsi="Times New Roman" w:cs="Times New Roman"/>
          <w:bCs/>
          <w:sz w:val="28"/>
          <w:szCs w:val="28"/>
        </w:rPr>
        <w:t>R</w:t>
      </w:r>
      <w:r w:rsidR="009B0F12" w:rsidRPr="009B0F12">
        <w:rPr>
          <w:rFonts w:ascii="Times New Roman" w:hAnsi="Times New Roman" w:cs="Times New Roman"/>
          <w:bCs/>
          <w:sz w:val="28"/>
          <w:szCs w:val="28"/>
        </w:rPr>
        <w:t>ules</w:t>
      </w:r>
      <w:r w:rsidR="009B0F12">
        <w:rPr>
          <w:rFonts w:ascii="Times New Roman" w:hAnsi="Times New Roman" w:cs="Times New Roman"/>
          <w:bCs/>
          <w:sz w:val="28"/>
          <w:szCs w:val="28"/>
        </w:rPr>
        <w:t xml:space="preserve"> </w:t>
      </w:r>
      <w:r w:rsidR="009B0F12" w:rsidRPr="009B0F12">
        <w:rPr>
          <w:rFonts w:ascii="Times New Roman" w:hAnsi="Times New Roman" w:cs="Times New Roman"/>
          <w:bCs/>
          <w:sz w:val="28"/>
          <w:szCs w:val="28"/>
        </w:rPr>
        <w:t>109 and 112</w:t>
      </w:r>
      <w:r w:rsidR="00B352B7" w:rsidRPr="009B0F12">
        <w:rPr>
          <w:rFonts w:ascii="Times New Roman" w:hAnsi="Times New Roman" w:cs="Times New Roman"/>
          <w:bCs/>
          <w:sz w:val="28"/>
          <w:szCs w:val="28"/>
        </w:rPr>
        <w:t xml:space="preserve"> </w:t>
      </w:r>
      <w:r w:rsidR="00CC307A" w:rsidRPr="009B0F12">
        <w:rPr>
          <w:rFonts w:ascii="Times New Roman" w:hAnsi="Times New Roman" w:cs="Times New Roman"/>
          <w:bCs/>
          <w:sz w:val="28"/>
          <w:szCs w:val="28"/>
        </w:rPr>
        <w:t xml:space="preserve">of </w:t>
      </w:r>
      <w:r w:rsidR="00CC307A" w:rsidRPr="009B0F12">
        <w:rPr>
          <w:rFonts w:ascii="Times New Roman" w:hAnsi="Times New Roman" w:cs="Times New Roman"/>
          <w:bCs/>
          <w:i/>
          <w:iCs/>
          <w:sz w:val="28"/>
          <w:szCs w:val="28"/>
        </w:rPr>
        <w:t>the Rules</w:t>
      </w:r>
      <w:r w:rsidR="00680BD7" w:rsidRPr="00562C5C">
        <w:rPr>
          <w:rFonts w:ascii="Times New Roman" w:hAnsi="Times New Roman" w:cs="Times New Roman"/>
          <w:bCs/>
          <w:sz w:val="28"/>
          <w:szCs w:val="28"/>
        </w:rPr>
        <w:t xml:space="preserve">; also see </w:t>
      </w:r>
      <w:r w:rsidR="0011130E" w:rsidRPr="00562C5C">
        <w:rPr>
          <w:rFonts w:ascii="Times New Roman" w:hAnsi="Times New Roman" w:cs="Times New Roman"/>
          <w:bCs/>
          <w:i/>
          <w:iCs/>
          <w:sz w:val="28"/>
          <w:szCs w:val="28"/>
        </w:rPr>
        <w:t xml:space="preserve">Martel v Nguyen </w:t>
      </w:r>
      <w:r w:rsidR="0011130E" w:rsidRPr="00EF31A1">
        <w:rPr>
          <w:rFonts w:ascii="Times New Roman" w:hAnsi="Times New Roman" w:cs="Times New Roman"/>
          <w:bCs/>
          <w:sz w:val="28"/>
          <w:szCs w:val="28"/>
        </w:rPr>
        <w:t>2023 ONSC 138</w:t>
      </w:r>
      <w:r w:rsidR="00E35807" w:rsidRPr="00EF31A1">
        <w:rPr>
          <w:rFonts w:ascii="Times New Roman" w:hAnsi="Times New Roman" w:cs="Times New Roman"/>
          <w:bCs/>
          <w:sz w:val="28"/>
          <w:szCs w:val="28"/>
        </w:rPr>
        <w:t>2</w:t>
      </w:r>
      <w:r w:rsidR="00E35807" w:rsidRPr="00562C5C">
        <w:rPr>
          <w:rFonts w:ascii="Times New Roman" w:hAnsi="Times New Roman" w:cs="Times New Roman"/>
          <w:bCs/>
          <w:i/>
          <w:iCs/>
          <w:sz w:val="28"/>
          <w:szCs w:val="28"/>
        </w:rPr>
        <w:t>,</w:t>
      </w:r>
      <w:r w:rsidR="00DD3463">
        <w:rPr>
          <w:rFonts w:ascii="Times New Roman" w:hAnsi="Times New Roman" w:cs="Times New Roman"/>
          <w:bCs/>
          <w:sz w:val="28"/>
          <w:szCs w:val="28"/>
        </w:rPr>
        <w:t xml:space="preserve"> at</w:t>
      </w:r>
      <w:r w:rsidR="00E35807" w:rsidRPr="00562C5C">
        <w:rPr>
          <w:rFonts w:ascii="Times New Roman" w:hAnsi="Times New Roman" w:cs="Times New Roman"/>
          <w:bCs/>
          <w:i/>
          <w:iCs/>
          <w:sz w:val="28"/>
          <w:szCs w:val="28"/>
        </w:rPr>
        <w:t xml:space="preserve"> </w:t>
      </w:r>
      <w:r w:rsidR="00E35807" w:rsidRPr="00562C5C">
        <w:rPr>
          <w:rFonts w:ascii="Times New Roman" w:hAnsi="Times New Roman" w:cs="Times New Roman"/>
          <w:bCs/>
          <w:sz w:val="28"/>
          <w:szCs w:val="28"/>
        </w:rPr>
        <w:t>para 49</w:t>
      </w:r>
      <w:r w:rsidR="00680BD7" w:rsidRPr="00562C5C">
        <w:rPr>
          <w:rFonts w:ascii="Times New Roman" w:hAnsi="Times New Roman" w:cs="Times New Roman"/>
          <w:bCs/>
          <w:sz w:val="28"/>
          <w:szCs w:val="28"/>
        </w:rPr>
        <w:t>).</w:t>
      </w:r>
      <w:r w:rsidR="000B7908" w:rsidRPr="00562C5C">
        <w:rPr>
          <w:rFonts w:ascii="Times New Roman" w:hAnsi="Times New Roman" w:cs="Times New Roman"/>
          <w:bCs/>
          <w:sz w:val="28"/>
          <w:szCs w:val="28"/>
        </w:rPr>
        <w:t xml:space="preserve"> </w:t>
      </w:r>
      <w:r w:rsidR="005B2707">
        <w:rPr>
          <w:rFonts w:ascii="Times New Roman" w:hAnsi="Times New Roman" w:cs="Times New Roman"/>
          <w:bCs/>
          <w:sz w:val="28"/>
          <w:szCs w:val="28"/>
        </w:rPr>
        <w:t xml:space="preserve">It would be unfair to Northland to allow ONEC to put forward this new ground of action </w:t>
      </w:r>
      <w:r w:rsidR="005D4CF7">
        <w:rPr>
          <w:rFonts w:ascii="Times New Roman" w:hAnsi="Times New Roman" w:cs="Times New Roman"/>
          <w:bCs/>
          <w:sz w:val="28"/>
          <w:szCs w:val="28"/>
        </w:rPr>
        <w:t xml:space="preserve">at this stage of the proceedings.  </w:t>
      </w:r>
    </w:p>
    <w:p w14:paraId="31AEA1AB" w14:textId="77777777" w:rsidR="00A90260" w:rsidRPr="00F82B8E" w:rsidRDefault="00A90260" w:rsidP="00A90260">
      <w:pPr>
        <w:pStyle w:val="ListParagraph"/>
        <w:spacing w:after="0" w:line="240" w:lineRule="auto"/>
        <w:ind w:left="0"/>
        <w:contextualSpacing w:val="0"/>
        <w:jc w:val="both"/>
        <w:rPr>
          <w:rFonts w:ascii="Times New Roman" w:hAnsi="Times New Roman" w:cs="Times New Roman"/>
          <w:bCs/>
          <w:sz w:val="28"/>
          <w:szCs w:val="28"/>
        </w:rPr>
      </w:pPr>
    </w:p>
    <w:p w14:paraId="771B410E" w14:textId="65488153" w:rsidR="007A0F5B" w:rsidRDefault="00982933" w:rsidP="008A4955">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lastRenderedPageBreak/>
        <w:t xml:space="preserve">Considering the inducements are </w:t>
      </w:r>
      <w:r w:rsidR="007C7248" w:rsidRPr="00F82B8E">
        <w:rPr>
          <w:rFonts w:ascii="Times New Roman" w:hAnsi="Times New Roman" w:cs="Times New Roman"/>
          <w:bCs/>
          <w:sz w:val="28"/>
          <w:szCs w:val="28"/>
        </w:rPr>
        <w:t>the underlying act</w:t>
      </w:r>
      <w:r w:rsidR="00A90260" w:rsidRPr="00F82B8E">
        <w:rPr>
          <w:rFonts w:ascii="Times New Roman" w:hAnsi="Times New Roman" w:cs="Times New Roman"/>
          <w:bCs/>
          <w:sz w:val="28"/>
          <w:szCs w:val="28"/>
        </w:rPr>
        <w:t>s</w:t>
      </w:r>
      <w:r w:rsidR="007C7248" w:rsidRPr="00F82B8E">
        <w:rPr>
          <w:rFonts w:ascii="Times New Roman" w:hAnsi="Times New Roman" w:cs="Times New Roman"/>
          <w:bCs/>
          <w:sz w:val="28"/>
          <w:szCs w:val="28"/>
        </w:rPr>
        <w:t xml:space="preserve"> to the breach of contract allegation, the same issues </w:t>
      </w:r>
      <w:r w:rsidR="00B67F25">
        <w:rPr>
          <w:rFonts w:ascii="Times New Roman" w:hAnsi="Times New Roman" w:cs="Times New Roman"/>
          <w:bCs/>
          <w:sz w:val="28"/>
          <w:szCs w:val="28"/>
        </w:rPr>
        <w:t>of</w:t>
      </w:r>
      <w:r w:rsidR="00A90260" w:rsidRPr="00F82B8E">
        <w:rPr>
          <w:rFonts w:ascii="Times New Roman" w:hAnsi="Times New Roman" w:cs="Times New Roman"/>
          <w:bCs/>
          <w:sz w:val="28"/>
          <w:szCs w:val="28"/>
        </w:rPr>
        <w:t xml:space="preserve"> lack of evidence I set out above </w:t>
      </w:r>
      <w:r w:rsidR="007C7248" w:rsidRPr="00F82B8E">
        <w:rPr>
          <w:rFonts w:ascii="Times New Roman" w:hAnsi="Times New Roman" w:cs="Times New Roman"/>
          <w:bCs/>
          <w:sz w:val="28"/>
          <w:szCs w:val="28"/>
        </w:rPr>
        <w:t xml:space="preserve">arise with respect to this </w:t>
      </w:r>
      <w:r w:rsidR="00E71BD3" w:rsidRPr="00F82B8E">
        <w:rPr>
          <w:rFonts w:ascii="Times New Roman" w:hAnsi="Times New Roman" w:cs="Times New Roman"/>
          <w:bCs/>
          <w:sz w:val="28"/>
          <w:szCs w:val="28"/>
        </w:rPr>
        <w:t>cause of action</w:t>
      </w:r>
      <w:r w:rsidR="007C7248" w:rsidRPr="00F82B8E">
        <w:rPr>
          <w:rFonts w:ascii="Times New Roman" w:hAnsi="Times New Roman" w:cs="Times New Roman"/>
          <w:bCs/>
          <w:sz w:val="28"/>
          <w:szCs w:val="28"/>
        </w:rPr>
        <w:t xml:space="preserve">. </w:t>
      </w:r>
      <w:r w:rsidR="00A90260" w:rsidRPr="00F82B8E">
        <w:rPr>
          <w:rFonts w:ascii="Times New Roman" w:hAnsi="Times New Roman" w:cs="Times New Roman"/>
          <w:bCs/>
          <w:sz w:val="28"/>
          <w:szCs w:val="28"/>
        </w:rPr>
        <w:t>I am satisfied that Northland has met its burden to establish that ONEC’s claim</w:t>
      </w:r>
      <w:r w:rsidR="00F7562A" w:rsidRPr="00F82B8E">
        <w:rPr>
          <w:rFonts w:ascii="Times New Roman" w:hAnsi="Times New Roman" w:cs="Times New Roman"/>
          <w:bCs/>
          <w:sz w:val="28"/>
          <w:szCs w:val="28"/>
        </w:rPr>
        <w:t xml:space="preserve"> for breach of contract</w:t>
      </w:r>
      <w:r w:rsidR="00A90260" w:rsidRPr="00F82B8E">
        <w:rPr>
          <w:rFonts w:ascii="Times New Roman" w:hAnsi="Times New Roman" w:cs="Times New Roman"/>
          <w:bCs/>
          <w:sz w:val="28"/>
          <w:szCs w:val="28"/>
        </w:rPr>
        <w:t xml:space="preserve"> has no merit. </w:t>
      </w:r>
    </w:p>
    <w:p w14:paraId="0FB88327" w14:textId="77777777" w:rsidR="000131D7" w:rsidRPr="008A4955" w:rsidRDefault="000131D7" w:rsidP="000131D7">
      <w:pPr>
        <w:pStyle w:val="ListParagraph"/>
        <w:spacing w:after="0" w:line="240" w:lineRule="auto"/>
        <w:ind w:left="0"/>
        <w:contextualSpacing w:val="0"/>
        <w:jc w:val="both"/>
        <w:rPr>
          <w:rFonts w:ascii="Times New Roman" w:hAnsi="Times New Roman" w:cs="Times New Roman"/>
          <w:bCs/>
          <w:sz w:val="28"/>
          <w:szCs w:val="28"/>
        </w:rPr>
      </w:pPr>
    </w:p>
    <w:p w14:paraId="68417B67" w14:textId="15121F31" w:rsidR="003206CF" w:rsidRPr="004867F5" w:rsidRDefault="00F97025" w:rsidP="000131D7">
      <w:pPr>
        <w:spacing w:after="0"/>
        <w:rPr>
          <w:rFonts w:ascii="Times New Roman" w:hAnsi="Times New Roman" w:cs="Times New Roman"/>
          <w:bCs/>
          <w:sz w:val="28"/>
          <w:szCs w:val="28"/>
          <w:u w:val="single"/>
        </w:rPr>
      </w:pPr>
      <w:r w:rsidRPr="004867F5">
        <w:rPr>
          <w:rFonts w:ascii="Times New Roman" w:hAnsi="Times New Roman" w:cs="Times New Roman"/>
          <w:bCs/>
          <w:sz w:val="28"/>
          <w:szCs w:val="28"/>
          <w:u w:val="single"/>
        </w:rPr>
        <w:t>The Damage of Equipment</w:t>
      </w:r>
      <w:r w:rsidR="00C51CB6" w:rsidRPr="004867F5">
        <w:rPr>
          <w:rFonts w:ascii="Times New Roman" w:hAnsi="Times New Roman" w:cs="Times New Roman"/>
          <w:bCs/>
          <w:sz w:val="28"/>
          <w:szCs w:val="28"/>
          <w:u w:val="single"/>
        </w:rPr>
        <w:t xml:space="preserve"> and Use of Fuel Claims</w:t>
      </w:r>
    </w:p>
    <w:p w14:paraId="10C14254" w14:textId="77777777" w:rsidR="00D52971" w:rsidRDefault="00D52971" w:rsidP="000131D7">
      <w:pPr>
        <w:spacing w:after="0"/>
        <w:rPr>
          <w:rFonts w:ascii="Times New Roman" w:hAnsi="Times New Roman" w:cs="Times New Roman"/>
          <w:b/>
          <w:i/>
          <w:iCs/>
          <w:sz w:val="28"/>
          <w:szCs w:val="28"/>
        </w:rPr>
      </w:pPr>
    </w:p>
    <w:p w14:paraId="34A9A35F" w14:textId="337957B4" w:rsidR="009C633B" w:rsidRDefault="005F6AFC" w:rsidP="006E3E63">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ONEC also </w:t>
      </w:r>
      <w:r w:rsidR="00114F4A" w:rsidRPr="00F82B8E">
        <w:rPr>
          <w:rFonts w:ascii="Times New Roman" w:hAnsi="Times New Roman" w:cs="Times New Roman"/>
          <w:bCs/>
          <w:sz w:val="28"/>
          <w:szCs w:val="28"/>
        </w:rPr>
        <w:t>seeks</w:t>
      </w:r>
      <w:r w:rsidRPr="00F82B8E">
        <w:rPr>
          <w:rFonts w:ascii="Times New Roman" w:hAnsi="Times New Roman" w:cs="Times New Roman"/>
          <w:bCs/>
          <w:sz w:val="28"/>
          <w:szCs w:val="28"/>
        </w:rPr>
        <w:t xml:space="preserve"> </w:t>
      </w:r>
      <w:r w:rsidR="00114F4A" w:rsidRPr="00F82B8E">
        <w:rPr>
          <w:rFonts w:ascii="Times New Roman" w:hAnsi="Times New Roman" w:cs="Times New Roman"/>
          <w:bCs/>
          <w:sz w:val="28"/>
          <w:szCs w:val="28"/>
        </w:rPr>
        <w:t xml:space="preserve">compensation </w:t>
      </w:r>
      <w:r w:rsidR="00267ACF">
        <w:rPr>
          <w:rFonts w:ascii="Times New Roman" w:hAnsi="Times New Roman" w:cs="Times New Roman"/>
          <w:bCs/>
          <w:sz w:val="28"/>
          <w:szCs w:val="28"/>
        </w:rPr>
        <w:t xml:space="preserve">alleging Northland </w:t>
      </w:r>
      <w:r w:rsidR="00114F4A" w:rsidRPr="00F82B8E">
        <w:rPr>
          <w:rFonts w:ascii="Times New Roman" w:hAnsi="Times New Roman" w:cs="Times New Roman"/>
          <w:bCs/>
          <w:sz w:val="28"/>
          <w:szCs w:val="28"/>
        </w:rPr>
        <w:t>damag</w:t>
      </w:r>
      <w:r w:rsidR="00267ACF">
        <w:rPr>
          <w:rFonts w:ascii="Times New Roman" w:hAnsi="Times New Roman" w:cs="Times New Roman"/>
          <w:bCs/>
          <w:sz w:val="28"/>
          <w:szCs w:val="28"/>
        </w:rPr>
        <w:t>ed</w:t>
      </w:r>
      <w:r w:rsidR="005A6135" w:rsidRPr="00F82B8E">
        <w:rPr>
          <w:rFonts w:ascii="Times New Roman" w:hAnsi="Times New Roman" w:cs="Times New Roman"/>
          <w:bCs/>
          <w:sz w:val="28"/>
          <w:szCs w:val="28"/>
        </w:rPr>
        <w:t xml:space="preserve"> </w:t>
      </w:r>
      <w:r w:rsidR="00114F4A" w:rsidRPr="00F82B8E">
        <w:rPr>
          <w:rFonts w:ascii="Times New Roman" w:hAnsi="Times New Roman" w:cs="Times New Roman"/>
          <w:bCs/>
          <w:sz w:val="28"/>
          <w:szCs w:val="28"/>
        </w:rPr>
        <w:t>equipment</w:t>
      </w:r>
      <w:r w:rsidR="00042182" w:rsidRPr="00F82B8E">
        <w:rPr>
          <w:rFonts w:ascii="Times New Roman" w:hAnsi="Times New Roman" w:cs="Times New Roman"/>
          <w:bCs/>
          <w:sz w:val="28"/>
          <w:szCs w:val="28"/>
        </w:rPr>
        <w:t xml:space="preserve"> owned by ONEC</w:t>
      </w:r>
      <w:r w:rsidR="009C633B" w:rsidRPr="00F82B8E">
        <w:rPr>
          <w:rFonts w:ascii="Times New Roman" w:hAnsi="Times New Roman" w:cs="Times New Roman"/>
          <w:bCs/>
          <w:sz w:val="28"/>
          <w:szCs w:val="28"/>
        </w:rPr>
        <w:t xml:space="preserve"> and for the costs of fuel </w:t>
      </w:r>
      <w:r w:rsidR="009126EC">
        <w:rPr>
          <w:rFonts w:ascii="Times New Roman" w:hAnsi="Times New Roman" w:cs="Times New Roman"/>
          <w:bCs/>
          <w:sz w:val="28"/>
          <w:szCs w:val="28"/>
        </w:rPr>
        <w:t>charged to</w:t>
      </w:r>
      <w:r w:rsidR="00B9513E" w:rsidRPr="00F82B8E">
        <w:rPr>
          <w:rFonts w:ascii="Times New Roman" w:hAnsi="Times New Roman" w:cs="Times New Roman"/>
          <w:bCs/>
          <w:sz w:val="28"/>
          <w:szCs w:val="28"/>
        </w:rPr>
        <w:t xml:space="preserve"> ONEC</w:t>
      </w:r>
      <w:r w:rsidR="003D26E4" w:rsidRPr="00F82B8E">
        <w:rPr>
          <w:rFonts w:ascii="Times New Roman" w:hAnsi="Times New Roman" w:cs="Times New Roman"/>
          <w:bCs/>
          <w:sz w:val="28"/>
          <w:szCs w:val="28"/>
        </w:rPr>
        <w:t xml:space="preserve"> and stored at Northland’s facility</w:t>
      </w:r>
      <w:r w:rsidR="00042182" w:rsidRPr="00F82B8E">
        <w:rPr>
          <w:rFonts w:ascii="Times New Roman" w:hAnsi="Times New Roman" w:cs="Times New Roman"/>
          <w:bCs/>
          <w:sz w:val="28"/>
          <w:szCs w:val="28"/>
        </w:rPr>
        <w:t xml:space="preserve">. </w:t>
      </w:r>
    </w:p>
    <w:p w14:paraId="24813466" w14:textId="77777777" w:rsidR="001217AD" w:rsidRDefault="001217AD" w:rsidP="001217AD">
      <w:pPr>
        <w:pStyle w:val="ListParagraph"/>
        <w:spacing w:after="0" w:line="240" w:lineRule="auto"/>
        <w:ind w:left="0"/>
        <w:contextualSpacing w:val="0"/>
        <w:jc w:val="both"/>
        <w:rPr>
          <w:rFonts w:ascii="Times New Roman" w:hAnsi="Times New Roman" w:cs="Times New Roman"/>
          <w:bCs/>
          <w:sz w:val="28"/>
          <w:szCs w:val="28"/>
        </w:rPr>
      </w:pPr>
    </w:p>
    <w:p w14:paraId="3693BE38" w14:textId="5B6AAC32" w:rsidR="003206CF" w:rsidRPr="00F82B8E" w:rsidRDefault="00311F90" w:rsidP="006E3E63">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ONEC did not file any evidence relating to these allegations. </w:t>
      </w:r>
      <w:r w:rsidR="00EF334B" w:rsidRPr="00F82B8E">
        <w:rPr>
          <w:rFonts w:ascii="Times New Roman" w:hAnsi="Times New Roman" w:cs="Times New Roman"/>
          <w:bCs/>
          <w:sz w:val="28"/>
          <w:szCs w:val="28"/>
        </w:rPr>
        <w:t xml:space="preserve">The only evidence before me relating to </w:t>
      </w:r>
      <w:r w:rsidR="009C633B" w:rsidRPr="00F82B8E">
        <w:rPr>
          <w:rFonts w:ascii="Times New Roman" w:hAnsi="Times New Roman" w:cs="Times New Roman"/>
          <w:bCs/>
          <w:sz w:val="28"/>
          <w:szCs w:val="28"/>
        </w:rPr>
        <w:t>these</w:t>
      </w:r>
      <w:r w:rsidR="00EF334B" w:rsidRPr="00F82B8E">
        <w:rPr>
          <w:rFonts w:ascii="Times New Roman" w:hAnsi="Times New Roman" w:cs="Times New Roman"/>
          <w:bCs/>
          <w:sz w:val="28"/>
          <w:szCs w:val="28"/>
        </w:rPr>
        <w:t xml:space="preserve"> claim</w:t>
      </w:r>
      <w:r w:rsidR="009C633B" w:rsidRPr="00F82B8E">
        <w:rPr>
          <w:rFonts w:ascii="Times New Roman" w:hAnsi="Times New Roman" w:cs="Times New Roman"/>
          <w:bCs/>
          <w:sz w:val="28"/>
          <w:szCs w:val="28"/>
        </w:rPr>
        <w:t>s</w:t>
      </w:r>
      <w:r w:rsidR="00EF334B" w:rsidRPr="00F82B8E">
        <w:rPr>
          <w:rFonts w:ascii="Times New Roman" w:hAnsi="Times New Roman" w:cs="Times New Roman"/>
          <w:bCs/>
          <w:sz w:val="28"/>
          <w:szCs w:val="28"/>
        </w:rPr>
        <w:t xml:space="preserve"> is that of Mr. Adams in his affidavit</w:t>
      </w:r>
      <w:r w:rsidR="00D82C77" w:rsidRPr="00F82B8E">
        <w:rPr>
          <w:rFonts w:ascii="Times New Roman" w:hAnsi="Times New Roman" w:cs="Times New Roman"/>
          <w:bCs/>
          <w:sz w:val="28"/>
          <w:szCs w:val="28"/>
        </w:rPr>
        <w:t xml:space="preserve"> and in cross-examination</w:t>
      </w:r>
      <w:r w:rsidR="00EF334B" w:rsidRPr="00F82B8E">
        <w:rPr>
          <w:rFonts w:ascii="Times New Roman" w:hAnsi="Times New Roman" w:cs="Times New Roman"/>
          <w:bCs/>
          <w:sz w:val="28"/>
          <w:szCs w:val="28"/>
        </w:rPr>
        <w:t xml:space="preserve"> </w:t>
      </w:r>
      <w:r w:rsidR="007E03D6" w:rsidRPr="00F82B8E">
        <w:rPr>
          <w:rFonts w:ascii="Times New Roman" w:hAnsi="Times New Roman" w:cs="Times New Roman"/>
          <w:bCs/>
          <w:sz w:val="28"/>
          <w:szCs w:val="28"/>
        </w:rPr>
        <w:t xml:space="preserve">in which he claims the </w:t>
      </w:r>
      <w:r w:rsidR="00452FAD" w:rsidRPr="00F82B8E">
        <w:rPr>
          <w:rFonts w:ascii="Times New Roman" w:hAnsi="Times New Roman" w:cs="Times New Roman"/>
          <w:bCs/>
          <w:sz w:val="28"/>
          <w:szCs w:val="28"/>
        </w:rPr>
        <w:t>equipment was in perfect condition when it left Northland’s possession</w:t>
      </w:r>
      <w:r w:rsidR="00B9513E" w:rsidRPr="00F82B8E">
        <w:rPr>
          <w:rFonts w:ascii="Times New Roman" w:hAnsi="Times New Roman" w:cs="Times New Roman"/>
          <w:bCs/>
          <w:sz w:val="28"/>
          <w:szCs w:val="28"/>
        </w:rPr>
        <w:t xml:space="preserve"> and that </w:t>
      </w:r>
      <w:r w:rsidR="00D0469E" w:rsidRPr="00F82B8E">
        <w:rPr>
          <w:rFonts w:ascii="Times New Roman" w:hAnsi="Times New Roman" w:cs="Times New Roman"/>
          <w:bCs/>
          <w:sz w:val="28"/>
          <w:szCs w:val="28"/>
        </w:rPr>
        <w:t>although fuel was stored at Northland’s facility in Inuvik, it was not Northland</w:t>
      </w:r>
      <w:r w:rsidRPr="00F82B8E">
        <w:rPr>
          <w:rFonts w:ascii="Times New Roman" w:hAnsi="Times New Roman" w:cs="Times New Roman"/>
          <w:bCs/>
          <w:sz w:val="28"/>
          <w:szCs w:val="28"/>
        </w:rPr>
        <w:t xml:space="preserve"> </w:t>
      </w:r>
      <w:r w:rsidR="0081184F" w:rsidRPr="00F82B8E">
        <w:rPr>
          <w:rFonts w:ascii="Times New Roman" w:hAnsi="Times New Roman" w:cs="Times New Roman"/>
          <w:bCs/>
          <w:sz w:val="28"/>
          <w:szCs w:val="28"/>
        </w:rPr>
        <w:t xml:space="preserve">who used </w:t>
      </w:r>
      <w:r w:rsidR="005A6135" w:rsidRPr="00F82B8E">
        <w:rPr>
          <w:rFonts w:ascii="Times New Roman" w:hAnsi="Times New Roman" w:cs="Times New Roman"/>
          <w:bCs/>
          <w:sz w:val="28"/>
          <w:szCs w:val="28"/>
        </w:rPr>
        <w:t>it</w:t>
      </w:r>
      <w:r w:rsidR="00E8075E" w:rsidRPr="00F82B8E">
        <w:rPr>
          <w:rFonts w:ascii="Times New Roman" w:hAnsi="Times New Roman" w:cs="Times New Roman"/>
          <w:bCs/>
          <w:sz w:val="28"/>
          <w:szCs w:val="28"/>
        </w:rPr>
        <w:t xml:space="preserve"> after the termination of the IPD Contract</w:t>
      </w:r>
      <w:r w:rsidRPr="00F82B8E">
        <w:rPr>
          <w:rFonts w:ascii="Times New Roman" w:hAnsi="Times New Roman" w:cs="Times New Roman"/>
          <w:bCs/>
          <w:sz w:val="28"/>
          <w:szCs w:val="28"/>
        </w:rPr>
        <w:t xml:space="preserve">. </w:t>
      </w:r>
    </w:p>
    <w:p w14:paraId="70313EFC" w14:textId="77777777" w:rsidR="00A64819" w:rsidRPr="00F82B8E" w:rsidRDefault="00A64819" w:rsidP="00A64819">
      <w:pPr>
        <w:pStyle w:val="ListParagraph"/>
        <w:spacing w:after="0" w:line="240" w:lineRule="auto"/>
        <w:ind w:left="0"/>
        <w:contextualSpacing w:val="0"/>
        <w:jc w:val="both"/>
        <w:rPr>
          <w:rFonts w:ascii="Times New Roman" w:hAnsi="Times New Roman" w:cs="Times New Roman"/>
          <w:bCs/>
          <w:sz w:val="28"/>
          <w:szCs w:val="28"/>
        </w:rPr>
      </w:pPr>
    </w:p>
    <w:p w14:paraId="2AC874D4" w14:textId="4229E384" w:rsidR="00E95232" w:rsidRPr="00F82B8E" w:rsidRDefault="00A64819" w:rsidP="00E95232">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ONEC submit that </w:t>
      </w:r>
      <w:r w:rsidR="0081184F" w:rsidRPr="00F82B8E">
        <w:rPr>
          <w:rFonts w:ascii="Times New Roman" w:hAnsi="Times New Roman" w:cs="Times New Roman"/>
          <w:bCs/>
          <w:sz w:val="28"/>
          <w:szCs w:val="28"/>
        </w:rPr>
        <w:t xml:space="preserve">Mr. </w:t>
      </w:r>
      <w:r w:rsidRPr="00F82B8E">
        <w:rPr>
          <w:rFonts w:ascii="Times New Roman" w:hAnsi="Times New Roman" w:cs="Times New Roman"/>
          <w:bCs/>
          <w:sz w:val="28"/>
          <w:szCs w:val="28"/>
        </w:rPr>
        <w:t>Adams</w:t>
      </w:r>
      <w:r w:rsidR="0081184F" w:rsidRPr="00F82B8E">
        <w:rPr>
          <w:rFonts w:ascii="Times New Roman" w:hAnsi="Times New Roman" w:cs="Times New Roman"/>
          <w:bCs/>
          <w:sz w:val="28"/>
          <w:szCs w:val="28"/>
        </w:rPr>
        <w:t>’ credibility has been challenged</w:t>
      </w:r>
      <w:r w:rsidR="00E95232" w:rsidRPr="00F82B8E">
        <w:rPr>
          <w:rFonts w:ascii="Times New Roman" w:hAnsi="Times New Roman" w:cs="Times New Roman"/>
          <w:bCs/>
          <w:sz w:val="28"/>
          <w:szCs w:val="28"/>
        </w:rPr>
        <w:t xml:space="preserve">, more specifically with respect to </w:t>
      </w:r>
      <w:r w:rsidR="0058267E" w:rsidRPr="00F82B8E">
        <w:rPr>
          <w:rFonts w:ascii="Times New Roman" w:hAnsi="Times New Roman" w:cs="Times New Roman"/>
          <w:bCs/>
          <w:sz w:val="28"/>
          <w:szCs w:val="28"/>
        </w:rPr>
        <w:t>Northland’s invoicing practices and th</w:t>
      </w:r>
      <w:r w:rsidR="00622B20" w:rsidRPr="00F82B8E">
        <w:rPr>
          <w:rFonts w:ascii="Times New Roman" w:hAnsi="Times New Roman" w:cs="Times New Roman"/>
          <w:bCs/>
          <w:sz w:val="28"/>
          <w:szCs w:val="28"/>
        </w:rPr>
        <w:t>e accuracy of the outstanding invoices</w:t>
      </w:r>
      <w:r w:rsidRPr="00F82B8E">
        <w:rPr>
          <w:rFonts w:ascii="Times New Roman" w:hAnsi="Times New Roman" w:cs="Times New Roman"/>
          <w:bCs/>
          <w:sz w:val="28"/>
          <w:szCs w:val="28"/>
        </w:rPr>
        <w:t>.</w:t>
      </w:r>
      <w:r w:rsidR="00E95232" w:rsidRPr="00F82B8E">
        <w:rPr>
          <w:rFonts w:ascii="Times New Roman" w:hAnsi="Times New Roman" w:cs="Times New Roman"/>
          <w:bCs/>
          <w:sz w:val="28"/>
          <w:szCs w:val="28"/>
        </w:rPr>
        <w:t xml:space="preserve"> ONEC says that this should </w:t>
      </w:r>
      <w:r w:rsidR="00D166DC" w:rsidRPr="00F82B8E">
        <w:rPr>
          <w:rFonts w:ascii="Times New Roman" w:hAnsi="Times New Roman" w:cs="Times New Roman"/>
          <w:bCs/>
          <w:sz w:val="28"/>
          <w:szCs w:val="28"/>
        </w:rPr>
        <w:t xml:space="preserve">cause the court to be </w:t>
      </w:r>
      <w:r w:rsidR="00E95232" w:rsidRPr="00F82B8E">
        <w:rPr>
          <w:rFonts w:ascii="Times New Roman" w:hAnsi="Times New Roman" w:cs="Times New Roman"/>
          <w:bCs/>
          <w:sz w:val="28"/>
          <w:szCs w:val="28"/>
        </w:rPr>
        <w:t xml:space="preserve">cautious </w:t>
      </w:r>
      <w:r w:rsidR="00D166DC" w:rsidRPr="00F82B8E">
        <w:rPr>
          <w:rFonts w:ascii="Times New Roman" w:hAnsi="Times New Roman" w:cs="Times New Roman"/>
          <w:bCs/>
          <w:sz w:val="28"/>
          <w:szCs w:val="28"/>
        </w:rPr>
        <w:t>before</w:t>
      </w:r>
      <w:r w:rsidR="00E95232" w:rsidRPr="00F82B8E">
        <w:rPr>
          <w:rFonts w:ascii="Times New Roman" w:hAnsi="Times New Roman" w:cs="Times New Roman"/>
          <w:bCs/>
          <w:sz w:val="28"/>
          <w:szCs w:val="28"/>
        </w:rPr>
        <w:t xml:space="preserve"> accepting any part of Mr. Adams’s account, including those that relate to damage of equipment and the use of fuel.</w:t>
      </w:r>
      <w:r w:rsidRPr="00F82B8E">
        <w:rPr>
          <w:rFonts w:ascii="Times New Roman" w:hAnsi="Times New Roman" w:cs="Times New Roman"/>
          <w:bCs/>
          <w:sz w:val="28"/>
          <w:szCs w:val="28"/>
        </w:rPr>
        <w:t xml:space="preserve"> </w:t>
      </w:r>
    </w:p>
    <w:p w14:paraId="6736BFC8" w14:textId="77777777" w:rsidR="00E95232" w:rsidRPr="00F82B8E" w:rsidRDefault="00E95232" w:rsidP="00E95232">
      <w:pPr>
        <w:pStyle w:val="ListParagraph"/>
        <w:rPr>
          <w:rFonts w:ascii="Times New Roman" w:hAnsi="Times New Roman" w:cs="Times New Roman"/>
          <w:bCs/>
          <w:sz w:val="28"/>
          <w:szCs w:val="28"/>
        </w:rPr>
      </w:pPr>
    </w:p>
    <w:p w14:paraId="5BB1A5BD" w14:textId="5A0B0D79" w:rsidR="00A64819" w:rsidRPr="00F82B8E" w:rsidRDefault="00A64819" w:rsidP="00517798">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As I will address in more detail below, </w:t>
      </w:r>
      <w:r w:rsidR="00517798" w:rsidRPr="00F82B8E">
        <w:rPr>
          <w:rFonts w:ascii="Times New Roman" w:hAnsi="Times New Roman" w:cs="Times New Roman"/>
          <w:bCs/>
          <w:sz w:val="28"/>
          <w:szCs w:val="28"/>
        </w:rPr>
        <w:t xml:space="preserve">I agree with ONEC that </w:t>
      </w:r>
      <w:r w:rsidRPr="00F82B8E">
        <w:rPr>
          <w:rFonts w:ascii="Times New Roman" w:hAnsi="Times New Roman" w:cs="Times New Roman"/>
          <w:bCs/>
          <w:sz w:val="28"/>
          <w:szCs w:val="28"/>
        </w:rPr>
        <w:t xml:space="preserve">the evidence presented by the parties raise </w:t>
      </w:r>
      <w:r w:rsidR="00517798" w:rsidRPr="00F82B8E">
        <w:rPr>
          <w:rFonts w:ascii="Times New Roman" w:hAnsi="Times New Roman" w:cs="Times New Roman"/>
          <w:bCs/>
          <w:sz w:val="28"/>
          <w:szCs w:val="28"/>
        </w:rPr>
        <w:t xml:space="preserve">genuine </w:t>
      </w:r>
      <w:r w:rsidR="00276956" w:rsidRPr="00F82B8E">
        <w:rPr>
          <w:rFonts w:ascii="Times New Roman" w:hAnsi="Times New Roman" w:cs="Times New Roman"/>
          <w:bCs/>
          <w:sz w:val="28"/>
          <w:szCs w:val="28"/>
        </w:rPr>
        <w:t>concerns</w:t>
      </w:r>
      <w:r w:rsidRPr="00F82B8E">
        <w:rPr>
          <w:rFonts w:ascii="Times New Roman" w:hAnsi="Times New Roman" w:cs="Times New Roman"/>
          <w:bCs/>
          <w:sz w:val="28"/>
          <w:szCs w:val="28"/>
        </w:rPr>
        <w:t xml:space="preserve"> about Mr. Adams’ credibility with respect to </w:t>
      </w:r>
      <w:r w:rsidR="00517798" w:rsidRPr="00F82B8E">
        <w:rPr>
          <w:rFonts w:ascii="Times New Roman" w:hAnsi="Times New Roman" w:cs="Times New Roman"/>
          <w:bCs/>
          <w:sz w:val="28"/>
          <w:szCs w:val="28"/>
        </w:rPr>
        <w:t xml:space="preserve">Northland’s </w:t>
      </w:r>
      <w:r w:rsidRPr="00F82B8E">
        <w:rPr>
          <w:rFonts w:ascii="Times New Roman" w:hAnsi="Times New Roman" w:cs="Times New Roman"/>
          <w:bCs/>
          <w:sz w:val="28"/>
          <w:szCs w:val="28"/>
        </w:rPr>
        <w:t xml:space="preserve">invoicing. </w:t>
      </w:r>
      <w:r w:rsidR="00517798" w:rsidRPr="00F82B8E">
        <w:rPr>
          <w:rFonts w:ascii="Times New Roman" w:hAnsi="Times New Roman" w:cs="Times New Roman"/>
          <w:bCs/>
          <w:sz w:val="28"/>
          <w:szCs w:val="28"/>
        </w:rPr>
        <w:t xml:space="preserve">However, </w:t>
      </w:r>
      <w:r w:rsidRPr="00F82B8E">
        <w:rPr>
          <w:rFonts w:ascii="Times New Roman" w:hAnsi="Times New Roman" w:cs="Times New Roman"/>
          <w:bCs/>
          <w:sz w:val="28"/>
          <w:szCs w:val="28"/>
        </w:rPr>
        <w:t xml:space="preserve">I do not accept </w:t>
      </w:r>
      <w:r w:rsidR="007B0465" w:rsidRPr="00F82B8E">
        <w:rPr>
          <w:rFonts w:ascii="Times New Roman" w:hAnsi="Times New Roman" w:cs="Times New Roman"/>
          <w:bCs/>
          <w:sz w:val="28"/>
          <w:szCs w:val="28"/>
        </w:rPr>
        <w:t>that as a result</w:t>
      </w:r>
      <w:r w:rsidR="00596524" w:rsidRPr="00F82B8E">
        <w:rPr>
          <w:rFonts w:ascii="Times New Roman" w:hAnsi="Times New Roman" w:cs="Times New Roman"/>
          <w:bCs/>
          <w:sz w:val="28"/>
          <w:szCs w:val="28"/>
        </w:rPr>
        <w:t>,</w:t>
      </w:r>
      <w:r w:rsidR="007B0465" w:rsidRPr="00F82B8E">
        <w:rPr>
          <w:rFonts w:ascii="Times New Roman" w:hAnsi="Times New Roman" w:cs="Times New Roman"/>
          <w:bCs/>
          <w:sz w:val="28"/>
          <w:szCs w:val="28"/>
        </w:rPr>
        <w:t xml:space="preserve"> I cannot accept any of Mr. Adams’ evidence</w:t>
      </w:r>
      <w:r w:rsidRPr="00F82B8E">
        <w:rPr>
          <w:rFonts w:ascii="Times New Roman" w:hAnsi="Times New Roman" w:cs="Times New Roman"/>
          <w:bCs/>
          <w:sz w:val="28"/>
          <w:szCs w:val="28"/>
        </w:rPr>
        <w:t xml:space="preserve">. ONEC chose not to present evidence in support of </w:t>
      </w:r>
      <w:r w:rsidR="00A01F18">
        <w:rPr>
          <w:rFonts w:ascii="Times New Roman" w:hAnsi="Times New Roman" w:cs="Times New Roman"/>
          <w:bCs/>
          <w:sz w:val="28"/>
          <w:szCs w:val="28"/>
        </w:rPr>
        <w:t>its</w:t>
      </w:r>
      <w:r w:rsidRPr="00F82B8E">
        <w:rPr>
          <w:rFonts w:ascii="Times New Roman" w:hAnsi="Times New Roman" w:cs="Times New Roman"/>
          <w:bCs/>
          <w:sz w:val="28"/>
          <w:szCs w:val="28"/>
        </w:rPr>
        <w:t xml:space="preserve"> claim. Based on the record before me, there is no evidence that </w:t>
      </w:r>
      <w:r w:rsidR="00D62CF0">
        <w:rPr>
          <w:rFonts w:ascii="Times New Roman" w:hAnsi="Times New Roman" w:cs="Times New Roman"/>
          <w:bCs/>
          <w:sz w:val="28"/>
          <w:szCs w:val="28"/>
        </w:rPr>
        <w:t>calls</w:t>
      </w:r>
      <w:r w:rsidRPr="00F82B8E">
        <w:rPr>
          <w:rFonts w:ascii="Times New Roman" w:hAnsi="Times New Roman" w:cs="Times New Roman"/>
          <w:bCs/>
          <w:sz w:val="28"/>
          <w:szCs w:val="28"/>
        </w:rPr>
        <w:t xml:space="preserve"> into question Mr. Adams’ account that Northland did not damage ONEC’s </w:t>
      </w:r>
      <w:r w:rsidR="00045B79" w:rsidRPr="00F82B8E">
        <w:rPr>
          <w:rFonts w:ascii="Times New Roman" w:hAnsi="Times New Roman" w:cs="Times New Roman"/>
          <w:bCs/>
          <w:sz w:val="28"/>
          <w:szCs w:val="28"/>
        </w:rPr>
        <w:t>equipment,</w:t>
      </w:r>
      <w:r w:rsidRPr="00F82B8E">
        <w:rPr>
          <w:rFonts w:ascii="Times New Roman" w:hAnsi="Times New Roman" w:cs="Times New Roman"/>
          <w:bCs/>
          <w:sz w:val="28"/>
          <w:szCs w:val="28"/>
        </w:rPr>
        <w:t xml:space="preserve"> and that Northland did not use ONEC’s fuel after the termination of the IPD Contract.</w:t>
      </w:r>
      <w:r w:rsidR="006E5205" w:rsidRPr="00F82B8E">
        <w:rPr>
          <w:rFonts w:ascii="Times New Roman" w:hAnsi="Times New Roman" w:cs="Times New Roman"/>
          <w:bCs/>
          <w:sz w:val="28"/>
          <w:szCs w:val="28"/>
        </w:rPr>
        <w:t xml:space="preserve"> In addition</w:t>
      </w:r>
      <w:r w:rsidR="00F62B9C" w:rsidRPr="00F82B8E">
        <w:rPr>
          <w:rFonts w:ascii="Times New Roman" w:hAnsi="Times New Roman" w:cs="Times New Roman"/>
          <w:bCs/>
          <w:sz w:val="28"/>
          <w:szCs w:val="28"/>
        </w:rPr>
        <w:t>, and importantly</w:t>
      </w:r>
      <w:r w:rsidR="006E5205" w:rsidRPr="00F82B8E">
        <w:rPr>
          <w:rFonts w:ascii="Times New Roman" w:hAnsi="Times New Roman" w:cs="Times New Roman"/>
          <w:bCs/>
          <w:sz w:val="28"/>
          <w:szCs w:val="28"/>
        </w:rPr>
        <w:t xml:space="preserve">, </w:t>
      </w:r>
      <w:r w:rsidR="001A318A">
        <w:rPr>
          <w:rFonts w:ascii="Times New Roman" w:hAnsi="Times New Roman" w:cs="Times New Roman"/>
          <w:bCs/>
          <w:sz w:val="28"/>
          <w:szCs w:val="28"/>
        </w:rPr>
        <w:t>ONEC did not present any</w:t>
      </w:r>
      <w:r w:rsidR="006E5205" w:rsidRPr="00F82B8E">
        <w:rPr>
          <w:rFonts w:ascii="Times New Roman" w:hAnsi="Times New Roman" w:cs="Times New Roman"/>
          <w:bCs/>
          <w:sz w:val="28"/>
          <w:szCs w:val="28"/>
        </w:rPr>
        <w:t xml:space="preserve"> evidence </w:t>
      </w:r>
      <w:r w:rsidR="00F62B9C" w:rsidRPr="00F82B8E">
        <w:rPr>
          <w:rFonts w:ascii="Times New Roman" w:hAnsi="Times New Roman" w:cs="Times New Roman"/>
          <w:bCs/>
          <w:sz w:val="28"/>
          <w:szCs w:val="28"/>
        </w:rPr>
        <w:t xml:space="preserve">before me </w:t>
      </w:r>
      <w:r w:rsidR="006478E1">
        <w:rPr>
          <w:rFonts w:ascii="Times New Roman" w:hAnsi="Times New Roman" w:cs="Times New Roman"/>
          <w:bCs/>
          <w:sz w:val="28"/>
          <w:szCs w:val="28"/>
        </w:rPr>
        <w:t>to</w:t>
      </w:r>
      <w:r w:rsidR="006E5205" w:rsidRPr="00F82B8E">
        <w:rPr>
          <w:rFonts w:ascii="Times New Roman" w:hAnsi="Times New Roman" w:cs="Times New Roman"/>
          <w:bCs/>
          <w:sz w:val="28"/>
          <w:szCs w:val="28"/>
        </w:rPr>
        <w:t xml:space="preserve"> support these allegations. </w:t>
      </w:r>
    </w:p>
    <w:p w14:paraId="50476A45" w14:textId="77777777" w:rsidR="007A086E" w:rsidRPr="00F82B8E" w:rsidRDefault="007A086E" w:rsidP="007A086E">
      <w:pPr>
        <w:pStyle w:val="ListParagraph"/>
        <w:rPr>
          <w:rFonts w:ascii="Times New Roman" w:hAnsi="Times New Roman" w:cs="Times New Roman"/>
          <w:bCs/>
          <w:sz w:val="28"/>
          <w:szCs w:val="28"/>
        </w:rPr>
      </w:pPr>
    </w:p>
    <w:p w14:paraId="23CED17D" w14:textId="3C93B2BB" w:rsidR="007A086E" w:rsidRPr="00F82B8E" w:rsidRDefault="007A086E" w:rsidP="00517798">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I am satisfied that Northland has met its burden to establish that ONEC’s claims related to the damage of equipment and the use of fuel have no merit. </w:t>
      </w:r>
    </w:p>
    <w:p w14:paraId="16CC36CB" w14:textId="77777777" w:rsidR="00F36FC9" w:rsidRDefault="00F36FC9" w:rsidP="00F36FC9">
      <w:pPr>
        <w:spacing w:after="0" w:line="240" w:lineRule="auto"/>
        <w:jc w:val="both"/>
        <w:rPr>
          <w:rFonts w:ascii="Times New Roman" w:hAnsi="Times New Roman" w:cs="Times New Roman"/>
          <w:bCs/>
          <w:sz w:val="28"/>
          <w:szCs w:val="28"/>
        </w:rPr>
      </w:pPr>
    </w:p>
    <w:p w14:paraId="62C1DBA7" w14:textId="77777777" w:rsidR="00B84B11" w:rsidRDefault="00B84B11" w:rsidP="00F36FC9">
      <w:pPr>
        <w:spacing w:after="0" w:line="240" w:lineRule="auto"/>
        <w:jc w:val="both"/>
        <w:rPr>
          <w:rFonts w:ascii="Times New Roman" w:hAnsi="Times New Roman" w:cs="Times New Roman"/>
          <w:bCs/>
          <w:sz w:val="28"/>
          <w:szCs w:val="28"/>
        </w:rPr>
      </w:pPr>
    </w:p>
    <w:p w14:paraId="27C12079" w14:textId="77777777" w:rsidR="00B84B11" w:rsidRDefault="00B84B11" w:rsidP="00F36FC9">
      <w:pPr>
        <w:spacing w:after="0" w:line="240" w:lineRule="auto"/>
        <w:jc w:val="both"/>
        <w:rPr>
          <w:rFonts w:ascii="Times New Roman" w:hAnsi="Times New Roman" w:cs="Times New Roman"/>
          <w:bCs/>
          <w:sz w:val="28"/>
          <w:szCs w:val="28"/>
        </w:rPr>
      </w:pPr>
    </w:p>
    <w:p w14:paraId="796BD913" w14:textId="1870C3C7" w:rsidR="00C32298" w:rsidRDefault="00D325D8" w:rsidP="00F36FC9">
      <w:pPr>
        <w:spacing w:after="0" w:line="240" w:lineRule="auto"/>
        <w:jc w:val="both"/>
        <w:rPr>
          <w:rFonts w:ascii="Times New Roman" w:hAnsi="Times New Roman" w:cs="Times New Roman"/>
          <w:b/>
          <w:i/>
          <w:iCs/>
          <w:sz w:val="28"/>
          <w:szCs w:val="28"/>
        </w:rPr>
      </w:pPr>
      <w:r w:rsidRPr="00F82B8E">
        <w:rPr>
          <w:rFonts w:ascii="Times New Roman" w:hAnsi="Times New Roman" w:cs="Times New Roman"/>
          <w:b/>
          <w:i/>
          <w:iCs/>
          <w:sz w:val="28"/>
          <w:szCs w:val="28"/>
        </w:rPr>
        <w:lastRenderedPageBreak/>
        <w:t>The Application to Strike</w:t>
      </w:r>
      <w:r w:rsidR="007E0E5A" w:rsidRPr="00F82B8E">
        <w:rPr>
          <w:rFonts w:ascii="Times New Roman" w:hAnsi="Times New Roman" w:cs="Times New Roman"/>
          <w:b/>
          <w:i/>
          <w:iCs/>
          <w:sz w:val="28"/>
          <w:szCs w:val="28"/>
        </w:rPr>
        <w:t xml:space="preserve"> the Statement of Claim</w:t>
      </w:r>
    </w:p>
    <w:p w14:paraId="6245F492" w14:textId="77777777" w:rsidR="00B84B11" w:rsidRDefault="00B84B11" w:rsidP="00F36FC9">
      <w:pPr>
        <w:spacing w:after="0" w:line="240" w:lineRule="auto"/>
        <w:jc w:val="both"/>
        <w:rPr>
          <w:rFonts w:ascii="Times New Roman" w:hAnsi="Times New Roman" w:cs="Times New Roman"/>
          <w:b/>
          <w:i/>
          <w:iCs/>
          <w:sz w:val="28"/>
          <w:szCs w:val="28"/>
        </w:rPr>
      </w:pPr>
    </w:p>
    <w:p w14:paraId="6B7B7077" w14:textId="4CBB04B3" w:rsidR="00C039F5" w:rsidRPr="00F82B8E" w:rsidRDefault="00863DF2" w:rsidP="00B84B11">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Considering my conclusion </w:t>
      </w:r>
      <w:r w:rsidR="00A66B6F" w:rsidRPr="00F82B8E">
        <w:rPr>
          <w:rFonts w:ascii="Times New Roman" w:hAnsi="Times New Roman" w:cs="Times New Roman"/>
          <w:bCs/>
          <w:sz w:val="28"/>
          <w:szCs w:val="28"/>
        </w:rPr>
        <w:t xml:space="preserve">on the summary disposition of ONEC’s claim, I do not need to address Northland’s alternative </w:t>
      </w:r>
      <w:r w:rsidR="0047047F" w:rsidRPr="00F82B8E">
        <w:rPr>
          <w:rFonts w:ascii="Times New Roman" w:hAnsi="Times New Roman" w:cs="Times New Roman"/>
          <w:bCs/>
          <w:sz w:val="28"/>
          <w:szCs w:val="28"/>
        </w:rPr>
        <w:t>request for relief</w:t>
      </w:r>
      <w:r w:rsidR="00A66B6F" w:rsidRPr="00F82B8E">
        <w:rPr>
          <w:rFonts w:ascii="Times New Roman" w:hAnsi="Times New Roman" w:cs="Times New Roman"/>
          <w:bCs/>
          <w:sz w:val="28"/>
          <w:szCs w:val="28"/>
        </w:rPr>
        <w:t xml:space="preserve"> seeking </w:t>
      </w:r>
      <w:r w:rsidR="00C039F5" w:rsidRPr="00F82B8E">
        <w:rPr>
          <w:rFonts w:ascii="Times New Roman" w:hAnsi="Times New Roman" w:cs="Times New Roman"/>
          <w:bCs/>
          <w:sz w:val="28"/>
          <w:szCs w:val="28"/>
        </w:rPr>
        <w:t xml:space="preserve">an order striking the Statement of Claim against Northland. </w:t>
      </w:r>
    </w:p>
    <w:p w14:paraId="706FB781" w14:textId="77777777" w:rsidR="00CB6B75" w:rsidRDefault="00CB6B75" w:rsidP="007D3880">
      <w:pPr>
        <w:pStyle w:val="ListParagraph"/>
        <w:spacing w:after="0" w:line="240" w:lineRule="auto"/>
        <w:ind w:left="0"/>
        <w:contextualSpacing w:val="0"/>
        <w:jc w:val="both"/>
        <w:rPr>
          <w:rFonts w:ascii="Times New Roman" w:hAnsi="Times New Roman" w:cs="Times New Roman"/>
          <w:bCs/>
          <w:sz w:val="28"/>
          <w:szCs w:val="28"/>
        </w:rPr>
      </w:pPr>
    </w:p>
    <w:p w14:paraId="092EA365" w14:textId="20DB06ED" w:rsidR="0076592E" w:rsidRPr="00F82B8E" w:rsidRDefault="00014057" w:rsidP="00D325D8">
      <w:pPr>
        <w:spacing w:after="0" w:line="240" w:lineRule="auto"/>
        <w:jc w:val="both"/>
        <w:rPr>
          <w:rFonts w:ascii="Times New Roman" w:hAnsi="Times New Roman" w:cs="Times New Roman"/>
          <w:b/>
          <w:i/>
          <w:iCs/>
          <w:sz w:val="28"/>
          <w:szCs w:val="28"/>
        </w:rPr>
      </w:pPr>
      <w:r>
        <w:rPr>
          <w:rFonts w:ascii="Times New Roman" w:hAnsi="Times New Roman" w:cs="Times New Roman"/>
          <w:b/>
          <w:i/>
          <w:iCs/>
          <w:sz w:val="28"/>
          <w:szCs w:val="28"/>
        </w:rPr>
        <w:t>Northland’s</w:t>
      </w:r>
      <w:r w:rsidR="0076592E" w:rsidRPr="00F82B8E">
        <w:rPr>
          <w:rFonts w:ascii="Times New Roman" w:hAnsi="Times New Roman" w:cs="Times New Roman"/>
          <w:b/>
          <w:i/>
          <w:iCs/>
          <w:sz w:val="28"/>
          <w:szCs w:val="28"/>
        </w:rPr>
        <w:t xml:space="preserve"> Counterclaim</w:t>
      </w:r>
    </w:p>
    <w:p w14:paraId="7967B165" w14:textId="77777777" w:rsidR="00D325D8" w:rsidRPr="00F82B8E" w:rsidRDefault="00D325D8" w:rsidP="00D325D8">
      <w:pPr>
        <w:spacing w:after="0" w:line="240" w:lineRule="auto"/>
        <w:jc w:val="both"/>
        <w:rPr>
          <w:rFonts w:ascii="Times New Roman" w:hAnsi="Times New Roman" w:cs="Times New Roman"/>
          <w:bCs/>
          <w:sz w:val="28"/>
          <w:szCs w:val="28"/>
        </w:rPr>
      </w:pPr>
    </w:p>
    <w:p w14:paraId="32D535A5" w14:textId="15ECAC0E" w:rsidR="003729B7" w:rsidRPr="00EF76D8" w:rsidRDefault="004477CD" w:rsidP="003729B7">
      <w:pPr>
        <w:pStyle w:val="ListParagraph"/>
        <w:numPr>
          <w:ilvl w:val="0"/>
          <w:numId w:val="1"/>
        </w:numPr>
        <w:spacing w:after="0" w:line="240" w:lineRule="auto"/>
        <w:contextualSpacing w:val="0"/>
        <w:jc w:val="both"/>
        <w:rPr>
          <w:rFonts w:ascii="Times New Roman" w:hAnsi="Times New Roman" w:cs="Times New Roman"/>
          <w:bCs/>
          <w:sz w:val="28"/>
          <w:szCs w:val="28"/>
        </w:rPr>
      </w:pPr>
      <w:r w:rsidRPr="00EF76D8">
        <w:rPr>
          <w:rFonts w:ascii="Times New Roman" w:hAnsi="Times New Roman" w:cs="Times New Roman"/>
          <w:bCs/>
          <w:sz w:val="28"/>
          <w:szCs w:val="28"/>
        </w:rPr>
        <w:t xml:space="preserve">Northland </w:t>
      </w:r>
      <w:r w:rsidR="00BF2BC9" w:rsidRPr="00EF76D8">
        <w:rPr>
          <w:rFonts w:ascii="Times New Roman" w:hAnsi="Times New Roman" w:cs="Times New Roman"/>
          <w:bCs/>
          <w:sz w:val="28"/>
          <w:szCs w:val="28"/>
        </w:rPr>
        <w:t>argues</w:t>
      </w:r>
      <w:r w:rsidRPr="00EF76D8">
        <w:rPr>
          <w:rFonts w:ascii="Times New Roman" w:hAnsi="Times New Roman" w:cs="Times New Roman"/>
          <w:bCs/>
          <w:sz w:val="28"/>
          <w:szCs w:val="28"/>
        </w:rPr>
        <w:t xml:space="preserve"> that this matter is suitable for summary disposition because </w:t>
      </w:r>
      <w:r w:rsidR="00A2344E" w:rsidRPr="00EF76D8">
        <w:rPr>
          <w:rFonts w:ascii="Times New Roman" w:hAnsi="Times New Roman" w:cs="Times New Roman"/>
          <w:bCs/>
          <w:sz w:val="28"/>
          <w:szCs w:val="28"/>
        </w:rPr>
        <w:t xml:space="preserve">based on </w:t>
      </w:r>
      <w:r w:rsidR="005A0D4C" w:rsidRPr="00EF76D8">
        <w:rPr>
          <w:rFonts w:ascii="Times New Roman" w:hAnsi="Times New Roman" w:cs="Times New Roman"/>
          <w:bCs/>
          <w:sz w:val="28"/>
          <w:szCs w:val="28"/>
        </w:rPr>
        <w:t xml:space="preserve">the </w:t>
      </w:r>
      <w:r w:rsidRPr="00EF76D8">
        <w:rPr>
          <w:rFonts w:ascii="Times New Roman" w:hAnsi="Times New Roman" w:cs="Times New Roman"/>
          <w:bCs/>
          <w:sz w:val="28"/>
          <w:szCs w:val="28"/>
        </w:rPr>
        <w:t>affidavit and documentary evidence</w:t>
      </w:r>
      <w:r w:rsidR="00A2344E" w:rsidRPr="00EF76D8">
        <w:rPr>
          <w:rFonts w:ascii="Times New Roman" w:hAnsi="Times New Roman" w:cs="Times New Roman"/>
          <w:bCs/>
          <w:sz w:val="28"/>
          <w:szCs w:val="28"/>
        </w:rPr>
        <w:t xml:space="preserve">, the court can reach </w:t>
      </w:r>
      <w:r w:rsidR="00BF2BC9" w:rsidRPr="00EF76D8">
        <w:rPr>
          <w:rFonts w:ascii="Times New Roman" w:hAnsi="Times New Roman" w:cs="Times New Roman"/>
          <w:bCs/>
          <w:sz w:val="28"/>
          <w:szCs w:val="28"/>
        </w:rPr>
        <w:t>a fair</w:t>
      </w:r>
      <w:r w:rsidRPr="00EF76D8">
        <w:rPr>
          <w:rFonts w:ascii="Times New Roman" w:hAnsi="Times New Roman" w:cs="Times New Roman"/>
          <w:bCs/>
          <w:sz w:val="28"/>
          <w:szCs w:val="28"/>
        </w:rPr>
        <w:t xml:space="preserve"> </w:t>
      </w:r>
      <w:r w:rsidR="00BF2BC9" w:rsidRPr="00EF76D8">
        <w:rPr>
          <w:rFonts w:ascii="Times New Roman" w:hAnsi="Times New Roman" w:cs="Times New Roman"/>
          <w:bCs/>
          <w:sz w:val="28"/>
          <w:szCs w:val="28"/>
        </w:rPr>
        <w:t>decision on</w:t>
      </w:r>
      <w:r w:rsidRPr="00EF76D8">
        <w:rPr>
          <w:rFonts w:ascii="Times New Roman" w:hAnsi="Times New Roman" w:cs="Times New Roman"/>
          <w:bCs/>
          <w:sz w:val="28"/>
          <w:szCs w:val="28"/>
        </w:rPr>
        <w:t xml:space="preserve"> the issues </w:t>
      </w:r>
      <w:r w:rsidR="00BF2BC9" w:rsidRPr="00EF76D8">
        <w:rPr>
          <w:rFonts w:ascii="Times New Roman" w:hAnsi="Times New Roman" w:cs="Times New Roman"/>
          <w:bCs/>
          <w:sz w:val="28"/>
          <w:szCs w:val="28"/>
        </w:rPr>
        <w:t xml:space="preserve">raised by the </w:t>
      </w:r>
      <w:r w:rsidR="00AA62C1" w:rsidRPr="00EF76D8">
        <w:rPr>
          <w:rFonts w:ascii="Times New Roman" w:hAnsi="Times New Roman" w:cs="Times New Roman"/>
          <w:bCs/>
          <w:sz w:val="28"/>
          <w:szCs w:val="28"/>
        </w:rPr>
        <w:t>c</w:t>
      </w:r>
      <w:r w:rsidR="004D7CFA" w:rsidRPr="00EF76D8">
        <w:rPr>
          <w:rFonts w:ascii="Times New Roman" w:hAnsi="Times New Roman" w:cs="Times New Roman"/>
          <w:bCs/>
          <w:sz w:val="28"/>
          <w:szCs w:val="28"/>
        </w:rPr>
        <w:t>ounterclaim</w:t>
      </w:r>
      <w:r w:rsidRPr="00EF76D8">
        <w:rPr>
          <w:rFonts w:ascii="Times New Roman" w:hAnsi="Times New Roman" w:cs="Times New Roman"/>
          <w:bCs/>
          <w:sz w:val="28"/>
          <w:szCs w:val="28"/>
        </w:rPr>
        <w:t xml:space="preserve">. It contends that any conflict in the evidence </w:t>
      </w:r>
      <w:r w:rsidR="00572FEF" w:rsidRPr="00EF76D8">
        <w:rPr>
          <w:rFonts w:ascii="Times New Roman" w:hAnsi="Times New Roman" w:cs="Times New Roman"/>
          <w:bCs/>
          <w:sz w:val="28"/>
          <w:szCs w:val="28"/>
        </w:rPr>
        <w:t xml:space="preserve">filed by the parties </w:t>
      </w:r>
      <w:r w:rsidRPr="00EF76D8">
        <w:rPr>
          <w:rFonts w:ascii="Times New Roman" w:hAnsi="Times New Roman" w:cs="Times New Roman"/>
          <w:bCs/>
          <w:sz w:val="28"/>
          <w:szCs w:val="28"/>
        </w:rPr>
        <w:t>can be resolved by considering the quality of the evidence</w:t>
      </w:r>
      <w:r w:rsidR="003729B7" w:rsidRPr="00EF76D8">
        <w:rPr>
          <w:rFonts w:ascii="Times New Roman" w:hAnsi="Times New Roman" w:cs="Times New Roman"/>
          <w:bCs/>
          <w:sz w:val="28"/>
          <w:szCs w:val="28"/>
        </w:rPr>
        <w:t xml:space="preserve"> </w:t>
      </w:r>
      <w:r w:rsidRPr="00EF76D8">
        <w:rPr>
          <w:rFonts w:ascii="Times New Roman" w:hAnsi="Times New Roman" w:cs="Times New Roman"/>
          <w:bCs/>
          <w:sz w:val="28"/>
          <w:szCs w:val="28"/>
        </w:rPr>
        <w:t>submitted</w:t>
      </w:r>
      <w:r w:rsidR="00C23056" w:rsidRPr="00EF76D8">
        <w:rPr>
          <w:rFonts w:ascii="Times New Roman" w:hAnsi="Times New Roman" w:cs="Times New Roman"/>
          <w:bCs/>
          <w:sz w:val="28"/>
          <w:szCs w:val="28"/>
        </w:rPr>
        <w:t>. ONEC</w:t>
      </w:r>
      <w:r w:rsidR="00171BE1" w:rsidRPr="00EF76D8">
        <w:rPr>
          <w:rFonts w:ascii="Times New Roman" w:hAnsi="Times New Roman" w:cs="Times New Roman"/>
          <w:bCs/>
          <w:sz w:val="28"/>
          <w:szCs w:val="28"/>
        </w:rPr>
        <w:t xml:space="preserve">, Liberty and </w:t>
      </w:r>
      <w:r w:rsidR="00C23056" w:rsidRPr="00EF76D8">
        <w:rPr>
          <w:rFonts w:ascii="Times New Roman" w:hAnsi="Times New Roman" w:cs="Times New Roman"/>
          <w:bCs/>
          <w:sz w:val="28"/>
          <w:szCs w:val="28"/>
        </w:rPr>
        <w:t>NTE</w:t>
      </w:r>
      <w:r w:rsidR="007E092C" w:rsidRPr="00EF76D8">
        <w:rPr>
          <w:rFonts w:ascii="Times New Roman" w:hAnsi="Times New Roman" w:cs="Times New Roman"/>
          <w:bCs/>
          <w:sz w:val="28"/>
          <w:szCs w:val="28"/>
        </w:rPr>
        <w:t xml:space="preserve"> </w:t>
      </w:r>
      <w:r w:rsidR="00C34FEB" w:rsidRPr="00EF76D8">
        <w:rPr>
          <w:rFonts w:ascii="Times New Roman" w:hAnsi="Times New Roman" w:cs="Times New Roman"/>
          <w:bCs/>
          <w:sz w:val="28"/>
          <w:szCs w:val="28"/>
        </w:rPr>
        <w:t>submit</w:t>
      </w:r>
      <w:r w:rsidR="007E092C" w:rsidRPr="00EF76D8">
        <w:rPr>
          <w:rFonts w:ascii="Times New Roman" w:hAnsi="Times New Roman" w:cs="Times New Roman"/>
          <w:bCs/>
          <w:sz w:val="28"/>
          <w:szCs w:val="28"/>
        </w:rPr>
        <w:t xml:space="preserve"> that there are material facts in dispute </w:t>
      </w:r>
      <w:r w:rsidR="007535C5" w:rsidRPr="00EF76D8">
        <w:rPr>
          <w:rFonts w:ascii="Times New Roman" w:hAnsi="Times New Roman" w:cs="Times New Roman"/>
          <w:bCs/>
          <w:sz w:val="28"/>
          <w:szCs w:val="28"/>
        </w:rPr>
        <w:t>on</w:t>
      </w:r>
      <w:r w:rsidR="003729B7" w:rsidRPr="00EF76D8">
        <w:rPr>
          <w:rFonts w:ascii="Times New Roman" w:hAnsi="Times New Roman" w:cs="Times New Roman"/>
          <w:bCs/>
          <w:sz w:val="28"/>
          <w:szCs w:val="28"/>
        </w:rPr>
        <w:t xml:space="preserve"> the nature of the contractual relationship between the parties and </w:t>
      </w:r>
      <w:r w:rsidR="00156241" w:rsidRPr="00EF76D8">
        <w:rPr>
          <w:rFonts w:ascii="Times New Roman" w:hAnsi="Times New Roman" w:cs="Times New Roman"/>
          <w:bCs/>
          <w:sz w:val="28"/>
          <w:szCs w:val="28"/>
        </w:rPr>
        <w:t>with respect to</w:t>
      </w:r>
      <w:r w:rsidR="000C6710" w:rsidRPr="00EF76D8">
        <w:rPr>
          <w:rFonts w:ascii="Times New Roman" w:hAnsi="Times New Roman" w:cs="Times New Roman"/>
          <w:bCs/>
          <w:sz w:val="28"/>
          <w:szCs w:val="28"/>
        </w:rPr>
        <w:t xml:space="preserve"> Northland’s invoicing, issues </w:t>
      </w:r>
      <w:r w:rsidR="00162A19" w:rsidRPr="00EF76D8">
        <w:rPr>
          <w:rFonts w:ascii="Times New Roman" w:hAnsi="Times New Roman" w:cs="Times New Roman"/>
          <w:bCs/>
          <w:sz w:val="28"/>
          <w:szCs w:val="28"/>
        </w:rPr>
        <w:t xml:space="preserve">that are central to the </w:t>
      </w:r>
      <w:r w:rsidR="00EF76D8" w:rsidRPr="00EF76D8">
        <w:rPr>
          <w:rFonts w:ascii="Times New Roman" w:hAnsi="Times New Roman" w:cs="Times New Roman"/>
          <w:bCs/>
          <w:sz w:val="28"/>
          <w:szCs w:val="28"/>
        </w:rPr>
        <w:t>c</w:t>
      </w:r>
      <w:r w:rsidR="004D7CFA" w:rsidRPr="00EF76D8">
        <w:rPr>
          <w:rFonts w:ascii="Times New Roman" w:hAnsi="Times New Roman" w:cs="Times New Roman"/>
          <w:bCs/>
          <w:sz w:val="28"/>
          <w:szCs w:val="28"/>
        </w:rPr>
        <w:t>ounterclaim</w:t>
      </w:r>
      <w:r w:rsidR="000C6710" w:rsidRPr="00EF76D8">
        <w:rPr>
          <w:rFonts w:ascii="Times New Roman" w:hAnsi="Times New Roman" w:cs="Times New Roman"/>
          <w:bCs/>
          <w:sz w:val="28"/>
          <w:szCs w:val="28"/>
        </w:rPr>
        <w:t xml:space="preserve">. They also </w:t>
      </w:r>
      <w:r w:rsidR="00C34FEB" w:rsidRPr="00EF76D8">
        <w:rPr>
          <w:rFonts w:ascii="Times New Roman" w:hAnsi="Times New Roman" w:cs="Times New Roman"/>
          <w:bCs/>
          <w:sz w:val="28"/>
          <w:szCs w:val="28"/>
        </w:rPr>
        <w:t xml:space="preserve">take the position there are </w:t>
      </w:r>
      <w:r w:rsidR="00162A19" w:rsidRPr="00EF76D8">
        <w:rPr>
          <w:rFonts w:ascii="Times New Roman" w:hAnsi="Times New Roman" w:cs="Times New Roman"/>
          <w:bCs/>
          <w:sz w:val="28"/>
          <w:szCs w:val="28"/>
        </w:rPr>
        <w:t xml:space="preserve">credibility issues the court cannot confidently resolve </w:t>
      </w:r>
      <w:r w:rsidR="00171BE1" w:rsidRPr="00EF76D8">
        <w:rPr>
          <w:rFonts w:ascii="Times New Roman" w:hAnsi="Times New Roman" w:cs="Times New Roman"/>
          <w:bCs/>
          <w:sz w:val="28"/>
          <w:szCs w:val="28"/>
        </w:rPr>
        <w:t xml:space="preserve">without hearing </w:t>
      </w:r>
      <w:r w:rsidR="00171BE1" w:rsidRPr="00EF76D8">
        <w:rPr>
          <w:rFonts w:ascii="Times New Roman" w:hAnsi="Times New Roman" w:cs="Times New Roman"/>
          <w:bCs/>
          <w:i/>
          <w:iCs/>
          <w:sz w:val="28"/>
          <w:szCs w:val="28"/>
        </w:rPr>
        <w:t>viva voce</w:t>
      </w:r>
      <w:r w:rsidR="00171BE1" w:rsidRPr="00EF76D8">
        <w:rPr>
          <w:rFonts w:ascii="Times New Roman" w:hAnsi="Times New Roman" w:cs="Times New Roman"/>
          <w:bCs/>
          <w:sz w:val="28"/>
          <w:szCs w:val="28"/>
        </w:rPr>
        <w:t xml:space="preserve"> evidence. </w:t>
      </w:r>
    </w:p>
    <w:p w14:paraId="7FCB23DB" w14:textId="77777777" w:rsidR="003729B7" w:rsidRPr="00F82B8E" w:rsidRDefault="003729B7" w:rsidP="003729B7">
      <w:pPr>
        <w:pStyle w:val="ListParagraph"/>
        <w:spacing w:after="0" w:line="240" w:lineRule="auto"/>
        <w:ind w:left="0"/>
        <w:contextualSpacing w:val="0"/>
        <w:jc w:val="both"/>
        <w:rPr>
          <w:rFonts w:ascii="Times New Roman" w:hAnsi="Times New Roman" w:cs="Times New Roman"/>
          <w:bCs/>
          <w:sz w:val="28"/>
          <w:szCs w:val="28"/>
        </w:rPr>
      </w:pPr>
    </w:p>
    <w:p w14:paraId="657ABE80" w14:textId="68F0081A" w:rsidR="00BA5F7C" w:rsidRDefault="00C34FEB" w:rsidP="00BA5F7C">
      <w:pPr>
        <w:pStyle w:val="ListParagraph"/>
        <w:numPr>
          <w:ilvl w:val="0"/>
          <w:numId w:val="1"/>
        </w:numPr>
        <w:spacing w:after="0" w:line="240" w:lineRule="auto"/>
        <w:contextualSpacing w:val="0"/>
        <w:jc w:val="both"/>
        <w:rPr>
          <w:rFonts w:ascii="Times New Roman" w:hAnsi="Times New Roman" w:cs="Times New Roman"/>
          <w:bCs/>
          <w:sz w:val="28"/>
          <w:szCs w:val="28"/>
        </w:rPr>
      </w:pPr>
      <w:r w:rsidRPr="00EF76D8">
        <w:rPr>
          <w:rFonts w:ascii="Times New Roman" w:hAnsi="Times New Roman" w:cs="Times New Roman"/>
          <w:bCs/>
          <w:sz w:val="28"/>
          <w:szCs w:val="28"/>
        </w:rPr>
        <w:t>Having carefully reviewed the record,</w:t>
      </w:r>
      <w:r w:rsidR="00B013F8" w:rsidRPr="00EF76D8">
        <w:rPr>
          <w:rFonts w:ascii="Times New Roman" w:hAnsi="Times New Roman" w:cs="Times New Roman"/>
          <w:bCs/>
          <w:sz w:val="28"/>
          <w:szCs w:val="28"/>
        </w:rPr>
        <w:t xml:space="preserve"> I find</w:t>
      </w:r>
      <w:r w:rsidRPr="00EF76D8">
        <w:rPr>
          <w:rFonts w:ascii="Times New Roman" w:hAnsi="Times New Roman" w:cs="Times New Roman"/>
          <w:bCs/>
          <w:sz w:val="28"/>
          <w:szCs w:val="28"/>
        </w:rPr>
        <w:t xml:space="preserve"> there are issues</w:t>
      </w:r>
      <w:r w:rsidR="006C3312" w:rsidRPr="00EF76D8">
        <w:rPr>
          <w:rFonts w:ascii="Times New Roman" w:hAnsi="Times New Roman" w:cs="Times New Roman"/>
          <w:bCs/>
          <w:sz w:val="28"/>
          <w:szCs w:val="28"/>
        </w:rPr>
        <w:t xml:space="preserve"> I </w:t>
      </w:r>
      <w:r w:rsidR="006741F6" w:rsidRPr="00EF76D8">
        <w:rPr>
          <w:rFonts w:ascii="Times New Roman" w:hAnsi="Times New Roman" w:cs="Times New Roman"/>
          <w:bCs/>
          <w:sz w:val="28"/>
          <w:szCs w:val="28"/>
        </w:rPr>
        <w:t>can</w:t>
      </w:r>
      <w:r w:rsidR="006C3312" w:rsidRPr="00EF76D8">
        <w:rPr>
          <w:rFonts w:ascii="Times New Roman" w:hAnsi="Times New Roman" w:cs="Times New Roman"/>
          <w:bCs/>
          <w:sz w:val="28"/>
          <w:szCs w:val="28"/>
        </w:rPr>
        <w:t xml:space="preserve"> decide based on the evidence presented </w:t>
      </w:r>
      <w:r w:rsidR="003729B7" w:rsidRPr="00EF76D8">
        <w:rPr>
          <w:rFonts w:ascii="Times New Roman" w:hAnsi="Times New Roman" w:cs="Times New Roman"/>
          <w:bCs/>
          <w:sz w:val="28"/>
          <w:szCs w:val="28"/>
        </w:rPr>
        <w:t>on this application</w:t>
      </w:r>
      <w:r w:rsidR="006C3312" w:rsidRPr="00EF76D8">
        <w:rPr>
          <w:rFonts w:ascii="Times New Roman" w:hAnsi="Times New Roman" w:cs="Times New Roman"/>
          <w:bCs/>
          <w:sz w:val="28"/>
          <w:szCs w:val="28"/>
        </w:rPr>
        <w:t xml:space="preserve">. </w:t>
      </w:r>
      <w:r w:rsidR="00E56C39" w:rsidRPr="00EF76D8">
        <w:rPr>
          <w:rFonts w:ascii="Times New Roman" w:hAnsi="Times New Roman" w:cs="Times New Roman"/>
          <w:bCs/>
          <w:sz w:val="28"/>
          <w:szCs w:val="28"/>
        </w:rPr>
        <w:t>The</w:t>
      </w:r>
      <w:r w:rsidR="004D3719" w:rsidRPr="00EF76D8">
        <w:rPr>
          <w:rFonts w:ascii="Times New Roman" w:hAnsi="Times New Roman" w:cs="Times New Roman"/>
          <w:bCs/>
          <w:sz w:val="28"/>
          <w:szCs w:val="28"/>
        </w:rPr>
        <w:t xml:space="preserve"> contracts </w:t>
      </w:r>
      <w:r w:rsidR="00E56C39" w:rsidRPr="00EF76D8">
        <w:rPr>
          <w:rFonts w:ascii="Times New Roman" w:hAnsi="Times New Roman" w:cs="Times New Roman"/>
          <w:bCs/>
          <w:sz w:val="28"/>
          <w:szCs w:val="28"/>
        </w:rPr>
        <w:t xml:space="preserve">at play have been filed </w:t>
      </w:r>
      <w:r w:rsidR="004D3719" w:rsidRPr="00EF76D8">
        <w:rPr>
          <w:rFonts w:ascii="Times New Roman" w:hAnsi="Times New Roman" w:cs="Times New Roman"/>
          <w:bCs/>
          <w:sz w:val="28"/>
          <w:szCs w:val="28"/>
        </w:rPr>
        <w:t xml:space="preserve">and the affidavits </w:t>
      </w:r>
      <w:r w:rsidR="00F53670" w:rsidRPr="00EF76D8">
        <w:rPr>
          <w:rFonts w:ascii="Times New Roman" w:hAnsi="Times New Roman" w:cs="Times New Roman"/>
          <w:bCs/>
          <w:sz w:val="28"/>
          <w:szCs w:val="28"/>
        </w:rPr>
        <w:t>from Mr. Adam</w:t>
      </w:r>
      <w:r w:rsidR="005C6355" w:rsidRPr="00EF76D8">
        <w:rPr>
          <w:rFonts w:ascii="Times New Roman" w:hAnsi="Times New Roman" w:cs="Times New Roman"/>
          <w:bCs/>
          <w:sz w:val="28"/>
          <w:szCs w:val="28"/>
        </w:rPr>
        <w:t xml:space="preserve"> and</w:t>
      </w:r>
      <w:r w:rsidR="00F53670" w:rsidRPr="00EF76D8">
        <w:rPr>
          <w:rFonts w:ascii="Times New Roman" w:hAnsi="Times New Roman" w:cs="Times New Roman"/>
          <w:bCs/>
          <w:sz w:val="28"/>
          <w:szCs w:val="28"/>
        </w:rPr>
        <w:t xml:space="preserve"> Mr. Wiart </w:t>
      </w:r>
      <w:r w:rsidR="004D3719" w:rsidRPr="00EF76D8">
        <w:rPr>
          <w:rFonts w:ascii="Times New Roman" w:hAnsi="Times New Roman" w:cs="Times New Roman"/>
          <w:bCs/>
          <w:sz w:val="28"/>
          <w:szCs w:val="28"/>
        </w:rPr>
        <w:t xml:space="preserve">provide sufficient context for me to </w:t>
      </w:r>
      <w:r w:rsidR="002B7DB4" w:rsidRPr="00EF76D8">
        <w:rPr>
          <w:rFonts w:ascii="Times New Roman" w:hAnsi="Times New Roman" w:cs="Times New Roman"/>
          <w:bCs/>
          <w:sz w:val="28"/>
          <w:szCs w:val="28"/>
        </w:rPr>
        <w:t xml:space="preserve">determine </w:t>
      </w:r>
      <w:r w:rsidR="009D42EF" w:rsidRPr="00EF76D8">
        <w:rPr>
          <w:rFonts w:ascii="Times New Roman" w:hAnsi="Times New Roman" w:cs="Times New Roman"/>
          <w:bCs/>
          <w:sz w:val="28"/>
          <w:szCs w:val="28"/>
        </w:rPr>
        <w:t xml:space="preserve">who are </w:t>
      </w:r>
      <w:r w:rsidR="0045590C" w:rsidRPr="00EF76D8">
        <w:rPr>
          <w:rFonts w:ascii="Times New Roman" w:hAnsi="Times New Roman" w:cs="Times New Roman"/>
          <w:bCs/>
          <w:sz w:val="28"/>
          <w:szCs w:val="28"/>
        </w:rPr>
        <w:t xml:space="preserve">the </w:t>
      </w:r>
      <w:r w:rsidR="00BF240D" w:rsidRPr="00EF76D8">
        <w:rPr>
          <w:rFonts w:ascii="Times New Roman" w:hAnsi="Times New Roman" w:cs="Times New Roman"/>
          <w:bCs/>
          <w:sz w:val="28"/>
          <w:szCs w:val="28"/>
        </w:rPr>
        <w:t>parties to the Prime Contract</w:t>
      </w:r>
      <w:r w:rsidR="00FE41CF" w:rsidRPr="00EF76D8">
        <w:rPr>
          <w:rFonts w:ascii="Times New Roman" w:hAnsi="Times New Roman" w:cs="Times New Roman"/>
          <w:bCs/>
          <w:sz w:val="28"/>
          <w:szCs w:val="28"/>
        </w:rPr>
        <w:t xml:space="preserve"> and</w:t>
      </w:r>
      <w:r w:rsidR="005051B2" w:rsidRPr="00EF76D8">
        <w:rPr>
          <w:rFonts w:ascii="Times New Roman" w:hAnsi="Times New Roman" w:cs="Times New Roman"/>
          <w:bCs/>
          <w:sz w:val="28"/>
          <w:szCs w:val="28"/>
        </w:rPr>
        <w:t xml:space="preserve"> </w:t>
      </w:r>
      <w:r w:rsidR="00BF240D" w:rsidRPr="00EF76D8">
        <w:rPr>
          <w:rFonts w:ascii="Times New Roman" w:hAnsi="Times New Roman" w:cs="Times New Roman"/>
          <w:bCs/>
          <w:sz w:val="28"/>
          <w:szCs w:val="28"/>
        </w:rPr>
        <w:t xml:space="preserve">the nature of the </w:t>
      </w:r>
      <w:r w:rsidR="002B7DB4" w:rsidRPr="00EF76D8">
        <w:rPr>
          <w:rFonts w:ascii="Times New Roman" w:hAnsi="Times New Roman" w:cs="Times New Roman"/>
          <w:bCs/>
          <w:sz w:val="28"/>
          <w:szCs w:val="28"/>
        </w:rPr>
        <w:t>IPD Contract</w:t>
      </w:r>
      <w:r w:rsidR="0045590C" w:rsidRPr="00EF76D8">
        <w:rPr>
          <w:rFonts w:ascii="Times New Roman" w:hAnsi="Times New Roman" w:cs="Times New Roman"/>
          <w:bCs/>
          <w:sz w:val="28"/>
          <w:szCs w:val="28"/>
        </w:rPr>
        <w:t>. I can also</w:t>
      </w:r>
      <w:r w:rsidR="002B7DB4" w:rsidRPr="00EF76D8">
        <w:rPr>
          <w:rFonts w:ascii="Times New Roman" w:hAnsi="Times New Roman" w:cs="Times New Roman"/>
          <w:bCs/>
          <w:sz w:val="28"/>
          <w:szCs w:val="28"/>
        </w:rPr>
        <w:t xml:space="preserve"> </w:t>
      </w:r>
      <w:r w:rsidR="00786C58" w:rsidRPr="00EF76D8">
        <w:rPr>
          <w:rFonts w:ascii="Times New Roman" w:hAnsi="Times New Roman" w:cs="Times New Roman"/>
          <w:bCs/>
          <w:sz w:val="28"/>
          <w:szCs w:val="28"/>
        </w:rPr>
        <w:t>decide</w:t>
      </w:r>
      <w:r w:rsidR="002B7DB4" w:rsidRPr="00EF76D8">
        <w:rPr>
          <w:rFonts w:ascii="Times New Roman" w:hAnsi="Times New Roman" w:cs="Times New Roman"/>
          <w:bCs/>
          <w:sz w:val="28"/>
          <w:szCs w:val="28"/>
        </w:rPr>
        <w:t xml:space="preserve"> </w:t>
      </w:r>
      <w:r w:rsidR="00F119E1" w:rsidRPr="00EF76D8">
        <w:rPr>
          <w:rFonts w:ascii="Times New Roman" w:hAnsi="Times New Roman" w:cs="Times New Roman"/>
          <w:bCs/>
          <w:sz w:val="28"/>
          <w:szCs w:val="28"/>
        </w:rPr>
        <w:t>whether Northland falls into the definition of claimant under the Bond.</w:t>
      </w:r>
      <w:r w:rsidR="00B82E97" w:rsidRPr="00EF76D8">
        <w:rPr>
          <w:rFonts w:ascii="Times New Roman" w:hAnsi="Times New Roman" w:cs="Times New Roman"/>
          <w:bCs/>
          <w:sz w:val="28"/>
          <w:szCs w:val="28"/>
        </w:rPr>
        <w:t xml:space="preserve"> As a result, I can fairly </w:t>
      </w:r>
      <w:r w:rsidR="00B74936" w:rsidRPr="00EF76D8">
        <w:rPr>
          <w:rFonts w:ascii="Times New Roman" w:hAnsi="Times New Roman" w:cs="Times New Roman"/>
          <w:bCs/>
          <w:sz w:val="28"/>
          <w:szCs w:val="28"/>
        </w:rPr>
        <w:t>resolve</w:t>
      </w:r>
      <w:r w:rsidR="00B82E97" w:rsidRPr="00EF76D8">
        <w:rPr>
          <w:rFonts w:ascii="Times New Roman" w:hAnsi="Times New Roman" w:cs="Times New Roman"/>
          <w:bCs/>
          <w:sz w:val="28"/>
          <w:szCs w:val="28"/>
        </w:rPr>
        <w:t xml:space="preserve"> the </w:t>
      </w:r>
      <w:r w:rsidR="0001433E" w:rsidRPr="00EF76D8">
        <w:rPr>
          <w:rFonts w:ascii="Times New Roman" w:hAnsi="Times New Roman" w:cs="Times New Roman"/>
          <w:bCs/>
          <w:sz w:val="28"/>
          <w:szCs w:val="28"/>
        </w:rPr>
        <w:t>questions</w:t>
      </w:r>
      <w:r w:rsidR="00A9006B" w:rsidRPr="00EF76D8">
        <w:rPr>
          <w:rFonts w:ascii="Times New Roman" w:hAnsi="Times New Roman" w:cs="Times New Roman"/>
          <w:bCs/>
          <w:sz w:val="28"/>
          <w:szCs w:val="28"/>
        </w:rPr>
        <w:t xml:space="preserve"> related to</w:t>
      </w:r>
      <w:r w:rsidR="00B82E97" w:rsidRPr="00EF76D8">
        <w:rPr>
          <w:rFonts w:ascii="Times New Roman" w:hAnsi="Times New Roman" w:cs="Times New Roman"/>
          <w:bCs/>
          <w:sz w:val="28"/>
          <w:szCs w:val="28"/>
        </w:rPr>
        <w:t xml:space="preserve"> liability</w:t>
      </w:r>
      <w:r w:rsidR="00F119E1" w:rsidRPr="00EF76D8">
        <w:rPr>
          <w:rFonts w:ascii="Times New Roman" w:hAnsi="Times New Roman" w:cs="Times New Roman"/>
          <w:bCs/>
          <w:sz w:val="28"/>
          <w:szCs w:val="28"/>
        </w:rPr>
        <w:t xml:space="preserve">. However, the conflicting evidence and </w:t>
      </w:r>
      <w:r w:rsidR="00A648B8" w:rsidRPr="00EF76D8">
        <w:rPr>
          <w:rFonts w:ascii="Times New Roman" w:hAnsi="Times New Roman" w:cs="Times New Roman"/>
          <w:bCs/>
          <w:sz w:val="28"/>
          <w:szCs w:val="28"/>
        </w:rPr>
        <w:t xml:space="preserve">credibility issues </w:t>
      </w:r>
      <w:r w:rsidR="003D1026" w:rsidRPr="00EF76D8">
        <w:rPr>
          <w:rFonts w:ascii="Times New Roman" w:hAnsi="Times New Roman" w:cs="Times New Roman"/>
          <w:bCs/>
          <w:sz w:val="28"/>
          <w:szCs w:val="28"/>
        </w:rPr>
        <w:t>regarding</w:t>
      </w:r>
      <w:r w:rsidR="00F119E1" w:rsidRPr="00EF76D8">
        <w:rPr>
          <w:rFonts w:ascii="Times New Roman" w:hAnsi="Times New Roman" w:cs="Times New Roman"/>
          <w:bCs/>
          <w:sz w:val="28"/>
          <w:szCs w:val="28"/>
        </w:rPr>
        <w:t xml:space="preserve"> Northland’s invoicing are </w:t>
      </w:r>
      <w:r w:rsidR="00A648B8" w:rsidRPr="00EF76D8">
        <w:rPr>
          <w:rFonts w:ascii="Times New Roman" w:hAnsi="Times New Roman" w:cs="Times New Roman"/>
          <w:bCs/>
          <w:sz w:val="28"/>
          <w:szCs w:val="28"/>
        </w:rPr>
        <w:t xml:space="preserve">such that I cannot </w:t>
      </w:r>
      <w:r w:rsidR="003D1026" w:rsidRPr="00EF76D8">
        <w:rPr>
          <w:rFonts w:ascii="Times New Roman" w:hAnsi="Times New Roman" w:cs="Times New Roman"/>
          <w:bCs/>
          <w:sz w:val="28"/>
          <w:szCs w:val="28"/>
        </w:rPr>
        <w:t>con</w:t>
      </w:r>
      <w:r w:rsidR="00AF53E9" w:rsidRPr="00EF76D8">
        <w:rPr>
          <w:rFonts w:ascii="Times New Roman" w:hAnsi="Times New Roman" w:cs="Times New Roman"/>
          <w:bCs/>
          <w:sz w:val="28"/>
          <w:szCs w:val="28"/>
        </w:rPr>
        <w:t>fidently</w:t>
      </w:r>
      <w:r w:rsidR="00AF53E9" w:rsidRPr="00F82B8E">
        <w:rPr>
          <w:rFonts w:ascii="Times New Roman" w:hAnsi="Times New Roman" w:cs="Times New Roman"/>
          <w:bCs/>
          <w:sz w:val="28"/>
          <w:szCs w:val="28"/>
        </w:rPr>
        <w:t xml:space="preserve"> </w:t>
      </w:r>
      <w:r w:rsidR="00A648B8" w:rsidRPr="00F82B8E">
        <w:rPr>
          <w:rFonts w:ascii="Times New Roman" w:hAnsi="Times New Roman" w:cs="Times New Roman"/>
          <w:bCs/>
          <w:sz w:val="28"/>
          <w:szCs w:val="28"/>
        </w:rPr>
        <w:t xml:space="preserve">decide on the </w:t>
      </w:r>
      <w:r w:rsidR="006741F6" w:rsidRPr="00F82B8E">
        <w:rPr>
          <w:rFonts w:ascii="Times New Roman" w:hAnsi="Times New Roman" w:cs="Times New Roman"/>
          <w:bCs/>
          <w:sz w:val="28"/>
          <w:szCs w:val="28"/>
        </w:rPr>
        <w:t>scale</w:t>
      </w:r>
      <w:r w:rsidR="00A648B8" w:rsidRPr="00F82B8E">
        <w:rPr>
          <w:rFonts w:ascii="Times New Roman" w:hAnsi="Times New Roman" w:cs="Times New Roman"/>
          <w:bCs/>
          <w:sz w:val="28"/>
          <w:szCs w:val="28"/>
        </w:rPr>
        <w:t xml:space="preserve"> of the damages. </w:t>
      </w:r>
    </w:p>
    <w:p w14:paraId="2C97EF9E" w14:textId="77777777" w:rsidR="00BA5F7C" w:rsidRPr="00BA5F7C" w:rsidRDefault="00BA5F7C" w:rsidP="00BA5F7C">
      <w:pPr>
        <w:pStyle w:val="ListParagraph"/>
        <w:spacing w:after="0" w:line="240" w:lineRule="auto"/>
        <w:ind w:left="0"/>
        <w:contextualSpacing w:val="0"/>
        <w:jc w:val="both"/>
        <w:rPr>
          <w:rFonts w:ascii="Times New Roman" w:hAnsi="Times New Roman" w:cs="Times New Roman"/>
          <w:bCs/>
          <w:sz w:val="28"/>
          <w:szCs w:val="28"/>
        </w:rPr>
      </w:pPr>
    </w:p>
    <w:p w14:paraId="639BA7A1" w14:textId="15AC8883" w:rsidR="00BA5F7C" w:rsidRPr="00093579" w:rsidRDefault="00BA5F7C" w:rsidP="00BA5F7C">
      <w:pPr>
        <w:spacing w:after="0" w:line="240" w:lineRule="auto"/>
        <w:jc w:val="both"/>
        <w:rPr>
          <w:rFonts w:ascii="Times New Roman" w:hAnsi="Times New Roman" w:cs="Times New Roman"/>
          <w:bCs/>
          <w:sz w:val="28"/>
          <w:szCs w:val="28"/>
          <w:u w:val="single"/>
        </w:rPr>
      </w:pPr>
      <w:r w:rsidRPr="00093579">
        <w:rPr>
          <w:rFonts w:ascii="Times New Roman" w:hAnsi="Times New Roman" w:cs="Times New Roman"/>
          <w:bCs/>
          <w:sz w:val="28"/>
          <w:szCs w:val="28"/>
          <w:u w:val="single"/>
        </w:rPr>
        <w:t>ONEC and Liberty’s Liability</w:t>
      </w:r>
    </w:p>
    <w:p w14:paraId="630BA72B" w14:textId="77777777" w:rsidR="00944EA9" w:rsidRPr="00F82B8E" w:rsidRDefault="00944EA9" w:rsidP="00944EA9">
      <w:pPr>
        <w:pStyle w:val="ListParagraph"/>
        <w:rPr>
          <w:rFonts w:ascii="Times New Roman" w:hAnsi="Times New Roman" w:cs="Times New Roman"/>
          <w:bCs/>
          <w:sz w:val="28"/>
          <w:szCs w:val="28"/>
        </w:rPr>
      </w:pPr>
    </w:p>
    <w:p w14:paraId="16B35FF5" w14:textId="70D5DB4C" w:rsidR="00FF1FE6" w:rsidRPr="008F1F6D" w:rsidRDefault="009F4422" w:rsidP="00877032">
      <w:pPr>
        <w:pStyle w:val="ListParagraph"/>
        <w:numPr>
          <w:ilvl w:val="0"/>
          <w:numId w:val="1"/>
        </w:numPr>
        <w:spacing w:after="0" w:line="240" w:lineRule="auto"/>
        <w:contextualSpacing w:val="0"/>
        <w:jc w:val="both"/>
        <w:rPr>
          <w:rFonts w:ascii="Times New Roman" w:hAnsi="Times New Roman" w:cs="Times New Roman"/>
          <w:bCs/>
          <w:sz w:val="28"/>
          <w:szCs w:val="28"/>
        </w:rPr>
      </w:pPr>
      <w:r w:rsidRPr="008F1F6D">
        <w:rPr>
          <w:rFonts w:ascii="Times New Roman" w:hAnsi="Times New Roman" w:cs="Times New Roman"/>
          <w:bCs/>
          <w:sz w:val="28"/>
          <w:szCs w:val="28"/>
        </w:rPr>
        <w:t xml:space="preserve">Northland invoiced ONEC for the first time on March </w:t>
      </w:r>
      <w:r w:rsidR="00B95B3F" w:rsidRPr="008F1F6D">
        <w:rPr>
          <w:rFonts w:ascii="Times New Roman" w:hAnsi="Times New Roman" w:cs="Times New Roman"/>
          <w:bCs/>
          <w:sz w:val="28"/>
          <w:szCs w:val="28"/>
        </w:rPr>
        <w:t>1</w:t>
      </w:r>
      <w:r w:rsidRPr="008F1F6D">
        <w:rPr>
          <w:rFonts w:ascii="Times New Roman" w:hAnsi="Times New Roman" w:cs="Times New Roman"/>
          <w:bCs/>
          <w:sz w:val="28"/>
          <w:szCs w:val="28"/>
        </w:rPr>
        <w:t xml:space="preserve">, 2022. </w:t>
      </w:r>
      <w:r w:rsidR="00DE11BD" w:rsidRPr="008F1F6D">
        <w:rPr>
          <w:rFonts w:ascii="Times New Roman" w:hAnsi="Times New Roman" w:cs="Times New Roman"/>
          <w:bCs/>
          <w:sz w:val="28"/>
          <w:szCs w:val="28"/>
        </w:rPr>
        <w:t xml:space="preserve">For the </w:t>
      </w:r>
      <w:r w:rsidR="00033245" w:rsidRPr="008F1F6D">
        <w:rPr>
          <w:rFonts w:ascii="Times New Roman" w:hAnsi="Times New Roman" w:cs="Times New Roman"/>
          <w:bCs/>
          <w:sz w:val="28"/>
          <w:szCs w:val="28"/>
        </w:rPr>
        <w:t xml:space="preserve">work completed on the Inuvik High Point Wind Project, Northland </w:t>
      </w:r>
      <w:r w:rsidR="00337E7E" w:rsidRPr="008F1F6D">
        <w:rPr>
          <w:rFonts w:ascii="Times New Roman" w:hAnsi="Times New Roman" w:cs="Times New Roman"/>
          <w:bCs/>
          <w:sz w:val="28"/>
          <w:szCs w:val="28"/>
        </w:rPr>
        <w:t>submitted a total of 1</w:t>
      </w:r>
      <w:r w:rsidR="00481127">
        <w:rPr>
          <w:rFonts w:ascii="Times New Roman" w:hAnsi="Times New Roman" w:cs="Times New Roman"/>
          <w:bCs/>
          <w:sz w:val="28"/>
          <w:szCs w:val="28"/>
        </w:rPr>
        <w:t>0</w:t>
      </w:r>
      <w:r w:rsidR="00337E7E" w:rsidRPr="008F1F6D">
        <w:rPr>
          <w:rFonts w:ascii="Times New Roman" w:hAnsi="Times New Roman" w:cs="Times New Roman"/>
          <w:bCs/>
          <w:sz w:val="28"/>
          <w:szCs w:val="28"/>
        </w:rPr>
        <w:t xml:space="preserve"> invoices to ONEC totaling $1,850,970.85. </w:t>
      </w:r>
      <w:r w:rsidR="000C5D27" w:rsidRPr="008F1F6D">
        <w:rPr>
          <w:rFonts w:ascii="Times New Roman" w:hAnsi="Times New Roman" w:cs="Times New Roman"/>
          <w:bCs/>
          <w:sz w:val="28"/>
          <w:szCs w:val="28"/>
        </w:rPr>
        <w:t xml:space="preserve">The last invoice was issued on November 1, 2022. </w:t>
      </w:r>
      <w:r w:rsidR="00912552" w:rsidRPr="008F1F6D">
        <w:rPr>
          <w:rFonts w:ascii="Times New Roman" w:hAnsi="Times New Roman" w:cs="Times New Roman"/>
          <w:bCs/>
          <w:sz w:val="28"/>
          <w:szCs w:val="28"/>
        </w:rPr>
        <w:t xml:space="preserve">On April 18, 2022, ONEC paid in full the </w:t>
      </w:r>
      <w:r w:rsidR="00672E79" w:rsidRPr="008F1F6D">
        <w:rPr>
          <w:rFonts w:ascii="Times New Roman" w:hAnsi="Times New Roman" w:cs="Times New Roman"/>
          <w:bCs/>
          <w:sz w:val="28"/>
          <w:szCs w:val="28"/>
        </w:rPr>
        <w:t>Access Road Mo</w:t>
      </w:r>
      <w:r w:rsidR="00A40A1D" w:rsidRPr="008F1F6D">
        <w:rPr>
          <w:rFonts w:ascii="Times New Roman" w:hAnsi="Times New Roman" w:cs="Times New Roman"/>
          <w:bCs/>
          <w:sz w:val="28"/>
          <w:szCs w:val="28"/>
        </w:rPr>
        <w:t>bilization Fee of $311,202.74 invoiced on March 18, 2022</w:t>
      </w:r>
      <w:r w:rsidR="00607252" w:rsidRPr="008F1F6D">
        <w:rPr>
          <w:rFonts w:ascii="Times New Roman" w:hAnsi="Times New Roman" w:cs="Times New Roman"/>
          <w:bCs/>
          <w:sz w:val="28"/>
          <w:szCs w:val="28"/>
        </w:rPr>
        <w:t xml:space="preserve">. </w:t>
      </w:r>
      <w:r w:rsidR="00325FD7" w:rsidRPr="008F1F6D">
        <w:rPr>
          <w:rFonts w:ascii="Times New Roman" w:hAnsi="Times New Roman" w:cs="Times New Roman"/>
          <w:bCs/>
          <w:sz w:val="28"/>
          <w:szCs w:val="28"/>
        </w:rPr>
        <w:t xml:space="preserve">Subsequently, </w:t>
      </w:r>
      <w:r w:rsidR="00A31A30" w:rsidRPr="008F1F6D">
        <w:rPr>
          <w:rFonts w:ascii="Times New Roman" w:hAnsi="Times New Roman" w:cs="Times New Roman"/>
          <w:bCs/>
          <w:sz w:val="28"/>
          <w:szCs w:val="28"/>
        </w:rPr>
        <w:t xml:space="preserve">ONEC </w:t>
      </w:r>
      <w:r w:rsidR="00E36D35" w:rsidRPr="008F1F6D">
        <w:rPr>
          <w:rFonts w:ascii="Times New Roman" w:hAnsi="Times New Roman" w:cs="Times New Roman"/>
          <w:bCs/>
          <w:sz w:val="28"/>
          <w:szCs w:val="28"/>
        </w:rPr>
        <w:t xml:space="preserve">made partial payments </w:t>
      </w:r>
      <w:r w:rsidR="00607252" w:rsidRPr="008F1F6D">
        <w:rPr>
          <w:rFonts w:ascii="Times New Roman" w:hAnsi="Times New Roman" w:cs="Times New Roman"/>
          <w:bCs/>
          <w:sz w:val="28"/>
          <w:szCs w:val="28"/>
        </w:rPr>
        <w:t xml:space="preserve">of Northland’s invoices </w:t>
      </w:r>
      <w:r w:rsidR="00F13050" w:rsidRPr="008F1F6D">
        <w:rPr>
          <w:rFonts w:ascii="Times New Roman" w:hAnsi="Times New Roman" w:cs="Times New Roman"/>
          <w:bCs/>
          <w:sz w:val="28"/>
          <w:szCs w:val="28"/>
        </w:rPr>
        <w:t>starting on July 22, 2022</w:t>
      </w:r>
      <w:r w:rsidR="00912552" w:rsidRPr="008F1F6D">
        <w:rPr>
          <w:rFonts w:ascii="Times New Roman" w:hAnsi="Times New Roman" w:cs="Times New Roman"/>
          <w:bCs/>
          <w:sz w:val="28"/>
          <w:szCs w:val="28"/>
        </w:rPr>
        <w:t>,</w:t>
      </w:r>
      <w:r w:rsidR="00F13050" w:rsidRPr="008F1F6D">
        <w:rPr>
          <w:rFonts w:ascii="Times New Roman" w:hAnsi="Times New Roman" w:cs="Times New Roman"/>
          <w:bCs/>
          <w:sz w:val="28"/>
          <w:szCs w:val="28"/>
        </w:rPr>
        <w:t xml:space="preserve"> until September </w:t>
      </w:r>
      <w:r w:rsidR="00404D4B" w:rsidRPr="008F1F6D">
        <w:rPr>
          <w:rFonts w:ascii="Times New Roman" w:hAnsi="Times New Roman" w:cs="Times New Roman"/>
          <w:bCs/>
          <w:sz w:val="28"/>
          <w:szCs w:val="28"/>
        </w:rPr>
        <w:t xml:space="preserve">15, 2022. The total </w:t>
      </w:r>
      <w:r w:rsidR="00CB77B6" w:rsidRPr="008F1F6D">
        <w:rPr>
          <w:rFonts w:ascii="Times New Roman" w:hAnsi="Times New Roman" w:cs="Times New Roman"/>
          <w:bCs/>
          <w:sz w:val="28"/>
          <w:szCs w:val="28"/>
        </w:rPr>
        <w:t xml:space="preserve">amount paid by ONEC </w:t>
      </w:r>
      <w:r w:rsidR="00912552" w:rsidRPr="008F1F6D">
        <w:rPr>
          <w:rFonts w:ascii="Times New Roman" w:hAnsi="Times New Roman" w:cs="Times New Roman"/>
          <w:bCs/>
          <w:sz w:val="28"/>
          <w:szCs w:val="28"/>
        </w:rPr>
        <w:t xml:space="preserve">to Northland for the work completed on the project is </w:t>
      </w:r>
      <w:r w:rsidR="00886122" w:rsidRPr="008F1F6D">
        <w:rPr>
          <w:rFonts w:ascii="Times New Roman" w:hAnsi="Times New Roman" w:cs="Times New Roman"/>
          <w:bCs/>
          <w:sz w:val="28"/>
          <w:szCs w:val="28"/>
        </w:rPr>
        <w:t xml:space="preserve">$821,378.23. </w:t>
      </w:r>
      <w:r w:rsidR="00481127">
        <w:rPr>
          <w:rFonts w:ascii="Times New Roman" w:hAnsi="Times New Roman" w:cs="Times New Roman"/>
          <w:bCs/>
          <w:sz w:val="28"/>
          <w:szCs w:val="28"/>
        </w:rPr>
        <w:t>In March 2023, Northland submitted</w:t>
      </w:r>
      <w:r w:rsidR="008D2F7A">
        <w:rPr>
          <w:rFonts w:ascii="Times New Roman" w:hAnsi="Times New Roman" w:cs="Times New Roman"/>
          <w:bCs/>
          <w:sz w:val="28"/>
          <w:szCs w:val="28"/>
        </w:rPr>
        <w:t xml:space="preserve"> </w:t>
      </w:r>
      <w:r w:rsidR="009718F8">
        <w:rPr>
          <w:rFonts w:ascii="Times New Roman" w:hAnsi="Times New Roman" w:cs="Times New Roman"/>
          <w:bCs/>
          <w:sz w:val="28"/>
          <w:szCs w:val="28"/>
        </w:rPr>
        <w:t>three</w:t>
      </w:r>
      <w:r w:rsidR="008D2F7A">
        <w:rPr>
          <w:rFonts w:ascii="Times New Roman" w:hAnsi="Times New Roman" w:cs="Times New Roman"/>
          <w:bCs/>
          <w:sz w:val="28"/>
          <w:szCs w:val="28"/>
        </w:rPr>
        <w:t xml:space="preserve"> additiona</w:t>
      </w:r>
      <w:r w:rsidR="009718F8">
        <w:rPr>
          <w:rFonts w:ascii="Times New Roman" w:hAnsi="Times New Roman" w:cs="Times New Roman"/>
          <w:bCs/>
          <w:sz w:val="28"/>
          <w:szCs w:val="28"/>
        </w:rPr>
        <w:t>l</w:t>
      </w:r>
      <w:r w:rsidR="008D2F7A">
        <w:rPr>
          <w:rFonts w:ascii="Times New Roman" w:hAnsi="Times New Roman" w:cs="Times New Roman"/>
          <w:bCs/>
          <w:sz w:val="28"/>
          <w:szCs w:val="28"/>
        </w:rPr>
        <w:t xml:space="preserve"> invoices for </w:t>
      </w:r>
      <w:r w:rsidR="00C75EE2">
        <w:rPr>
          <w:rFonts w:ascii="Times New Roman" w:hAnsi="Times New Roman" w:cs="Times New Roman"/>
          <w:bCs/>
          <w:sz w:val="28"/>
          <w:szCs w:val="28"/>
        </w:rPr>
        <w:t>equipment standby charges incurred</w:t>
      </w:r>
      <w:r w:rsidR="00C54D53">
        <w:rPr>
          <w:rFonts w:ascii="Times New Roman" w:hAnsi="Times New Roman" w:cs="Times New Roman"/>
          <w:bCs/>
          <w:sz w:val="28"/>
          <w:szCs w:val="28"/>
        </w:rPr>
        <w:t xml:space="preserve"> in</w:t>
      </w:r>
      <w:r w:rsidR="00C75EE2">
        <w:rPr>
          <w:rFonts w:ascii="Times New Roman" w:hAnsi="Times New Roman" w:cs="Times New Roman"/>
          <w:bCs/>
          <w:sz w:val="28"/>
          <w:szCs w:val="28"/>
        </w:rPr>
        <w:t xml:space="preserve"> </w:t>
      </w:r>
      <w:r w:rsidR="00327AFD">
        <w:rPr>
          <w:rFonts w:ascii="Times New Roman" w:hAnsi="Times New Roman" w:cs="Times New Roman"/>
          <w:bCs/>
          <w:sz w:val="28"/>
          <w:szCs w:val="28"/>
        </w:rPr>
        <w:t xml:space="preserve">November and December 2022 and </w:t>
      </w:r>
      <w:r w:rsidR="001D56AA">
        <w:rPr>
          <w:rFonts w:ascii="Times New Roman" w:hAnsi="Times New Roman" w:cs="Times New Roman"/>
          <w:bCs/>
          <w:sz w:val="28"/>
          <w:szCs w:val="28"/>
        </w:rPr>
        <w:t xml:space="preserve">in </w:t>
      </w:r>
      <w:r w:rsidR="00327AFD">
        <w:rPr>
          <w:rFonts w:ascii="Times New Roman" w:hAnsi="Times New Roman" w:cs="Times New Roman"/>
          <w:bCs/>
          <w:sz w:val="28"/>
          <w:szCs w:val="28"/>
        </w:rPr>
        <w:t>January 2023</w:t>
      </w:r>
      <w:r w:rsidR="00B926B9">
        <w:rPr>
          <w:rFonts w:ascii="Times New Roman" w:hAnsi="Times New Roman" w:cs="Times New Roman"/>
          <w:bCs/>
          <w:sz w:val="28"/>
          <w:szCs w:val="28"/>
        </w:rPr>
        <w:t xml:space="preserve"> for a total of $325,206. </w:t>
      </w:r>
    </w:p>
    <w:p w14:paraId="7A7500BC" w14:textId="77777777" w:rsidR="00FF1FE6" w:rsidRPr="008F1F6D" w:rsidRDefault="00FF1FE6" w:rsidP="00FF1FE6">
      <w:pPr>
        <w:pStyle w:val="ListParagraph"/>
        <w:rPr>
          <w:rFonts w:ascii="Times New Roman" w:hAnsi="Times New Roman" w:cs="Times New Roman"/>
          <w:bCs/>
          <w:sz w:val="28"/>
          <w:szCs w:val="28"/>
        </w:rPr>
      </w:pPr>
    </w:p>
    <w:p w14:paraId="0841E570" w14:textId="640FF83F" w:rsidR="00944EA9" w:rsidRPr="008F1F6D" w:rsidRDefault="008978CA" w:rsidP="00FF278B">
      <w:pPr>
        <w:pStyle w:val="ListParagraph"/>
        <w:numPr>
          <w:ilvl w:val="0"/>
          <w:numId w:val="1"/>
        </w:numPr>
        <w:spacing w:after="0" w:line="240" w:lineRule="auto"/>
        <w:contextualSpacing w:val="0"/>
        <w:jc w:val="both"/>
        <w:rPr>
          <w:rFonts w:ascii="Times New Roman" w:hAnsi="Times New Roman" w:cs="Times New Roman"/>
          <w:bCs/>
          <w:sz w:val="28"/>
          <w:szCs w:val="28"/>
        </w:rPr>
      </w:pPr>
      <w:r w:rsidRPr="008F1F6D">
        <w:rPr>
          <w:rFonts w:ascii="Times New Roman" w:hAnsi="Times New Roman" w:cs="Times New Roman"/>
          <w:bCs/>
          <w:sz w:val="28"/>
          <w:szCs w:val="28"/>
        </w:rPr>
        <w:t xml:space="preserve">The main </w:t>
      </w:r>
      <w:r w:rsidR="002A2DA2" w:rsidRPr="008F1F6D">
        <w:rPr>
          <w:rFonts w:ascii="Times New Roman" w:hAnsi="Times New Roman" w:cs="Times New Roman"/>
          <w:bCs/>
          <w:sz w:val="28"/>
          <w:szCs w:val="28"/>
        </w:rPr>
        <w:t>point of contention</w:t>
      </w:r>
      <w:r w:rsidRPr="008F1F6D">
        <w:rPr>
          <w:rFonts w:ascii="Times New Roman" w:hAnsi="Times New Roman" w:cs="Times New Roman"/>
          <w:bCs/>
          <w:sz w:val="28"/>
          <w:szCs w:val="28"/>
        </w:rPr>
        <w:t xml:space="preserve"> between ONEC and Northland is whether Northland</w:t>
      </w:r>
      <w:r w:rsidR="0004045F" w:rsidRPr="008F1F6D">
        <w:rPr>
          <w:rFonts w:ascii="Times New Roman" w:hAnsi="Times New Roman" w:cs="Times New Roman"/>
          <w:bCs/>
          <w:sz w:val="28"/>
          <w:szCs w:val="28"/>
        </w:rPr>
        <w:t xml:space="preserve">’s invoices to ONEC were compliant with the terms of the </w:t>
      </w:r>
      <w:r w:rsidR="002A2DA2" w:rsidRPr="008F1F6D">
        <w:rPr>
          <w:rFonts w:ascii="Times New Roman" w:hAnsi="Times New Roman" w:cs="Times New Roman"/>
          <w:bCs/>
          <w:sz w:val="28"/>
          <w:szCs w:val="28"/>
        </w:rPr>
        <w:t>IPD Contract</w:t>
      </w:r>
      <w:r w:rsidR="0004045F" w:rsidRPr="008F1F6D">
        <w:rPr>
          <w:rFonts w:ascii="Times New Roman" w:hAnsi="Times New Roman" w:cs="Times New Roman"/>
          <w:bCs/>
          <w:sz w:val="28"/>
          <w:szCs w:val="28"/>
        </w:rPr>
        <w:t xml:space="preserve"> and any other agreements </w:t>
      </w:r>
      <w:r w:rsidR="002A2DA2" w:rsidRPr="008F1F6D">
        <w:rPr>
          <w:rFonts w:ascii="Times New Roman" w:hAnsi="Times New Roman" w:cs="Times New Roman"/>
          <w:bCs/>
          <w:sz w:val="28"/>
          <w:szCs w:val="28"/>
        </w:rPr>
        <w:t>reached by</w:t>
      </w:r>
      <w:r w:rsidR="0004045F" w:rsidRPr="008F1F6D">
        <w:rPr>
          <w:rFonts w:ascii="Times New Roman" w:hAnsi="Times New Roman" w:cs="Times New Roman"/>
          <w:bCs/>
          <w:sz w:val="28"/>
          <w:szCs w:val="28"/>
        </w:rPr>
        <w:t xml:space="preserve"> the parties</w:t>
      </w:r>
      <w:r w:rsidR="00FF1FE6" w:rsidRPr="008F1F6D">
        <w:rPr>
          <w:rFonts w:ascii="Times New Roman" w:hAnsi="Times New Roman" w:cs="Times New Roman"/>
          <w:bCs/>
          <w:sz w:val="28"/>
          <w:szCs w:val="28"/>
        </w:rPr>
        <w:t xml:space="preserve"> and</w:t>
      </w:r>
      <w:r w:rsidR="001D56AA">
        <w:rPr>
          <w:rFonts w:ascii="Times New Roman" w:hAnsi="Times New Roman" w:cs="Times New Roman"/>
          <w:bCs/>
          <w:sz w:val="28"/>
          <w:szCs w:val="28"/>
        </w:rPr>
        <w:t>,</w:t>
      </w:r>
      <w:r w:rsidR="00FF1FE6" w:rsidRPr="008F1F6D">
        <w:rPr>
          <w:rFonts w:ascii="Times New Roman" w:hAnsi="Times New Roman" w:cs="Times New Roman"/>
          <w:bCs/>
          <w:sz w:val="28"/>
          <w:szCs w:val="28"/>
        </w:rPr>
        <w:t xml:space="preserve"> as a result, whether Northland is entitled to </w:t>
      </w:r>
      <w:r w:rsidR="00114195">
        <w:rPr>
          <w:rFonts w:ascii="Times New Roman" w:hAnsi="Times New Roman" w:cs="Times New Roman"/>
          <w:bCs/>
          <w:sz w:val="28"/>
          <w:szCs w:val="28"/>
        </w:rPr>
        <w:t>further</w:t>
      </w:r>
      <w:r w:rsidR="00FF1FE6" w:rsidRPr="008F1F6D">
        <w:rPr>
          <w:rFonts w:ascii="Times New Roman" w:hAnsi="Times New Roman" w:cs="Times New Roman"/>
          <w:bCs/>
          <w:sz w:val="28"/>
          <w:szCs w:val="28"/>
        </w:rPr>
        <w:t xml:space="preserve"> payments</w:t>
      </w:r>
      <w:r w:rsidR="00102722" w:rsidRPr="008F1F6D">
        <w:rPr>
          <w:rFonts w:ascii="Times New Roman" w:hAnsi="Times New Roman" w:cs="Times New Roman"/>
          <w:bCs/>
          <w:sz w:val="28"/>
          <w:szCs w:val="28"/>
        </w:rPr>
        <w:t xml:space="preserve"> from ONEC</w:t>
      </w:r>
      <w:r w:rsidR="00496F1A" w:rsidRPr="008F1F6D">
        <w:rPr>
          <w:rFonts w:ascii="Times New Roman" w:hAnsi="Times New Roman" w:cs="Times New Roman"/>
          <w:bCs/>
          <w:sz w:val="28"/>
          <w:szCs w:val="28"/>
        </w:rPr>
        <w:t>.</w:t>
      </w:r>
      <w:r w:rsidR="00FF278B" w:rsidRPr="008F1F6D">
        <w:rPr>
          <w:rFonts w:ascii="Times New Roman" w:hAnsi="Times New Roman" w:cs="Times New Roman"/>
          <w:bCs/>
          <w:sz w:val="28"/>
          <w:szCs w:val="28"/>
        </w:rPr>
        <w:t xml:space="preserve"> </w:t>
      </w:r>
      <w:r w:rsidR="00944EA9" w:rsidRPr="008F1F6D">
        <w:rPr>
          <w:rFonts w:ascii="Times New Roman" w:hAnsi="Times New Roman" w:cs="Times New Roman"/>
          <w:bCs/>
          <w:sz w:val="28"/>
          <w:szCs w:val="28"/>
        </w:rPr>
        <w:t xml:space="preserve">ONEC does not dispute that </w:t>
      </w:r>
      <w:r w:rsidR="007119BB" w:rsidRPr="008F1F6D">
        <w:rPr>
          <w:rFonts w:ascii="Times New Roman" w:hAnsi="Times New Roman" w:cs="Times New Roman"/>
          <w:bCs/>
          <w:sz w:val="28"/>
          <w:szCs w:val="28"/>
        </w:rPr>
        <w:t xml:space="preserve">under the IPD Contract it had the obligation to </w:t>
      </w:r>
      <w:r w:rsidR="00D45A6F" w:rsidRPr="008F1F6D">
        <w:rPr>
          <w:rFonts w:ascii="Times New Roman" w:hAnsi="Times New Roman" w:cs="Times New Roman"/>
          <w:bCs/>
          <w:sz w:val="28"/>
          <w:szCs w:val="28"/>
        </w:rPr>
        <w:t xml:space="preserve">reimburse Northland for the costs </w:t>
      </w:r>
      <w:r w:rsidR="003E1EF5" w:rsidRPr="008F1F6D">
        <w:rPr>
          <w:rFonts w:ascii="Times New Roman" w:hAnsi="Times New Roman" w:cs="Times New Roman"/>
          <w:bCs/>
          <w:sz w:val="28"/>
          <w:szCs w:val="28"/>
        </w:rPr>
        <w:t xml:space="preserve">Northland incurred in the performance of the contract. </w:t>
      </w:r>
      <w:r w:rsidR="006D3A7A" w:rsidRPr="008F1F6D">
        <w:rPr>
          <w:rFonts w:ascii="Times New Roman" w:hAnsi="Times New Roman" w:cs="Times New Roman"/>
          <w:bCs/>
          <w:sz w:val="28"/>
          <w:szCs w:val="28"/>
        </w:rPr>
        <w:t xml:space="preserve">The terms that govern the reimbursement of Northland’s costs are stated at Article 5 of the IPD Contract and stipulate that </w:t>
      </w:r>
      <w:r w:rsidR="008A3E55" w:rsidRPr="008F1F6D">
        <w:rPr>
          <w:rFonts w:ascii="Times New Roman" w:hAnsi="Times New Roman" w:cs="Times New Roman"/>
          <w:bCs/>
          <w:sz w:val="28"/>
          <w:szCs w:val="28"/>
        </w:rPr>
        <w:t xml:space="preserve">“Reimbursable Costs” are actual costs supported by receipts, invoices and </w:t>
      </w:r>
      <w:r w:rsidRPr="008F1F6D">
        <w:rPr>
          <w:rFonts w:ascii="Times New Roman" w:hAnsi="Times New Roman" w:cs="Times New Roman"/>
          <w:bCs/>
          <w:sz w:val="28"/>
          <w:szCs w:val="28"/>
        </w:rPr>
        <w:t xml:space="preserve">other suitable documentation. </w:t>
      </w:r>
      <w:r w:rsidR="00ED2E1C" w:rsidRPr="008F1F6D">
        <w:rPr>
          <w:rFonts w:ascii="Times New Roman" w:hAnsi="Times New Roman" w:cs="Times New Roman"/>
          <w:bCs/>
          <w:sz w:val="28"/>
          <w:szCs w:val="28"/>
        </w:rPr>
        <w:t xml:space="preserve">The real issue is whether Northland has proven that </w:t>
      </w:r>
      <w:r w:rsidR="00A01F18">
        <w:rPr>
          <w:rFonts w:ascii="Times New Roman" w:hAnsi="Times New Roman" w:cs="Times New Roman"/>
          <w:bCs/>
          <w:sz w:val="28"/>
          <w:szCs w:val="28"/>
        </w:rPr>
        <w:t>it has</w:t>
      </w:r>
      <w:r w:rsidR="00ED2E1C" w:rsidRPr="008F1F6D">
        <w:rPr>
          <w:rFonts w:ascii="Times New Roman" w:hAnsi="Times New Roman" w:cs="Times New Roman"/>
          <w:bCs/>
          <w:sz w:val="28"/>
          <w:szCs w:val="28"/>
        </w:rPr>
        <w:t xml:space="preserve"> incurred reimbursable costs</w:t>
      </w:r>
      <w:r w:rsidR="003161DA" w:rsidRPr="008F1F6D">
        <w:rPr>
          <w:rFonts w:ascii="Times New Roman" w:hAnsi="Times New Roman" w:cs="Times New Roman"/>
          <w:bCs/>
          <w:sz w:val="28"/>
          <w:szCs w:val="28"/>
        </w:rPr>
        <w:t xml:space="preserve"> in an amount that exceeds what ONEC has already paid. </w:t>
      </w:r>
      <w:r w:rsidR="00496F1A" w:rsidRPr="008F1F6D">
        <w:rPr>
          <w:rFonts w:ascii="Times New Roman" w:hAnsi="Times New Roman" w:cs="Times New Roman"/>
          <w:bCs/>
          <w:sz w:val="28"/>
          <w:szCs w:val="28"/>
        </w:rPr>
        <w:t xml:space="preserve">Whether the contract is a </w:t>
      </w:r>
      <w:proofErr w:type="gramStart"/>
      <w:r w:rsidR="00496F1A" w:rsidRPr="008F1F6D">
        <w:rPr>
          <w:rFonts w:ascii="Times New Roman" w:hAnsi="Times New Roman" w:cs="Times New Roman"/>
          <w:bCs/>
          <w:sz w:val="28"/>
          <w:szCs w:val="28"/>
        </w:rPr>
        <w:t>partnership</w:t>
      </w:r>
      <w:proofErr w:type="gramEnd"/>
      <w:r w:rsidR="006A2266" w:rsidRPr="008F1F6D">
        <w:rPr>
          <w:rFonts w:ascii="Times New Roman" w:hAnsi="Times New Roman" w:cs="Times New Roman"/>
          <w:bCs/>
          <w:sz w:val="28"/>
          <w:szCs w:val="28"/>
        </w:rPr>
        <w:t xml:space="preserve"> </w:t>
      </w:r>
      <w:r w:rsidR="00496F1A" w:rsidRPr="008F1F6D">
        <w:rPr>
          <w:rFonts w:ascii="Times New Roman" w:hAnsi="Times New Roman" w:cs="Times New Roman"/>
          <w:bCs/>
          <w:sz w:val="28"/>
          <w:szCs w:val="28"/>
        </w:rPr>
        <w:t>or a subcontract does not change</w:t>
      </w:r>
      <w:r w:rsidR="00897F1C" w:rsidRPr="008F1F6D">
        <w:rPr>
          <w:rFonts w:ascii="Times New Roman" w:hAnsi="Times New Roman" w:cs="Times New Roman"/>
          <w:bCs/>
          <w:sz w:val="28"/>
          <w:szCs w:val="28"/>
        </w:rPr>
        <w:t xml:space="preserve"> ONEC’s legal obligat</w:t>
      </w:r>
      <w:r w:rsidR="003161DA" w:rsidRPr="008F1F6D">
        <w:rPr>
          <w:rFonts w:ascii="Times New Roman" w:hAnsi="Times New Roman" w:cs="Times New Roman"/>
          <w:bCs/>
          <w:sz w:val="28"/>
          <w:szCs w:val="28"/>
        </w:rPr>
        <w:t>ion</w:t>
      </w:r>
      <w:r w:rsidR="00AE291D">
        <w:rPr>
          <w:rFonts w:ascii="Times New Roman" w:hAnsi="Times New Roman" w:cs="Times New Roman"/>
          <w:bCs/>
          <w:sz w:val="28"/>
          <w:szCs w:val="28"/>
        </w:rPr>
        <w:t xml:space="preserve"> to</w:t>
      </w:r>
      <w:r w:rsidR="003A6ED1">
        <w:rPr>
          <w:rFonts w:ascii="Times New Roman" w:hAnsi="Times New Roman" w:cs="Times New Roman"/>
          <w:bCs/>
          <w:sz w:val="28"/>
          <w:szCs w:val="28"/>
        </w:rPr>
        <w:t xml:space="preserve"> pay for admissible reimbursable costs</w:t>
      </w:r>
      <w:r w:rsidR="003161DA" w:rsidRPr="008F1F6D">
        <w:rPr>
          <w:rFonts w:ascii="Times New Roman" w:hAnsi="Times New Roman" w:cs="Times New Roman"/>
          <w:bCs/>
          <w:sz w:val="28"/>
          <w:szCs w:val="28"/>
        </w:rPr>
        <w:t xml:space="preserve">. </w:t>
      </w:r>
    </w:p>
    <w:p w14:paraId="562CB5A4" w14:textId="77777777" w:rsidR="006C3312" w:rsidRPr="008F1F6D" w:rsidRDefault="006C3312" w:rsidP="00A648B8">
      <w:pPr>
        <w:pStyle w:val="ListParagraph"/>
        <w:spacing w:after="0" w:line="240" w:lineRule="auto"/>
        <w:ind w:left="0"/>
        <w:contextualSpacing w:val="0"/>
        <w:jc w:val="both"/>
        <w:rPr>
          <w:rFonts w:ascii="Times New Roman" w:hAnsi="Times New Roman" w:cs="Times New Roman"/>
          <w:bCs/>
          <w:sz w:val="28"/>
          <w:szCs w:val="28"/>
        </w:rPr>
      </w:pPr>
    </w:p>
    <w:p w14:paraId="67EAE05B" w14:textId="1A278F17" w:rsidR="00552A29" w:rsidRDefault="00B12872" w:rsidP="0093056E">
      <w:pPr>
        <w:pStyle w:val="ListParagraph"/>
        <w:numPr>
          <w:ilvl w:val="0"/>
          <w:numId w:val="1"/>
        </w:numPr>
        <w:spacing w:after="0" w:line="240" w:lineRule="auto"/>
        <w:contextualSpacing w:val="0"/>
        <w:jc w:val="both"/>
        <w:rPr>
          <w:rFonts w:ascii="Times New Roman" w:hAnsi="Times New Roman" w:cs="Times New Roman"/>
          <w:bCs/>
          <w:sz w:val="28"/>
          <w:szCs w:val="28"/>
        </w:rPr>
      </w:pPr>
      <w:r w:rsidRPr="008F1F6D">
        <w:rPr>
          <w:rFonts w:ascii="Times New Roman" w:hAnsi="Times New Roman" w:cs="Times New Roman"/>
          <w:bCs/>
          <w:sz w:val="28"/>
          <w:szCs w:val="28"/>
        </w:rPr>
        <w:t xml:space="preserve">The nature of the contractual relationship between </w:t>
      </w:r>
      <w:r w:rsidR="008F7BB7" w:rsidRPr="008F1F6D">
        <w:rPr>
          <w:rFonts w:ascii="Times New Roman" w:hAnsi="Times New Roman" w:cs="Times New Roman"/>
          <w:bCs/>
          <w:sz w:val="28"/>
          <w:szCs w:val="28"/>
        </w:rPr>
        <w:t xml:space="preserve">NTE, </w:t>
      </w:r>
      <w:r w:rsidR="00310FE7" w:rsidRPr="008F1F6D">
        <w:rPr>
          <w:rFonts w:ascii="Times New Roman" w:hAnsi="Times New Roman" w:cs="Times New Roman"/>
          <w:bCs/>
          <w:sz w:val="28"/>
          <w:szCs w:val="28"/>
        </w:rPr>
        <w:t xml:space="preserve">ONEC and Northland is however relevant to Liberty’s liability. </w:t>
      </w:r>
      <w:r w:rsidR="008F7BB7" w:rsidRPr="008F1F6D">
        <w:rPr>
          <w:rFonts w:ascii="Times New Roman" w:hAnsi="Times New Roman" w:cs="Times New Roman"/>
          <w:bCs/>
          <w:sz w:val="28"/>
          <w:szCs w:val="28"/>
        </w:rPr>
        <w:t xml:space="preserve">Liberty claims that </w:t>
      </w:r>
      <w:r w:rsidR="00E06CB2" w:rsidRPr="008F1F6D">
        <w:rPr>
          <w:rFonts w:ascii="Times New Roman" w:hAnsi="Times New Roman" w:cs="Times New Roman"/>
          <w:bCs/>
          <w:sz w:val="28"/>
          <w:szCs w:val="28"/>
        </w:rPr>
        <w:t xml:space="preserve">Northland was a party to the Prime Contract, acting in partnership with ONEC. </w:t>
      </w:r>
      <w:r w:rsidR="001D5E1B" w:rsidRPr="008F1F6D">
        <w:rPr>
          <w:rFonts w:ascii="Times New Roman" w:hAnsi="Times New Roman" w:cs="Times New Roman"/>
          <w:bCs/>
          <w:sz w:val="28"/>
          <w:szCs w:val="28"/>
        </w:rPr>
        <w:t xml:space="preserve">It also </w:t>
      </w:r>
      <w:r w:rsidR="00E553CB" w:rsidRPr="008F1F6D">
        <w:rPr>
          <w:rFonts w:ascii="Times New Roman" w:hAnsi="Times New Roman" w:cs="Times New Roman"/>
          <w:bCs/>
          <w:sz w:val="28"/>
          <w:szCs w:val="28"/>
        </w:rPr>
        <w:t xml:space="preserve">notes that the IPD Contract </w:t>
      </w:r>
      <w:r w:rsidR="0094599C" w:rsidRPr="008F1F6D">
        <w:rPr>
          <w:rFonts w:ascii="Times New Roman" w:hAnsi="Times New Roman" w:cs="Times New Roman"/>
          <w:bCs/>
          <w:sz w:val="28"/>
          <w:szCs w:val="28"/>
        </w:rPr>
        <w:t>sets out</w:t>
      </w:r>
      <w:r w:rsidR="00ED3958">
        <w:rPr>
          <w:rFonts w:ascii="Times New Roman" w:hAnsi="Times New Roman" w:cs="Times New Roman"/>
          <w:bCs/>
          <w:sz w:val="28"/>
          <w:szCs w:val="28"/>
        </w:rPr>
        <w:t xml:space="preserve"> that</w:t>
      </w:r>
      <w:r w:rsidR="0094599C" w:rsidRPr="008F1F6D">
        <w:rPr>
          <w:rFonts w:ascii="Times New Roman" w:hAnsi="Times New Roman" w:cs="Times New Roman"/>
          <w:bCs/>
          <w:sz w:val="28"/>
          <w:szCs w:val="28"/>
        </w:rPr>
        <w:t xml:space="preserve"> ONEC and Northland share a common purpose and interest</w:t>
      </w:r>
      <w:r w:rsidR="009C7941" w:rsidRPr="008F1F6D">
        <w:rPr>
          <w:rFonts w:ascii="Times New Roman" w:hAnsi="Times New Roman" w:cs="Times New Roman"/>
          <w:bCs/>
          <w:sz w:val="28"/>
          <w:szCs w:val="28"/>
        </w:rPr>
        <w:t xml:space="preserve"> in the project and </w:t>
      </w:r>
      <w:r w:rsidR="00030D9A" w:rsidRPr="008F1F6D">
        <w:rPr>
          <w:rFonts w:ascii="Times New Roman" w:hAnsi="Times New Roman" w:cs="Times New Roman"/>
          <w:bCs/>
          <w:sz w:val="28"/>
          <w:szCs w:val="28"/>
        </w:rPr>
        <w:t>have equal right of control in the project</w:t>
      </w:r>
      <w:r w:rsidR="009C7941" w:rsidRPr="008F1F6D">
        <w:rPr>
          <w:rFonts w:ascii="Times New Roman" w:hAnsi="Times New Roman" w:cs="Times New Roman"/>
          <w:bCs/>
          <w:sz w:val="28"/>
          <w:szCs w:val="28"/>
        </w:rPr>
        <w:t>.</w:t>
      </w:r>
      <w:r w:rsidR="0093056E" w:rsidRPr="008F1F6D">
        <w:rPr>
          <w:rFonts w:ascii="Times New Roman" w:hAnsi="Times New Roman" w:cs="Times New Roman"/>
          <w:bCs/>
          <w:sz w:val="28"/>
          <w:szCs w:val="28"/>
        </w:rPr>
        <w:t xml:space="preserve"> It highlights that </w:t>
      </w:r>
      <w:r w:rsidR="009C7941" w:rsidRPr="008F1F6D">
        <w:rPr>
          <w:rFonts w:ascii="Times New Roman" w:hAnsi="Times New Roman" w:cs="Times New Roman"/>
          <w:bCs/>
          <w:sz w:val="28"/>
          <w:szCs w:val="28"/>
        </w:rPr>
        <w:t xml:space="preserve">the </w:t>
      </w:r>
      <w:r w:rsidR="00F75609" w:rsidRPr="008F1F6D">
        <w:rPr>
          <w:rFonts w:ascii="Times New Roman" w:hAnsi="Times New Roman" w:cs="Times New Roman"/>
          <w:bCs/>
          <w:sz w:val="28"/>
          <w:szCs w:val="28"/>
        </w:rPr>
        <w:t>IPD C</w:t>
      </w:r>
      <w:r w:rsidR="009C7941" w:rsidRPr="008F1F6D">
        <w:rPr>
          <w:rFonts w:ascii="Times New Roman" w:hAnsi="Times New Roman" w:cs="Times New Roman"/>
          <w:bCs/>
          <w:sz w:val="28"/>
          <w:szCs w:val="28"/>
        </w:rPr>
        <w:t xml:space="preserve">ontract </w:t>
      </w:r>
      <w:r w:rsidR="00030D9A" w:rsidRPr="008F1F6D">
        <w:rPr>
          <w:rFonts w:ascii="Times New Roman" w:hAnsi="Times New Roman" w:cs="Times New Roman"/>
          <w:bCs/>
          <w:sz w:val="28"/>
          <w:szCs w:val="28"/>
        </w:rPr>
        <w:t>creates</w:t>
      </w:r>
      <w:r w:rsidR="00F96FDC" w:rsidRPr="008F1F6D">
        <w:rPr>
          <w:rFonts w:ascii="Times New Roman" w:hAnsi="Times New Roman" w:cs="Times New Roman"/>
          <w:bCs/>
          <w:sz w:val="28"/>
          <w:szCs w:val="28"/>
        </w:rPr>
        <w:t xml:space="preserve"> </w:t>
      </w:r>
      <w:r w:rsidR="00DE74D1">
        <w:rPr>
          <w:rFonts w:ascii="Times New Roman" w:hAnsi="Times New Roman" w:cs="Times New Roman"/>
          <w:bCs/>
          <w:sz w:val="28"/>
          <w:szCs w:val="28"/>
        </w:rPr>
        <w:t xml:space="preserve">a </w:t>
      </w:r>
      <w:r w:rsidR="00F96FDC" w:rsidRPr="00DC376A">
        <w:rPr>
          <w:rFonts w:ascii="Times New Roman" w:hAnsi="Times New Roman" w:cs="Times New Roman"/>
          <w:bCs/>
          <w:sz w:val="28"/>
          <w:szCs w:val="28"/>
        </w:rPr>
        <w:t xml:space="preserve">“risk pool” </w:t>
      </w:r>
      <w:r w:rsidR="00535A3A" w:rsidRPr="00DC376A">
        <w:rPr>
          <w:rFonts w:ascii="Times New Roman" w:hAnsi="Times New Roman" w:cs="Times New Roman"/>
          <w:bCs/>
          <w:sz w:val="28"/>
          <w:szCs w:val="28"/>
        </w:rPr>
        <w:t>condition</w:t>
      </w:r>
      <w:r w:rsidR="00535A3A" w:rsidRPr="008F1F6D">
        <w:rPr>
          <w:rFonts w:ascii="Times New Roman" w:hAnsi="Times New Roman" w:cs="Times New Roman"/>
          <w:bCs/>
          <w:sz w:val="28"/>
          <w:szCs w:val="28"/>
        </w:rPr>
        <w:t xml:space="preserve"> </w:t>
      </w:r>
      <w:r w:rsidR="0093056E" w:rsidRPr="008F1F6D">
        <w:rPr>
          <w:rFonts w:ascii="Times New Roman" w:hAnsi="Times New Roman" w:cs="Times New Roman"/>
          <w:bCs/>
          <w:sz w:val="28"/>
          <w:szCs w:val="28"/>
        </w:rPr>
        <w:t>that indicates</w:t>
      </w:r>
      <w:r w:rsidR="0009324D" w:rsidRPr="008F1F6D">
        <w:rPr>
          <w:rFonts w:ascii="Times New Roman" w:hAnsi="Times New Roman" w:cs="Times New Roman"/>
          <w:bCs/>
          <w:sz w:val="28"/>
          <w:szCs w:val="28"/>
        </w:rPr>
        <w:t xml:space="preserve"> the parties</w:t>
      </w:r>
      <w:r w:rsidR="0093056E" w:rsidRPr="008F1F6D">
        <w:rPr>
          <w:rFonts w:ascii="Times New Roman" w:hAnsi="Times New Roman" w:cs="Times New Roman"/>
          <w:bCs/>
          <w:sz w:val="28"/>
          <w:szCs w:val="28"/>
        </w:rPr>
        <w:t xml:space="preserve"> intend on</w:t>
      </w:r>
      <w:r w:rsidR="0009324D" w:rsidRPr="008F1F6D">
        <w:rPr>
          <w:rFonts w:ascii="Times New Roman" w:hAnsi="Times New Roman" w:cs="Times New Roman"/>
          <w:bCs/>
          <w:sz w:val="28"/>
          <w:szCs w:val="28"/>
        </w:rPr>
        <w:t xml:space="preserve"> sharing </w:t>
      </w:r>
      <w:r w:rsidR="00030D9A" w:rsidRPr="008F1F6D">
        <w:rPr>
          <w:rFonts w:ascii="Times New Roman" w:hAnsi="Times New Roman" w:cs="Times New Roman"/>
          <w:bCs/>
          <w:sz w:val="28"/>
          <w:szCs w:val="28"/>
        </w:rPr>
        <w:t xml:space="preserve">both the profits and any </w:t>
      </w:r>
      <w:r w:rsidR="0093056E" w:rsidRPr="008F1F6D">
        <w:rPr>
          <w:rFonts w:ascii="Times New Roman" w:hAnsi="Times New Roman" w:cs="Times New Roman"/>
          <w:bCs/>
          <w:sz w:val="28"/>
          <w:szCs w:val="28"/>
        </w:rPr>
        <w:t>losses</w:t>
      </w:r>
      <w:r w:rsidR="00030D9A" w:rsidRPr="008F1F6D">
        <w:rPr>
          <w:rFonts w:ascii="Times New Roman" w:hAnsi="Times New Roman" w:cs="Times New Roman"/>
          <w:bCs/>
          <w:sz w:val="28"/>
          <w:szCs w:val="28"/>
        </w:rPr>
        <w:t xml:space="preserve"> of the project. </w:t>
      </w:r>
      <w:r w:rsidR="00BA3FB4" w:rsidRPr="008F1F6D">
        <w:rPr>
          <w:rFonts w:ascii="Times New Roman" w:hAnsi="Times New Roman" w:cs="Times New Roman"/>
          <w:bCs/>
          <w:sz w:val="28"/>
          <w:szCs w:val="28"/>
        </w:rPr>
        <w:t>Liberty</w:t>
      </w:r>
      <w:r w:rsidR="00030D9A" w:rsidRPr="008F1F6D">
        <w:rPr>
          <w:rFonts w:ascii="Times New Roman" w:hAnsi="Times New Roman" w:cs="Times New Roman"/>
          <w:bCs/>
          <w:sz w:val="28"/>
          <w:szCs w:val="28"/>
        </w:rPr>
        <w:t xml:space="preserve"> </w:t>
      </w:r>
      <w:r w:rsidR="00BA3FB4" w:rsidRPr="008F1F6D">
        <w:rPr>
          <w:rFonts w:ascii="Times New Roman" w:hAnsi="Times New Roman" w:cs="Times New Roman"/>
          <w:bCs/>
          <w:sz w:val="28"/>
          <w:szCs w:val="28"/>
        </w:rPr>
        <w:t>argues</w:t>
      </w:r>
      <w:r w:rsidR="00030D9A" w:rsidRPr="008F1F6D">
        <w:rPr>
          <w:rFonts w:ascii="Times New Roman" w:hAnsi="Times New Roman" w:cs="Times New Roman"/>
          <w:bCs/>
          <w:sz w:val="28"/>
          <w:szCs w:val="28"/>
        </w:rPr>
        <w:t xml:space="preserve"> this </w:t>
      </w:r>
      <w:r w:rsidR="00CD3762" w:rsidRPr="008F1F6D">
        <w:rPr>
          <w:rFonts w:ascii="Times New Roman" w:hAnsi="Times New Roman" w:cs="Times New Roman"/>
          <w:bCs/>
          <w:sz w:val="28"/>
          <w:szCs w:val="28"/>
        </w:rPr>
        <w:t xml:space="preserve">creates </w:t>
      </w:r>
      <w:r w:rsidR="008F085C" w:rsidRPr="008F1F6D">
        <w:rPr>
          <w:rFonts w:ascii="Times New Roman" w:hAnsi="Times New Roman" w:cs="Times New Roman"/>
          <w:bCs/>
          <w:sz w:val="28"/>
          <w:szCs w:val="28"/>
        </w:rPr>
        <w:t>a</w:t>
      </w:r>
      <w:r w:rsidR="00CD3762" w:rsidRPr="008F1F6D">
        <w:rPr>
          <w:rFonts w:ascii="Times New Roman" w:hAnsi="Times New Roman" w:cs="Times New Roman"/>
          <w:bCs/>
          <w:sz w:val="28"/>
          <w:szCs w:val="28"/>
        </w:rPr>
        <w:t xml:space="preserve"> contractual relationship between Northland and ONEC </w:t>
      </w:r>
      <w:r w:rsidR="008F085C" w:rsidRPr="008F1F6D">
        <w:rPr>
          <w:rFonts w:ascii="Times New Roman" w:hAnsi="Times New Roman" w:cs="Times New Roman"/>
          <w:bCs/>
          <w:sz w:val="28"/>
          <w:szCs w:val="28"/>
        </w:rPr>
        <w:t xml:space="preserve">that is different </w:t>
      </w:r>
      <w:r w:rsidR="00F06C38">
        <w:rPr>
          <w:rFonts w:ascii="Times New Roman" w:hAnsi="Times New Roman" w:cs="Times New Roman"/>
          <w:bCs/>
          <w:sz w:val="28"/>
          <w:szCs w:val="28"/>
        </w:rPr>
        <w:t>from</w:t>
      </w:r>
      <w:r w:rsidR="00CD3762" w:rsidRPr="008F1F6D">
        <w:rPr>
          <w:rFonts w:ascii="Times New Roman" w:hAnsi="Times New Roman" w:cs="Times New Roman"/>
          <w:bCs/>
          <w:sz w:val="28"/>
          <w:szCs w:val="28"/>
        </w:rPr>
        <w:t xml:space="preserve"> a traditional </w:t>
      </w:r>
      <w:r w:rsidR="00BA3FB4" w:rsidRPr="008F1F6D">
        <w:rPr>
          <w:rFonts w:ascii="Times New Roman" w:hAnsi="Times New Roman" w:cs="Times New Roman"/>
          <w:bCs/>
          <w:sz w:val="28"/>
          <w:szCs w:val="28"/>
        </w:rPr>
        <w:t>subcontract</w:t>
      </w:r>
      <w:r w:rsidR="00CD3762" w:rsidRPr="008F1F6D">
        <w:rPr>
          <w:rFonts w:ascii="Times New Roman" w:hAnsi="Times New Roman" w:cs="Times New Roman"/>
          <w:bCs/>
          <w:sz w:val="28"/>
          <w:szCs w:val="28"/>
        </w:rPr>
        <w:t>.</w:t>
      </w:r>
      <w:r w:rsidR="00E553CB" w:rsidRPr="008F1F6D">
        <w:rPr>
          <w:rFonts w:ascii="Times New Roman" w:hAnsi="Times New Roman" w:cs="Times New Roman"/>
          <w:bCs/>
          <w:sz w:val="28"/>
          <w:szCs w:val="28"/>
        </w:rPr>
        <w:t xml:space="preserve"> </w:t>
      </w:r>
      <w:r w:rsidR="00E06CB2" w:rsidRPr="008F1F6D">
        <w:rPr>
          <w:rFonts w:ascii="Times New Roman" w:hAnsi="Times New Roman" w:cs="Times New Roman"/>
          <w:bCs/>
          <w:sz w:val="28"/>
          <w:szCs w:val="28"/>
        </w:rPr>
        <w:t xml:space="preserve">As a result, it </w:t>
      </w:r>
      <w:r w:rsidR="00A271D4" w:rsidRPr="008F1F6D">
        <w:rPr>
          <w:rFonts w:ascii="Times New Roman" w:hAnsi="Times New Roman" w:cs="Times New Roman"/>
          <w:bCs/>
          <w:sz w:val="28"/>
          <w:szCs w:val="28"/>
        </w:rPr>
        <w:t>submits</w:t>
      </w:r>
      <w:r w:rsidR="00E06CB2" w:rsidRPr="008F1F6D">
        <w:rPr>
          <w:rFonts w:ascii="Times New Roman" w:hAnsi="Times New Roman" w:cs="Times New Roman"/>
          <w:bCs/>
          <w:sz w:val="28"/>
          <w:szCs w:val="28"/>
        </w:rPr>
        <w:t xml:space="preserve"> that Northland does not qualify as a claimant under the Bond. </w:t>
      </w:r>
      <w:r w:rsidR="00FF1E1D" w:rsidRPr="008F1F6D">
        <w:rPr>
          <w:rFonts w:ascii="Times New Roman" w:hAnsi="Times New Roman" w:cs="Times New Roman"/>
          <w:bCs/>
          <w:sz w:val="28"/>
          <w:szCs w:val="28"/>
        </w:rPr>
        <w:t>Both Northland an</w:t>
      </w:r>
      <w:r w:rsidR="00FF1E1D" w:rsidRPr="0093056E">
        <w:rPr>
          <w:rFonts w:ascii="Times New Roman" w:hAnsi="Times New Roman" w:cs="Times New Roman"/>
          <w:bCs/>
          <w:sz w:val="28"/>
          <w:szCs w:val="28"/>
        </w:rPr>
        <w:t xml:space="preserve">d NTE take the position that Northland was not a party to the Prime Contract but rather a subcontractor. </w:t>
      </w:r>
      <w:r w:rsidR="00C17A0C" w:rsidRPr="0093056E">
        <w:rPr>
          <w:rFonts w:ascii="Times New Roman" w:hAnsi="Times New Roman" w:cs="Times New Roman"/>
          <w:bCs/>
          <w:sz w:val="28"/>
          <w:szCs w:val="28"/>
        </w:rPr>
        <w:t xml:space="preserve">Northland also submits that irrespective of the label </w:t>
      </w:r>
      <w:r w:rsidR="001A22B2" w:rsidRPr="0093056E">
        <w:rPr>
          <w:rFonts w:ascii="Times New Roman" w:hAnsi="Times New Roman" w:cs="Times New Roman"/>
          <w:bCs/>
          <w:sz w:val="28"/>
          <w:szCs w:val="28"/>
        </w:rPr>
        <w:t xml:space="preserve">attached to the IPD Contract, </w:t>
      </w:r>
      <w:r w:rsidR="00B265C4" w:rsidRPr="0093056E">
        <w:rPr>
          <w:rFonts w:ascii="Times New Roman" w:hAnsi="Times New Roman" w:cs="Times New Roman"/>
          <w:bCs/>
          <w:sz w:val="28"/>
          <w:szCs w:val="28"/>
        </w:rPr>
        <w:t>Northland</w:t>
      </w:r>
      <w:r w:rsidR="001A22B2" w:rsidRPr="0093056E">
        <w:rPr>
          <w:rFonts w:ascii="Times New Roman" w:hAnsi="Times New Roman" w:cs="Times New Roman"/>
          <w:bCs/>
          <w:sz w:val="28"/>
          <w:szCs w:val="28"/>
        </w:rPr>
        <w:t xml:space="preserve"> falls within the definition of claimant under the Bond. </w:t>
      </w:r>
    </w:p>
    <w:p w14:paraId="18FBA815" w14:textId="77777777" w:rsidR="003C2F55" w:rsidRPr="003C2F55" w:rsidRDefault="003C2F55" w:rsidP="003C2F55">
      <w:pPr>
        <w:pStyle w:val="ListParagraph"/>
        <w:rPr>
          <w:rFonts w:ascii="Times New Roman" w:hAnsi="Times New Roman" w:cs="Times New Roman"/>
          <w:bCs/>
          <w:sz w:val="28"/>
          <w:szCs w:val="28"/>
        </w:rPr>
      </w:pPr>
    </w:p>
    <w:p w14:paraId="18A194F0" w14:textId="60F0C4AF" w:rsidR="003C2F55" w:rsidRDefault="003C2F55" w:rsidP="003C2F55">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Bond defines </w:t>
      </w:r>
      <w:r w:rsidR="000F4DFF">
        <w:rPr>
          <w:rFonts w:ascii="Times New Roman" w:hAnsi="Times New Roman" w:cs="Times New Roman"/>
          <w:bCs/>
          <w:sz w:val="28"/>
          <w:szCs w:val="28"/>
        </w:rPr>
        <w:t xml:space="preserve">a </w:t>
      </w:r>
      <w:r>
        <w:rPr>
          <w:rFonts w:ascii="Times New Roman" w:hAnsi="Times New Roman" w:cs="Times New Roman"/>
          <w:bCs/>
          <w:sz w:val="28"/>
          <w:szCs w:val="28"/>
        </w:rPr>
        <w:t>claimant in the following way:</w:t>
      </w:r>
    </w:p>
    <w:p w14:paraId="09DB872B" w14:textId="77777777" w:rsidR="003C2F55" w:rsidRPr="003D6799" w:rsidRDefault="003C2F55" w:rsidP="003C2F55">
      <w:pPr>
        <w:pStyle w:val="ListParagraph"/>
        <w:rPr>
          <w:rFonts w:ascii="Times New Roman" w:hAnsi="Times New Roman" w:cs="Times New Roman"/>
          <w:bCs/>
          <w:sz w:val="24"/>
          <w:szCs w:val="24"/>
        </w:rPr>
      </w:pPr>
    </w:p>
    <w:p w14:paraId="45DD3724" w14:textId="7A805BE5" w:rsidR="003C2F55" w:rsidRPr="003D6799" w:rsidRDefault="003C2F55" w:rsidP="003C2F55">
      <w:pPr>
        <w:pStyle w:val="ListParagraph"/>
        <w:spacing w:after="0" w:line="240" w:lineRule="auto"/>
        <w:ind w:left="1134" w:right="1134"/>
        <w:contextualSpacing w:val="0"/>
        <w:jc w:val="both"/>
        <w:rPr>
          <w:rFonts w:ascii="Times New Roman" w:hAnsi="Times New Roman" w:cs="Times New Roman"/>
          <w:bCs/>
          <w:sz w:val="24"/>
          <w:szCs w:val="24"/>
        </w:rPr>
      </w:pPr>
      <w:r w:rsidRPr="00EB5CAF">
        <w:rPr>
          <w:rFonts w:ascii="Times New Roman" w:hAnsi="Times New Roman" w:cs="Times New Roman"/>
          <w:bCs/>
          <w:sz w:val="24"/>
          <w:szCs w:val="24"/>
        </w:rPr>
        <w:t>A Claimant for the purpose of this Bond is defined as one having a direct contract with the Principal for labour, materia</w:t>
      </w:r>
      <w:r w:rsidR="006C708A" w:rsidRPr="00EB5CAF">
        <w:rPr>
          <w:rFonts w:ascii="Times New Roman" w:hAnsi="Times New Roman" w:cs="Times New Roman"/>
          <w:bCs/>
          <w:sz w:val="24"/>
          <w:szCs w:val="24"/>
        </w:rPr>
        <w:t>l, or both, used or reasonably required for use in the performance</w:t>
      </w:r>
      <w:r w:rsidR="00F0420F" w:rsidRPr="00EB5CAF">
        <w:rPr>
          <w:rFonts w:ascii="Times New Roman" w:hAnsi="Times New Roman" w:cs="Times New Roman"/>
          <w:bCs/>
          <w:sz w:val="24"/>
          <w:szCs w:val="24"/>
        </w:rPr>
        <w:t xml:space="preserve"> of the Contract, labour and material being construed to include that part of water, gas, power, light, heat, oil, gasoline, telephone service or </w:t>
      </w:r>
      <w:r w:rsidR="00FF178C" w:rsidRPr="00EB5CAF">
        <w:rPr>
          <w:rFonts w:ascii="Times New Roman" w:hAnsi="Times New Roman" w:cs="Times New Roman"/>
          <w:bCs/>
          <w:sz w:val="24"/>
          <w:szCs w:val="24"/>
        </w:rPr>
        <w:t>rental</w:t>
      </w:r>
      <w:r w:rsidR="00F0420F" w:rsidRPr="00EB5CAF">
        <w:rPr>
          <w:rFonts w:ascii="Times New Roman" w:hAnsi="Times New Roman" w:cs="Times New Roman"/>
          <w:bCs/>
          <w:sz w:val="24"/>
          <w:szCs w:val="24"/>
        </w:rPr>
        <w:t xml:space="preserve"> </w:t>
      </w:r>
      <w:r w:rsidR="00FF178C" w:rsidRPr="00EB5CAF">
        <w:rPr>
          <w:rFonts w:ascii="Times New Roman" w:hAnsi="Times New Roman" w:cs="Times New Roman"/>
          <w:bCs/>
          <w:sz w:val="24"/>
          <w:szCs w:val="24"/>
        </w:rPr>
        <w:t>equipment directly applicable to the Contract provided that a person, firm, corporation who rents the equipment</w:t>
      </w:r>
      <w:r w:rsidR="003261C5" w:rsidRPr="00EB5CAF">
        <w:rPr>
          <w:rFonts w:ascii="Times New Roman" w:hAnsi="Times New Roman" w:cs="Times New Roman"/>
          <w:bCs/>
          <w:sz w:val="24"/>
          <w:szCs w:val="24"/>
        </w:rPr>
        <w:t xml:space="preserve"> to the Principal to be used in the performance of the Contract under a contract which provides that all or</w:t>
      </w:r>
      <w:r w:rsidR="000519DE" w:rsidRPr="00EB5CAF">
        <w:rPr>
          <w:rFonts w:ascii="Times New Roman" w:hAnsi="Times New Roman" w:cs="Times New Roman"/>
          <w:bCs/>
          <w:sz w:val="24"/>
          <w:szCs w:val="24"/>
        </w:rPr>
        <w:t xml:space="preserve"> any part of the rent is to be applied towards the purchase price thereof, shall only be a Claimant to the extent of the prevailing industrial rental value of such equipment</w:t>
      </w:r>
      <w:r w:rsidR="00C62AB0" w:rsidRPr="00EB5CAF">
        <w:rPr>
          <w:rFonts w:ascii="Times New Roman" w:hAnsi="Times New Roman" w:cs="Times New Roman"/>
          <w:bCs/>
          <w:sz w:val="24"/>
          <w:szCs w:val="24"/>
        </w:rPr>
        <w:t xml:space="preserve"> for the period during which the equipment was used in the performance of the Contract</w:t>
      </w:r>
      <w:r w:rsidR="00611E32" w:rsidRPr="00EB5CAF">
        <w:rPr>
          <w:rFonts w:ascii="Times New Roman" w:hAnsi="Times New Roman" w:cs="Times New Roman"/>
          <w:bCs/>
          <w:sz w:val="24"/>
          <w:szCs w:val="24"/>
        </w:rPr>
        <w:t>.</w:t>
      </w:r>
    </w:p>
    <w:p w14:paraId="3C1E6E40" w14:textId="3259E205" w:rsidR="00C3290C" w:rsidRDefault="00B91152" w:rsidP="00EE4D2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Court</w:t>
      </w:r>
      <w:r w:rsidR="00DA2648">
        <w:rPr>
          <w:rFonts w:ascii="Times New Roman" w:hAnsi="Times New Roman" w:cs="Times New Roman"/>
          <w:bCs/>
          <w:sz w:val="28"/>
          <w:szCs w:val="28"/>
        </w:rPr>
        <w:t>s</w:t>
      </w:r>
      <w:r>
        <w:rPr>
          <w:rFonts w:ascii="Times New Roman" w:hAnsi="Times New Roman" w:cs="Times New Roman"/>
          <w:bCs/>
          <w:sz w:val="28"/>
          <w:szCs w:val="28"/>
        </w:rPr>
        <w:t xml:space="preserve"> must adopt a common-sense approach to the </w:t>
      </w:r>
      <w:r w:rsidR="00D649E0">
        <w:rPr>
          <w:rFonts w:ascii="Times New Roman" w:hAnsi="Times New Roman" w:cs="Times New Roman"/>
          <w:bCs/>
          <w:sz w:val="28"/>
          <w:szCs w:val="28"/>
        </w:rPr>
        <w:t xml:space="preserve">interpretation of contracts. The </w:t>
      </w:r>
      <w:r w:rsidR="005E2FD5">
        <w:rPr>
          <w:rFonts w:ascii="Times New Roman" w:hAnsi="Times New Roman" w:cs="Times New Roman"/>
          <w:bCs/>
          <w:sz w:val="28"/>
          <w:szCs w:val="28"/>
        </w:rPr>
        <w:t>focus</w:t>
      </w:r>
      <w:r w:rsidR="00D649E0">
        <w:rPr>
          <w:rFonts w:ascii="Times New Roman" w:hAnsi="Times New Roman" w:cs="Times New Roman"/>
          <w:bCs/>
          <w:sz w:val="28"/>
          <w:szCs w:val="28"/>
        </w:rPr>
        <w:t xml:space="preserve"> of th</w:t>
      </w:r>
      <w:r w:rsidR="005E2FD5">
        <w:rPr>
          <w:rFonts w:ascii="Times New Roman" w:hAnsi="Times New Roman" w:cs="Times New Roman"/>
          <w:bCs/>
          <w:sz w:val="28"/>
          <w:szCs w:val="28"/>
        </w:rPr>
        <w:t>is</w:t>
      </w:r>
      <w:r w:rsidR="00D649E0">
        <w:rPr>
          <w:rFonts w:ascii="Times New Roman" w:hAnsi="Times New Roman" w:cs="Times New Roman"/>
          <w:bCs/>
          <w:sz w:val="28"/>
          <w:szCs w:val="28"/>
        </w:rPr>
        <w:t xml:space="preserve"> exercise is to determine </w:t>
      </w:r>
      <w:r w:rsidR="005B2E10">
        <w:rPr>
          <w:rFonts w:ascii="Times New Roman" w:hAnsi="Times New Roman" w:cs="Times New Roman"/>
          <w:bCs/>
          <w:sz w:val="28"/>
          <w:szCs w:val="28"/>
        </w:rPr>
        <w:t xml:space="preserve">“the intent of the parties and the scope of their understanding”. As stated in </w:t>
      </w:r>
      <w:r w:rsidR="00DA2648" w:rsidRPr="00DA2648">
        <w:rPr>
          <w:rFonts w:ascii="Times New Roman" w:hAnsi="Times New Roman" w:cs="Times New Roman"/>
          <w:bCs/>
          <w:i/>
          <w:iCs/>
          <w:sz w:val="28"/>
          <w:szCs w:val="28"/>
        </w:rPr>
        <w:t xml:space="preserve">Sattva Capital Corp v Creston Moly Corp, </w:t>
      </w:r>
      <w:r w:rsidR="00DA2648" w:rsidRPr="00DA2648">
        <w:rPr>
          <w:rFonts w:ascii="Times New Roman" w:hAnsi="Times New Roman" w:cs="Times New Roman"/>
          <w:bCs/>
          <w:sz w:val="28"/>
          <w:szCs w:val="28"/>
        </w:rPr>
        <w:t>2014 SCC 53</w:t>
      </w:r>
      <w:r w:rsidR="003B4383">
        <w:rPr>
          <w:rFonts w:ascii="Times New Roman" w:hAnsi="Times New Roman" w:cs="Times New Roman"/>
          <w:bCs/>
          <w:sz w:val="28"/>
          <w:szCs w:val="28"/>
        </w:rPr>
        <w:t xml:space="preserve"> at para 47 [</w:t>
      </w:r>
      <w:r w:rsidR="003B4383" w:rsidRPr="003B4383">
        <w:rPr>
          <w:rFonts w:ascii="Times New Roman" w:hAnsi="Times New Roman" w:cs="Times New Roman"/>
          <w:bCs/>
          <w:i/>
          <w:iCs/>
          <w:sz w:val="28"/>
          <w:szCs w:val="28"/>
        </w:rPr>
        <w:t>Sattva</w:t>
      </w:r>
      <w:r w:rsidR="003B4383">
        <w:rPr>
          <w:rFonts w:ascii="Times New Roman" w:hAnsi="Times New Roman" w:cs="Times New Roman"/>
          <w:bCs/>
          <w:sz w:val="28"/>
          <w:szCs w:val="28"/>
        </w:rPr>
        <w:t>]</w:t>
      </w:r>
      <w:r w:rsidR="005B2E10" w:rsidRPr="00DA2648">
        <w:rPr>
          <w:rFonts w:ascii="Times New Roman" w:hAnsi="Times New Roman" w:cs="Times New Roman"/>
          <w:bCs/>
          <w:sz w:val="28"/>
          <w:szCs w:val="28"/>
        </w:rPr>
        <w:t xml:space="preserve">: “[t]o </w:t>
      </w:r>
      <w:proofErr w:type="gramStart"/>
      <w:r w:rsidR="005B2E10" w:rsidRPr="00DA2648">
        <w:rPr>
          <w:rFonts w:ascii="Times New Roman" w:hAnsi="Times New Roman" w:cs="Times New Roman"/>
          <w:bCs/>
          <w:sz w:val="28"/>
          <w:szCs w:val="28"/>
        </w:rPr>
        <w:t>do</w:t>
      </w:r>
      <w:proofErr w:type="gramEnd"/>
      <w:r w:rsidR="005B2E10" w:rsidRPr="00DA2648">
        <w:rPr>
          <w:rFonts w:ascii="Times New Roman" w:hAnsi="Times New Roman" w:cs="Times New Roman"/>
          <w:bCs/>
          <w:sz w:val="28"/>
          <w:szCs w:val="28"/>
        </w:rPr>
        <w:t xml:space="preserve"> so, a decision-maker must read the contract as a whole, giving the words used their ordinary and grammatical meaning, consistent with the surrounding circumstances known to the parties at the time of formation of the contract”</w:t>
      </w:r>
      <w:r w:rsidR="003B4383">
        <w:rPr>
          <w:rFonts w:ascii="Times New Roman" w:hAnsi="Times New Roman" w:cs="Times New Roman"/>
          <w:bCs/>
          <w:sz w:val="28"/>
          <w:szCs w:val="28"/>
        </w:rPr>
        <w:t xml:space="preserve">. </w:t>
      </w:r>
      <w:r w:rsidR="00F05430" w:rsidRPr="00DA2648">
        <w:rPr>
          <w:rFonts w:ascii="Times New Roman" w:hAnsi="Times New Roman" w:cs="Times New Roman"/>
          <w:bCs/>
          <w:sz w:val="28"/>
          <w:szCs w:val="28"/>
        </w:rPr>
        <w:t xml:space="preserve">Recognizing that words can have a different meaning depending on the </w:t>
      </w:r>
      <w:r w:rsidR="00993AF3" w:rsidRPr="00DA2648">
        <w:rPr>
          <w:rFonts w:ascii="Times New Roman" w:hAnsi="Times New Roman" w:cs="Times New Roman"/>
          <w:bCs/>
          <w:sz w:val="28"/>
          <w:szCs w:val="28"/>
        </w:rPr>
        <w:t>circumstances</w:t>
      </w:r>
      <w:r w:rsidR="00F05430" w:rsidRPr="00DA2648">
        <w:rPr>
          <w:rFonts w:ascii="Times New Roman" w:hAnsi="Times New Roman" w:cs="Times New Roman"/>
          <w:bCs/>
          <w:sz w:val="28"/>
          <w:szCs w:val="28"/>
        </w:rPr>
        <w:t xml:space="preserve">, </w:t>
      </w:r>
      <w:r w:rsidR="00C855DC" w:rsidRPr="00DA2648">
        <w:rPr>
          <w:rFonts w:ascii="Times New Roman" w:hAnsi="Times New Roman" w:cs="Times New Roman"/>
          <w:bCs/>
          <w:sz w:val="28"/>
          <w:szCs w:val="28"/>
        </w:rPr>
        <w:t xml:space="preserve">the </w:t>
      </w:r>
      <w:r w:rsidR="00D0035F" w:rsidRPr="00DA2648">
        <w:rPr>
          <w:rFonts w:ascii="Times New Roman" w:hAnsi="Times New Roman" w:cs="Times New Roman"/>
          <w:bCs/>
          <w:sz w:val="28"/>
          <w:szCs w:val="28"/>
        </w:rPr>
        <w:t>con</w:t>
      </w:r>
      <w:r w:rsidR="00C855DC" w:rsidRPr="00DA2648">
        <w:rPr>
          <w:rFonts w:ascii="Times New Roman" w:hAnsi="Times New Roman" w:cs="Times New Roman"/>
          <w:bCs/>
          <w:sz w:val="28"/>
          <w:szCs w:val="28"/>
        </w:rPr>
        <w:t xml:space="preserve">text in which </w:t>
      </w:r>
      <w:r w:rsidR="00B0677F" w:rsidRPr="00DA2648">
        <w:rPr>
          <w:rFonts w:ascii="Times New Roman" w:hAnsi="Times New Roman" w:cs="Times New Roman"/>
          <w:bCs/>
          <w:sz w:val="28"/>
          <w:szCs w:val="28"/>
        </w:rPr>
        <w:t>the contract</w:t>
      </w:r>
      <w:r w:rsidR="00041E42" w:rsidRPr="00DA2648">
        <w:rPr>
          <w:rFonts w:ascii="Times New Roman" w:hAnsi="Times New Roman" w:cs="Times New Roman"/>
          <w:bCs/>
          <w:sz w:val="28"/>
          <w:szCs w:val="28"/>
        </w:rPr>
        <w:t xml:space="preserve"> was formed is important</w:t>
      </w:r>
      <w:r w:rsidR="00E97177" w:rsidRPr="00DA2648">
        <w:rPr>
          <w:rFonts w:ascii="Times New Roman" w:hAnsi="Times New Roman" w:cs="Times New Roman"/>
          <w:bCs/>
          <w:sz w:val="28"/>
          <w:szCs w:val="28"/>
        </w:rPr>
        <w:t xml:space="preserve"> (</w:t>
      </w:r>
      <w:r w:rsidR="003B4383" w:rsidRPr="003B4383">
        <w:rPr>
          <w:rFonts w:ascii="Times New Roman" w:hAnsi="Times New Roman" w:cs="Times New Roman"/>
          <w:bCs/>
          <w:i/>
          <w:iCs/>
          <w:sz w:val="28"/>
          <w:szCs w:val="28"/>
        </w:rPr>
        <w:t>Sattva</w:t>
      </w:r>
      <w:r w:rsidR="003B4383">
        <w:rPr>
          <w:rFonts w:ascii="Times New Roman" w:hAnsi="Times New Roman" w:cs="Times New Roman"/>
          <w:bCs/>
          <w:sz w:val="28"/>
          <w:szCs w:val="28"/>
        </w:rPr>
        <w:t xml:space="preserve">, </w:t>
      </w:r>
      <w:r w:rsidR="00E97177" w:rsidRPr="00DA2648">
        <w:rPr>
          <w:rFonts w:ascii="Times New Roman" w:hAnsi="Times New Roman" w:cs="Times New Roman"/>
          <w:bCs/>
          <w:sz w:val="28"/>
          <w:szCs w:val="28"/>
        </w:rPr>
        <w:t>para 48)</w:t>
      </w:r>
      <w:r w:rsidR="00041E42" w:rsidRPr="00DA2648">
        <w:rPr>
          <w:rFonts w:ascii="Times New Roman" w:hAnsi="Times New Roman" w:cs="Times New Roman"/>
          <w:bCs/>
          <w:sz w:val="28"/>
          <w:szCs w:val="28"/>
        </w:rPr>
        <w:t xml:space="preserve">. </w:t>
      </w:r>
      <w:r w:rsidR="00B0677F" w:rsidRPr="00DA2648">
        <w:rPr>
          <w:rFonts w:ascii="Times New Roman" w:hAnsi="Times New Roman" w:cs="Times New Roman"/>
          <w:bCs/>
          <w:sz w:val="28"/>
          <w:szCs w:val="28"/>
        </w:rPr>
        <w:t>The intent of the parties must be assessed objective</w:t>
      </w:r>
      <w:r w:rsidR="00414CF8">
        <w:rPr>
          <w:rFonts w:ascii="Times New Roman" w:hAnsi="Times New Roman" w:cs="Times New Roman"/>
          <w:bCs/>
          <w:sz w:val="28"/>
          <w:szCs w:val="28"/>
        </w:rPr>
        <w:t>ly</w:t>
      </w:r>
      <w:r w:rsidR="00E30216">
        <w:rPr>
          <w:rFonts w:ascii="Times New Roman" w:hAnsi="Times New Roman" w:cs="Times New Roman"/>
          <w:bCs/>
          <w:sz w:val="28"/>
          <w:szCs w:val="28"/>
        </w:rPr>
        <w:t>,</w:t>
      </w:r>
      <w:r w:rsidR="000C66B2" w:rsidRPr="00DA2648">
        <w:rPr>
          <w:rFonts w:ascii="Times New Roman" w:hAnsi="Times New Roman" w:cs="Times New Roman"/>
          <w:bCs/>
          <w:sz w:val="28"/>
          <w:szCs w:val="28"/>
        </w:rPr>
        <w:t xml:space="preserve"> </w:t>
      </w:r>
      <w:r w:rsidR="00414CF8">
        <w:rPr>
          <w:rFonts w:ascii="Times New Roman" w:hAnsi="Times New Roman" w:cs="Times New Roman"/>
          <w:bCs/>
          <w:sz w:val="28"/>
          <w:szCs w:val="28"/>
        </w:rPr>
        <w:t>approaching</w:t>
      </w:r>
      <w:r w:rsidR="00E947D6" w:rsidRPr="00DA2648">
        <w:rPr>
          <w:rFonts w:ascii="Times New Roman" w:hAnsi="Times New Roman" w:cs="Times New Roman"/>
          <w:bCs/>
          <w:sz w:val="28"/>
          <w:szCs w:val="28"/>
        </w:rPr>
        <w:t xml:space="preserve"> this issue by </w:t>
      </w:r>
      <w:r w:rsidR="00533BD8" w:rsidRPr="00DA2648">
        <w:rPr>
          <w:rFonts w:ascii="Times New Roman" w:hAnsi="Times New Roman" w:cs="Times New Roman"/>
          <w:bCs/>
          <w:sz w:val="28"/>
          <w:szCs w:val="28"/>
        </w:rPr>
        <w:t>“</w:t>
      </w:r>
      <w:r w:rsidR="00E947D6" w:rsidRPr="00DA2648">
        <w:rPr>
          <w:rFonts w:ascii="Times New Roman" w:hAnsi="Times New Roman" w:cs="Times New Roman"/>
          <w:bCs/>
          <w:sz w:val="28"/>
          <w:szCs w:val="28"/>
        </w:rPr>
        <w:t>considering the</w:t>
      </w:r>
      <w:r w:rsidR="00533BD8" w:rsidRPr="00DA2648">
        <w:rPr>
          <w:rFonts w:ascii="Times New Roman" w:hAnsi="Times New Roman" w:cs="Times New Roman"/>
          <w:bCs/>
          <w:sz w:val="28"/>
          <w:szCs w:val="28"/>
        </w:rPr>
        <w:t xml:space="preserve"> factual matrix, </w:t>
      </w:r>
      <w:r w:rsidR="00E30216">
        <w:rPr>
          <w:rFonts w:ascii="Times New Roman" w:hAnsi="Times New Roman" w:cs="Times New Roman"/>
          <w:bCs/>
          <w:sz w:val="28"/>
          <w:szCs w:val="28"/>
        </w:rPr>
        <w:t>‘</w:t>
      </w:r>
      <w:r w:rsidR="00533BD8" w:rsidRPr="00DA2648">
        <w:rPr>
          <w:rFonts w:ascii="Times New Roman" w:hAnsi="Times New Roman" w:cs="Times New Roman"/>
          <w:bCs/>
          <w:sz w:val="28"/>
          <w:szCs w:val="28"/>
        </w:rPr>
        <w:t>other than the subjective intention of the parties, through the lens of an objective reasonable bystander</w:t>
      </w:r>
      <w:r w:rsidR="00E30216">
        <w:rPr>
          <w:rFonts w:ascii="Times New Roman" w:hAnsi="Times New Roman" w:cs="Times New Roman"/>
          <w:bCs/>
          <w:sz w:val="28"/>
          <w:szCs w:val="28"/>
        </w:rPr>
        <w:t>’</w:t>
      </w:r>
      <w:r w:rsidR="00533BD8" w:rsidRPr="00DA2648">
        <w:rPr>
          <w:rFonts w:ascii="Times New Roman" w:hAnsi="Times New Roman" w:cs="Times New Roman"/>
          <w:bCs/>
          <w:sz w:val="28"/>
          <w:szCs w:val="28"/>
        </w:rPr>
        <w:t xml:space="preserve"> to determine the nature of the agreement” (</w:t>
      </w:r>
      <w:proofErr w:type="spellStart"/>
      <w:r w:rsidR="00FD7C77" w:rsidRPr="00DA2648">
        <w:rPr>
          <w:rFonts w:ascii="Times New Roman" w:hAnsi="Times New Roman" w:cs="Times New Roman"/>
          <w:bCs/>
          <w:i/>
          <w:iCs/>
          <w:sz w:val="28"/>
          <w:szCs w:val="28"/>
        </w:rPr>
        <w:t>Schrof</w:t>
      </w:r>
      <w:proofErr w:type="spellEnd"/>
      <w:r w:rsidR="00FD7C77" w:rsidRPr="00DA2648">
        <w:rPr>
          <w:rFonts w:ascii="Times New Roman" w:hAnsi="Times New Roman" w:cs="Times New Roman"/>
          <w:bCs/>
          <w:sz w:val="28"/>
          <w:szCs w:val="28"/>
        </w:rPr>
        <w:t xml:space="preserve"> </w:t>
      </w:r>
      <w:r w:rsidR="00FD7C77" w:rsidRPr="000B7817">
        <w:rPr>
          <w:rFonts w:ascii="Times New Roman" w:hAnsi="Times New Roman" w:cs="Times New Roman"/>
          <w:bCs/>
          <w:i/>
          <w:iCs/>
          <w:sz w:val="28"/>
          <w:szCs w:val="28"/>
        </w:rPr>
        <w:t>v</w:t>
      </w:r>
      <w:r w:rsidR="00FD7C77" w:rsidRPr="00DA2648">
        <w:rPr>
          <w:rFonts w:ascii="Times New Roman" w:hAnsi="Times New Roman" w:cs="Times New Roman"/>
          <w:bCs/>
          <w:sz w:val="28"/>
          <w:szCs w:val="28"/>
        </w:rPr>
        <w:t xml:space="preserve"> </w:t>
      </w:r>
      <w:proofErr w:type="spellStart"/>
      <w:r w:rsidR="00FD7C77" w:rsidRPr="00DA2648">
        <w:rPr>
          <w:rFonts w:ascii="Times New Roman" w:hAnsi="Times New Roman" w:cs="Times New Roman"/>
          <w:bCs/>
          <w:i/>
          <w:iCs/>
          <w:sz w:val="28"/>
          <w:szCs w:val="28"/>
        </w:rPr>
        <w:t>Schrof</w:t>
      </w:r>
      <w:proofErr w:type="spellEnd"/>
      <w:r w:rsidR="00FD7C77" w:rsidRPr="00DA2648">
        <w:rPr>
          <w:rFonts w:ascii="Times New Roman" w:hAnsi="Times New Roman" w:cs="Times New Roman"/>
          <w:bCs/>
          <w:sz w:val="28"/>
          <w:szCs w:val="28"/>
        </w:rPr>
        <w:t>, 2025 MBCA 49, para 1</w:t>
      </w:r>
      <w:r w:rsidR="00E30216">
        <w:rPr>
          <w:rFonts w:ascii="Times New Roman" w:hAnsi="Times New Roman" w:cs="Times New Roman"/>
          <w:bCs/>
          <w:sz w:val="28"/>
          <w:szCs w:val="28"/>
        </w:rPr>
        <w:t>5</w:t>
      </w:r>
      <w:r w:rsidR="00FD7C77" w:rsidRPr="00DA2648">
        <w:rPr>
          <w:rFonts w:ascii="Times New Roman" w:hAnsi="Times New Roman" w:cs="Times New Roman"/>
          <w:bCs/>
          <w:sz w:val="28"/>
          <w:szCs w:val="28"/>
        </w:rPr>
        <w:t xml:space="preserve">). </w:t>
      </w:r>
    </w:p>
    <w:p w14:paraId="02238589" w14:textId="77777777" w:rsidR="00C3290C" w:rsidRDefault="00C3290C" w:rsidP="00C3290C">
      <w:pPr>
        <w:pStyle w:val="ListParagraph"/>
        <w:spacing w:after="0" w:line="240" w:lineRule="auto"/>
        <w:ind w:left="0"/>
        <w:jc w:val="both"/>
        <w:rPr>
          <w:rFonts w:ascii="Times New Roman" w:hAnsi="Times New Roman" w:cs="Times New Roman"/>
          <w:bCs/>
          <w:sz w:val="28"/>
          <w:szCs w:val="28"/>
        </w:rPr>
      </w:pPr>
    </w:p>
    <w:p w14:paraId="564274FC" w14:textId="76785A0C" w:rsidR="007A5373" w:rsidRDefault="000A4CC9" w:rsidP="00EE4D2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In considering the interpretation of provisions of a contract, “</w:t>
      </w:r>
      <w:r w:rsidR="00995E2B" w:rsidRPr="00995E2B">
        <w:rPr>
          <w:rFonts w:ascii="Times New Roman" w:hAnsi="Times New Roman" w:cs="Times New Roman"/>
          <w:bCs/>
          <w:sz w:val="28"/>
          <w:szCs w:val="28"/>
        </w:rPr>
        <w:t>one provision must not be read in isolation but should be considered in harmony with the rest of the contract and in light of its purposes and commercial context</w:t>
      </w:r>
      <w:r>
        <w:rPr>
          <w:rFonts w:ascii="Times New Roman" w:hAnsi="Times New Roman" w:cs="Times New Roman"/>
          <w:bCs/>
          <w:sz w:val="28"/>
          <w:szCs w:val="28"/>
        </w:rPr>
        <w:t>”</w:t>
      </w:r>
      <w:r w:rsidR="00EE4D2C">
        <w:rPr>
          <w:rFonts w:ascii="Times New Roman" w:hAnsi="Times New Roman" w:cs="Times New Roman"/>
          <w:bCs/>
          <w:sz w:val="28"/>
          <w:szCs w:val="28"/>
        </w:rPr>
        <w:t xml:space="preserve"> </w:t>
      </w:r>
      <w:r>
        <w:rPr>
          <w:rFonts w:ascii="Times New Roman" w:hAnsi="Times New Roman" w:cs="Times New Roman"/>
          <w:bCs/>
          <w:sz w:val="28"/>
          <w:szCs w:val="28"/>
        </w:rPr>
        <w:t>(</w:t>
      </w:r>
      <w:proofErr w:type="spellStart"/>
      <w:r w:rsidR="00EE4D2C" w:rsidRPr="00EE4D2C">
        <w:rPr>
          <w:rFonts w:ascii="Times New Roman" w:hAnsi="Times New Roman" w:cs="Times New Roman"/>
          <w:bCs/>
          <w:i/>
          <w:iCs/>
          <w:sz w:val="28"/>
          <w:szCs w:val="28"/>
        </w:rPr>
        <w:t>Tercon</w:t>
      </w:r>
      <w:proofErr w:type="spellEnd"/>
      <w:r w:rsidR="00EE4D2C" w:rsidRPr="00EE4D2C">
        <w:rPr>
          <w:rFonts w:ascii="Times New Roman" w:hAnsi="Times New Roman" w:cs="Times New Roman"/>
          <w:bCs/>
          <w:i/>
          <w:iCs/>
          <w:sz w:val="28"/>
          <w:szCs w:val="28"/>
        </w:rPr>
        <w:t xml:space="preserve"> Contractors Ltd.</w:t>
      </w:r>
      <w:r w:rsidR="00EE4D2C" w:rsidRPr="00EE4D2C">
        <w:rPr>
          <w:rFonts w:ascii="Times New Roman" w:hAnsi="Times New Roman" w:cs="Times New Roman"/>
          <w:bCs/>
          <w:sz w:val="28"/>
          <w:szCs w:val="28"/>
        </w:rPr>
        <w:t xml:space="preserve"> </w:t>
      </w:r>
      <w:r w:rsidR="00EE4D2C" w:rsidRPr="00EE4D2C">
        <w:rPr>
          <w:rFonts w:ascii="Times New Roman" w:hAnsi="Times New Roman" w:cs="Times New Roman"/>
          <w:bCs/>
          <w:i/>
          <w:iCs/>
          <w:sz w:val="28"/>
          <w:szCs w:val="28"/>
        </w:rPr>
        <w:t>v</w:t>
      </w:r>
      <w:r w:rsidR="00EE4D2C" w:rsidRPr="00EE4D2C">
        <w:rPr>
          <w:rFonts w:ascii="Times New Roman" w:hAnsi="Times New Roman" w:cs="Times New Roman"/>
          <w:bCs/>
          <w:sz w:val="28"/>
          <w:szCs w:val="28"/>
        </w:rPr>
        <w:t xml:space="preserve"> </w:t>
      </w:r>
      <w:r w:rsidR="00EE4D2C" w:rsidRPr="00EE4D2C">
        <w:rPr>
          <w:rFonts w:ascii="Times New Roman" w:hAnsi="Times New Roman" w:cs="Times New Roman"/>
          <w:bCs/>
          <w:i/>
          <w:iCs/>
          <w:sz w:val="28"/>
          <w:szCs w:val="28"/>
        </w:rPr>
        <w:t>British Columbia (Transportation and Highways)</w:t>
      </w:r>
      <w:r w:rsidR="00EE4D2C" w:rsidRPr="00EE4D2C">
        <w:rPr>
          <w:rFonts w:ascii="Times New Roman" w:hAnsi="Times New Roman" w:cs="Times New Roman"/>
          <w:bCs/>
          <w:sz w:val="28"/>
          <w:szCs w:val="28"/>
        </w:rPr>
        <w:t>, 2010 SCC 4</w:t>
      </w:r>
      <w:r w:rsidR="00EE4D2C">
        <w:rPr>
          <w:rFonts w:ascii="Times New Roman" w:hAnsi="Times New Roman" w:cs="Times New Roman"/>
          <w:bCs/>
          <w:sz w:val="28"/>
          <w:szCs w:val="28"/>
        </w:rPr>
        <w:t>, para 64).</w:t>
      </w:r>
      <w:r w:rsidR="00EE4D2C" w:rsidRPr="00EE4D2C">
        <w:rPr>
          <w:rFonts w:ascii="Times New Roman" w:hAnsi="Times New Roman" w:cs="Times New Roman"/>
          <w:bCs/>
          <w:sz w:val="28"/>
          <w:szCs w:val="28"/>
        </w:rPr>
        <w:t> </w:t>
      </w:r>
      <w:r w:rsidR="00131AA6" w:rsidRPr="00EE4D2C">
        <w:rPr>
          <w:rFonts w:ascii="Times New Roman" w:hAnsi="Times New Roman" w:cs="Times New Roman"/>
          <w:bCs/>
          <w:sz w:val="28"/>
          <w:szCs w:val="28"/>
        </w:rPr>
        <w:t>The parties</w:t>
      </w:r>
      <w:r w:rsidR="0002702D" w:rsidRPr="00EE4D2C">
        <w:rPr>
          <w:rFonts w:ascii="Times New Roman" w:hAnsi="Times New Roman" w:cs="Times New Roman"/>
          <w:bCs/>
          <w:sz w:val="28"/>
          <w:szCs w:val="28"/>
        </w:rPr>
        <w:t>’</w:t>
      </w:r>
      <w:r w:rsidR="00131AA6" w:rsidRPr="00EE4D2C">
        <w:rPr>
          <w:rFonts w:ascii="Times New Roman" w:hAnsi="Times New Roman" w:cs="Times New Roman"/>
          <w:bCs/>
          <w:sz w:val="28"/>
          <w:szCs w:val="28"/>
        </w:rPr>
        <w:t xml:space="preserve"> conduct after they entered the agreement can be used to resolve ambiguities only if the contract remains unclear after considering its text and the factual matrix</w:t>
      </w:r>
      <w:r w:rsidR="0002702D" w:rsidRPr="00EE4D2C">
        <w:rPr>
          <w:rFonts w:ascii="Times New Roman" w:hAnsi="Times New Roman" w:cs="Times New Roman"/>
          <w:bCs/>
          <w:sz w:val="28"/>
          <w:szCs w:val="28"/>
        </w:rPr>
        <w:t xml:space="preserve"> (</w:t>
      </w:r>
      <w:r w:rsidR="007A13C7" w:rsidRPr="00EE4D2C">
        <w:rPr>
          <w:rFonts w:ascii="Times New Roman" w:hAnsi="Times New Roman" w:cs="Times New Roman"/>
          <w:bCs/>
          <w:i/>
          <w:iCs/>
          <w:sz w:val="28"/>
          <w:szCs w:val="28"/>
        </w:rPr>
        <w:t>Shewchuk v Blackmont Capital Inc.</w:t>
      </w:r>
      <w:r w:rsidR="007A13C7" w:rsidRPr="00EE4D2C">
        <w:rPr>
          <w:rFonts w:ascii="Times New Roman" w:hAnsi="Times New Roman" w:cs="Times New Roman"/>
          <w:bCs/>
          <w:sz w:val="28"/>
          <w:szCs w:val="28"/>
        </w:rPr>
        <w:t>, 2016 ONCA 912).</w:t>
      </w:r>
    </w:p>
    <w:p w14:paraId="51A78321" w14:textId="77777777" w:rsidR="00833C1A" w:rsidRPr="00EE4D2C" w:rsidRDefault="00833C1A" w:rsidP="00833C1A">
      <w:pPr>
        <w:pStyle w:val="ListParagraph"/>
        <w:spacing w:after="0" w:line="240" w:lineRule="auto"/>
        <w:ind w:left="0"/>
        <w:jc w:val="both"/>
        <w:rPr>
          <w:rFonts w:ascii="Times New Roman" w:hAnsi="Times New Roman" w:cs="Times New Roman"/>
          <w:bCs/>
          <w:sz w:val="28"/>
          <w:szCs w:val="28"/>
        </w:rPr>
      </w:pPr>
    </w:p>
    <w:p w14:paraId="34EDEE2E" w14:textId="0156D515" w:rsidR="009B2E85" w:rsidRDefault="00D45BF4" w:rsidP="005F594A">
      <w:pPr>
        <w:pStyle w:val="ListParagraph"/>
        <w:numPr>
          <w:ilvl w:val="0"/>
          <w:numId w:val="1"/>
        </w:numPr>
        <w:spacing w:after="0" w:line="240" w:lineRule="auto"/>
        <w:jc w:val="both"/>
        <w:rPr>
          <w:rFonts w:ascii="Times New Roman" w:hAnsi="Times New Roman" w:cs="Times New Roman"/>
          <w:bCs/>
          <w:sz w:val="28"/>
          <w:szCs w:val="28"/>
        </w:rPr>
      </w:pPr>
      <w:r w:rsidRPr="00FD1487">
        <w:rPr>
          <w:rFonts w:ascii="Times New Roman" w:hAnsi="Times New Roman" w:cs="Times New Roman"/>
          <w:bCs/>
          <w:sz w:val="28"/>
          <w:szCs w:val="28"/>
        </w:rPr>
        <w:t xml:space="preserve">Applying these principles to the facts of this case, I am satisfied that Northland is not a party to the Prime Contract. </w:t>
      </w:r>
      <w:r w:rsidR="001279DA" w:rsidRPr="00FD1487">
        <w:rPr>
          <w:rFonts w:ascii="Times New Roman" w:hAnsi="Times New Roman" w:cs="Times New Roman"/>
          <w:bCs/>
          <w:sz w:val="28"/>
          <w:szCs w:val="28"/>
        </w:rPr>
        <w:t>On the cover page of the contract, in the box “Name of Contractor” the following appears:</w:t>
      </w:r>
      <w:r w:rsidR="00A467C0" w:rsidRPr="00FD1487">
        <w:rPr>
          <w:rFonts w:ascii="Times New Roman" w:hAnsi="Times New Roman" w:cs="Times New Roman"/>
          <w:bCs/>
          <w:sz w:val="28"/>
          <w:szCs w:val="28"/>
        </w:rPr>
        <w:t xml:space="preserve"> </w:t>
      </w:r>
      <w:r w:rsidR="001279DA" w:rsidRPr="00FD1487">
        <w:rPr>
          <w:rFonts w:ascii="Times New Roman" w:hAnsi="Times New Roman" w:cs="Times New Roman"/>
          <w:bCs/>
          <w:sz w:val="28"/>
          <w:szCs w:val="28"/>
        </w:rPr>
        <w:t xml:space="preserve">“ONEC Construction Inc </w:t>
      </w:r>
      <w:r w:rsidR="001279DA" w:rsidRPr="00DC376A">
        <w:rPr>
          <w:rFonts w:ascii="Times New Roman" w:hAnsi="Times New Roman" w:cs="Times New Roman"/>
          <w:bCs/>
          <w:sz w:val="28"/>
          <w:szCs w:val="28"/>
        </w:rPr>
        <w:t>In</w:t>
      </w:r>
      <w:r w:rsidR="001279DA" w:rsidRPr="00FD1487">
        <w:rPr>
          <w:rFonts w:ascii="Times New Roman" w:hAnsi="Times New Roman" w:cs="Times New Roman"/>
          <w:bCs/>
          <w:sz w:val="28"/>
          <w:szCs w:val="28"/>
        </w:rPr>
        <w:t xml:space="preserve"> Partnership with Northland Builders Ltd”.</w:t>
      </w:r>
      <w:r w:rsidR="00923465">
        <w:rPr>
          <w:rFonts w:ascii="Times New Roman" w:hAnsi="Times New Roman" w:cs="Times New Roman"/>
          <w:bCs/>
          <w:sz w:val="28"/>
          <w:szCs w:val="28"/>
        </w:rPr>
        <w:t xml:space="preserve"> </w:t>
      </w:r>
      <w:r w:rsidR="006151EC">
        <w:rPr>
          <w:rFonts w:ascii="Times New Roman" w:hAnsi="Times New Roman" w:cs="Times New Roman"/>
          <w:bCs/>
          <w:sz w:val="28"/>
          <w:szCs w:val="28"/>
        </w:rPr>
        <w:t xml:space="preserve">Both Mr. Adams and Mr. Wiart explained in their respective affidavits that Northland’s participation in the project was essential </w:t>
      </w:r>
      <w:r w:rsidR="005978A6">
        <w:rPr>
          <w:rFonts w:ascii="Times New Roman" w:hAnsi="Times New Roman" w:cs="Times New Roman"/>
          <w:bCs/>
          <w:sz w:val="28"/>
          <w:szCs w:val="28"/>
        </w:rPr>
        <w:t xml:space="preserve">to </w:t>
      </w:r>
      <w:r w:rsidR="006151EC">
        <w:rPr>
          <w:rFonts w:ascii="Times New Roman" w:hAnsi="Times New Roman" w:cs="Times New Roman"/>
          <w:bCs/>
          <w:sz w:val="28"/>
          <w:szCs w:val="28"/>
        </w:rPr>
        <w:t>securing the</w:t>
      </w:r>
      <w:r w:rsidR="00B313A6">
        <w:rPr>
          <w:rFonts w:ascii="Times New Roman" w:hAnsi="Times New Roman" w:cs="Times New Roman"/>
          <w:bCs/>
          <w:sz w:val="28"/>
          <w:szCs w:val="28"/>
        </w:rPr>
        <w:t xml:space="preserve"> bid for the</w:t>
      </w:r>
      <w:r w:rsidR="006151EC">
        <w:rPr>
          <w:rFonts w:ascii="Times New Roman" w:hAnsi="Times New Roman" w:cs="Times New Roman"/>
          <w:bCs/>
          <w:sz w:val="28"/>
          <w:szCs w:val="28"/>
        </w:rPr>
        <w:t xml:space="preserve"> Prime Contract because </w:t>
      </w:r>
      <w:r w:rsidR="00B313A6">
        <w:rPr>
          <w:rFonts w:ascii="Times New Roman" w:hAnsi="Times New Roman" w:cs="Times New Roman"/>
          <w:bCs/>
          <w:sz w:val="28"/>
          <w:szCs w:val="28"/>
        </w:rPr>
        <w:t>Northland is a Gwich’in business</w:t>
      </w:r>
      <w:r w:rsidR="00757B33">
        <w:rPr>
          <w:rFonts w:ascii="Times New Roman" w:hAnsi="Times New Roman" w:cs="Times New Roman"/>
          <w:bCs/>
          <w:sz w:val="28"/>
          <w:szCs w:val="28"/>
        </w:rPr>
        <w:t xml:space="preserve"> and the </w:t>
      </w:r>
      <w:r w:rsidR="00757B33" w:rsidRPr="00DC376A">
        <w:rPr>
          <w:rFonts w:ascii="Times New Roman" w:hAnsi="Times New Roman" w:cs="Times New Roman"/>
          <w:bCs/>
          <w:sz w:val="28"/>
          <w:szCs w:val="28"/>
        </w:rPr>
        <w:t>prominent</w:t>
      </w:r>
      <w:r w:rsidR="00757B33">
        <w:rPr>
          <w:rFonts w:ascii="Times New Roman" w:hAnsi="Times New Roman" w:cs="Times New Roman"/>
          <w:bCs/>
          <w:sz w:val="28"/>
          <w:szCs w:val="28"/>
        </w:rPr>
        <w:t xml:space="preserve"> role of Gwich’in businesses </w:t>
      </w:r>
      <w:r w:rsidR="00955E00">
        <w:rPr>
          <w:rFonts w:ascii="Times New Roman" w:hAnsi="Times New Roman" w:cs="Times New Roman"/>
          <w:bCs/>
          <w:sz w:val="28"/>
          <w:szCs w:val="28"/>
        </w:rPr>
        <w:t>was</w:t>
      </w:r>
      <w:r w:rsidR="002C1126">
        <w:rPr>
          <w:rFonts w:ascii="Times New Roman" w:hAnsi="Times New Roman" w:cs="Times New Roman"/>
          <w:bCs/>
          <w:sz w:val="28"/>
          <w:szCs w:val="28"/>
        </w:rPr>
        <w:t xml:space="preserve"> key to obtaining this contract</w:t>
      </w:r>
      <w:r w:rsidR="00DB7DB5">
        <w:rPr>
          <w:rFonts w:ascii="Times New Roman" w:hAnsi="Times New Roman" w:cs="Times New Roman"/>
          <w:bCs/>
          <w:sz w:val="28"/>
          <w:szCs w:val="28"/>
        </w:rPr>
        <w:t>.</w:t>
      </w:r>
      <w:r w:rsidR="008329AD">
        <w:rPr>
          <w:rFonts w:ascii="Times New Roman" w:hAnsi="Times New Roman" w:cs="Times New Roman"/>
          <w:bCs/>
          <w:sz w:val="28"/>
          <w:szCs w:val="28"/>
        </w:rPr>
        <w:t xml:space="preserve"> This explains why Northland’s </w:t>
      </w:r>
      <w:r w:rsidR="00A958C9">
        <w:rPr>
          <w:rFonts w:ascii="Times New Roman" w:hAnsi="Times New Roman" w:cs="Times New Roman"/>
          <w:bCs/>
          <w:sz w:val="28"/>
          <w:szCs w:val="28"/>
        </w:rPr>
        <w:t xml:space="preserve">name had to appear on the Prime Contract, </w:t>
      </w:r>
      <w:r w:rsidR="009B2E85">
        <w:rPr>
          <w:rFonts w:ascii="Times New Roman" w:hAnsi="Times New Roman" w:cs="Times New Roman"/>
          <w:bCs/>
          <w:sz w:val="28"/>
          <w:szCs w:val="28"/>
        </w:rPr>
        <w:t xml:space="preserve">whether it </w:t>
      </w:r>
      <w:r w:rsidR="00950A07">
        <w:rPr>
          <w:rFonts w:ascii="Times New Roman" w:hAnsi="Times New Roman" w:cs="Times New Roman"/>
          <w:bCs/>
          <w:sz w:val="28"/>
          <w:szCs w:val="28"/>
        </w:rPr>
        <w:t>was</w:t>
      </w:r>
      <w:r w:rsidR="009B2E85">
        <w:rPr>
          <w:rFonts w:ascii="Times New Roman" w:hAnsi="Times New Roman" w:cs="Times New Roman"/>
          <w:bCs/>
          <w:sz w:val="28"/>
          <w:szCs w:val="28"/>
        </w:rPr>
        <w:t xml:space="preserve"> a party to the contract or not. </w:t>
      </w:r>
      <w:r w:rsidR="00A958C9">
        <w:rPr>
          <w:rFonts w:ascii="Times New Roman" w:hAnsi="Times New Roman" w:cs="Times New Roman"/>
          <w:bCs/>
          <w:sz w:val="28"/>
          <w:szCs w:val="28"/>
        </w:rPr>
        <w:t xml:space="preserve"> </w:t>
      </w:r>
      <w:r w:rsidR="009B2E85">
        <w:rPr>
          <w:rFonts w:ascii="Times New Roman" w:hAnsi="Times New Roman" w:cs="Times New Roman"/>
          <w:bCs/>
          <w:sz w:val="28"/>
          <w:szCs w:val="28"/>
        </w:rPr>
        <w:t>The simple mention of Northland on the cover</w:t>
      </w:r>
      <w:r w:rsidR="0088077A">
        <w:rPr>
          <w:rFonts w:ascii="Times New Roman" w:hAnsi="Times New Roman" w:cs="Times New Roman"/>
          <w:bCs/>
          <w:sz w:val="28"/>
          <w:szCs w:val="28"/>
        </w:rPr>
        <w:t xml:space="preserve"> page</w:t>
      </w:r>
      <w:r w:rsidR="009B2E85">
        <w:rPr>
          <w:rFonts w:ascii="Times New Roman" w:hAnsi="Times New Roman" w:cs="Times New Roman"/>
          <w:bCs/>
          <w:sz w:val="28"/>
          <w:szCs w:val="28"/>
        </w:rPr>
        <w:t xml:space="preserve"> of the contract is not determinative of </w:t>
      </w:r>
      <w:r w:rsidR="00980929">
        <w:rPr>
          <w:rFonts w:ascii="Times New Roman" w:hAnsi="Times New Roman" w:cs="Times New Roman"/>
          <w:bCs/>
          <w:sz w:val="28"/>
          <w:szCs w:val="28"/>
        </w:rPr>
        <w:t>this question</w:t>
      </w:r>
      <w:r w:rsidR="009B2E85">
        <w:rPr>
          <w:rFonts w:ascii="Times New Roman" w:hAnsi="Times New Roman" w:cs="Times New Roman"/>
          <w:bCs/>
          <w:sz w:val="28"/>
          <w:szCs w:val="28"/>
        </w:rPr>
        <w:t xml:space="preserve">. </w:t>
      </w:r>
    </w:p>
    <w:p w14:paraId="26D719E1" w14:textId="77777777" w:rsidR="009B2E85" w:rsidRPr="009B2E85" w:rsidRDefault="009B2E85" w:rsidP="009B2E85">
      <w:pPr>
        <w:pStyle w:val="ListParagraph"/>
        <w:rPr>
          <w:rFonts w:ascii="Times New Roman" w:hAnsi="Times New Roman" w:cs="Times New Roman"/>
          <w:bCs/>
          <w:sz w:val="28"/>
          <w:szCs w:val="28"/>
        </w:rPr>
      </w:pPr>
    </w:p>
    <w:p w14:paraId="71EBE58F" w14:textId="44E3FE3C" w:rsidR="005F594A" w:rsidRDefault="0065329E" w:rsidP="005F594A">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 acknowledge that </w:t>
      </w:r>
      <w:r w:rsidR="00B71FF6">
        <w:rPr>
          <w:rFonts w:ascii="Times New Roman" w:hAnsi="Times New Roman" w:cs="Times New Roman"/>
          <w:bCs/>
          <w:sz w:val="28"/>
          <w:szCs w:val="28"/>
        </w:rPr>
        <w:t xml:space="preserve">the day before </w:t>
      </w:r>
      <w:r w:rsidR="001C676D">
        <w:rPr>
          <w:rFonts w:ascii="Times New Roman" w:hAnsi="Times New Roman" w:cs="Times New Roman"/>
          <w:bCs/>
          <w:sz w:val="28"/>
          <w:szCs w:val="28"/>
        </w:rPr>
        <w:t>Mr. Adams and Mr. Wiart signed the Prime Contract,</w:t>
      </w:r>
      <w:r>
        <w:rPr>
          <w:rFonts w:ascii="Times New Roman" w:hAnsi="Times New Roman" w:cs="Times New Roman"/>
          <w:bCs/>
          <w:sz w:val="28"/>
          <w:szCs w:val="28"/>
        </w:rPr>
        <w:t xml:space="preserve"> </w:t>
      </w:r>
      <w:r w:rsidR="00F9163A" w:rsidRPr="00041F60">
        <w:rPr>
          <w:rFonts w:ascii="Times New Roman" w:hAnsi="Times New Roman" w:cs="Times New Roman"/>
          <w:bCs/>
          <w:sz w:val="28"/>
          <w:szCs w:val="28"/>
        </w:rPr>
        <w:t>Mr</w:t>
      </w:r>
      <w:r w:rsidRPr="00041F60">
        <w:rPr>
          <w:rFonts w:ascii="Times New Roman" w:hAnsi="Times New Roman" w:cs="Times New Roman"/>
          <w:bCs/>
          <w:sz w:val="28"/>
          <w:szCs w:val="28"/>
        </w:rPr>
        <w:t>.</w:t>
      </w:r>
      <w:r w:rsidR="00F9163A" w:rsidRPr="00041F60">
        <w:rPr>
          <w:rFonts w:ascii="Times New Roman" w:hAnsi="Times New Roman" w:cs="Times New Roman"/>
          <w:bCs/>
          <w:sz w:val="28"/>
          <w:szCs w:val="28"/>
        </w:rPr>
        <w:t xml:space="preserve"> Adams </w:t>
      </w:r>
      <w:r w:rsidR="001C676D" w:rsidRPr="00041F60">
        <w:rPr>
          <w:rFonts w:ascii="Times New Roman" w:hAnsi="Times New Roman" w:cs="Times New Roman"/>
          <w:bCs/>
          <w:sz w:val="28"/>
          <w:szCs w:val="28"/>
        </w:rPr>
        <w:t xml:space="preserve">emailed a third party indicating that </w:t>
      </w:r>
      <w:r w:rsidR="00597CD6" w:rsidRPr="00041F60">
        <w:rPr>
          <w:rFonts w:ascii="Times New Roman" w:hAnsi="Times New Roman" w:cs="Times New Roman"/>
          <w:bCs/>
          <w:sz w:val="28"/>
          <w:szCs w:val="28"/>
        </w:rPr>
        <w:t>the contract was signed “under ONEC Construction and Northland Builders”.</w:t>
      </w:r>
      <w:r w:rsidR="00041F60">
        <w:rPr>
          <w:rFonts w:ascii="Times New Roman" w:hAnsi="Times New Roman" w:cs="Times New Roman"/>
          <w:bCs/>
          <w:sz w:val="28"/>
          <w:szCs w:val="28"/>
        </w:rPr>
        <w:t xml:space="preserve"> </w:t>
      </w:r>
      <w:r w:rsidR="00E70C3D">
        <w:rPr>
          <w:rFonts w:ascii="Times New Roman" w:hAnsi="Times New Roman" w:cs="Times New Roman"/>
          <w:bCs/>
          <w:sz w:val="28"/>
          <w:szCs w:val="28"/>
        </w:rPr>
        <w:t xml:space="preserve">However, </w:t>
      </w:r>
      <w:r w:rsidR="00041F60">
        <w:rPr>
          <w:rFonts w:ascii="Times New Roman" w:hAnsi="Times New Roman" w:cs="Times New Roman"/>
          <w:bCs/>
          <w:sz w:val="28"/>
          <w:szCs w:val="28"/>
        </w:rPr>
        <w:t xml:space="preserve">I find this evidence of little probative value because the evidence </w:t>
      </w:r>
      <w:r w:rsidR="00E70C3D">
        <w:rPr>
          <w:rFonts w:ascii="Times New Roman" w:hAnsi="Times New Roman" w:cs="Times New Roman"/>
          <w:bCs/>
          <w:sz w:val="28"/>
          <w:szCs w:val="28"/>
        </w:rPr>
        <w:t xml:space="preserve">before me </w:t>
      </w:r>
      <w:r w:rsidR="00041F60">
        <w:rPr>
          <w:rFonts w:ascii="Times New Roman" w:hAnsi="Times New Roman" w:cs="Times New Roman"/>
          <w:bCs/>
          <w:sz w:val="28"/>
          <w:szCs w:val="28"/>
        </w:rPr>
        <w:t>does not provide any</w:t>
      </w:r>
      <w:r w:rsidR="00DA1E4E">
        <w:rPr>
          <w:rFonts w:ascii="Times New Roman" w:hAnsi="Times New Roman" w:cs="Times New Roman"/>
          <w:bCs/>
          <w:sz w:val="28"/>
          <w:szCs w:val="28"/>
        </w:rPr>
        <w:t xml:space="preserve"> context </w:t>
      </w:r>
      <w:r w:rsidR="00041F60">
        <w:rPr>
          <w:rFonts w:ascii="Times New Roman" w:hAnsi="Times New Roman" w:cs="Times New Roman"/>
          <w:bCs/>
          <w:sz w:val="28"/>
          <w:szCs w:val="28"/>
        </w:rPr>
        <w:t>to</w:t>
      </w:r>
      <w:r w:rsidR="000A429D">
        <w:rPr>
          <w:rFonts w:ascii="Times New Roman" w:hAnsi="Times New Roman" w:cs="Times New Roman"/>
          <w:bCs/>
          <w:sz w:val="28"/>
          <w:szCs w:val="28"/>
        </w:rPr>
        <w:t xml:space="preserve"> this</w:t>
      </w:r>
      <w:r w:rsidR="00041F60">
        <w:rPr>
          <w:rFonts w:ascii="Times New Roman" w:hAnsi="Times New Roman" w:cs="Times New Roman"/>
          <w:bCs/>
          <w:sz w:val="28"/>
          <w:szCs w:val="28"/>
        </w:rPr>
        <w:t xml:space="preserve"> </w:t>
      </w:r>
      <w:r w:rsidR="009A2409">
        <w:rPr>
          <w:rFonts w:ascii="Times New Roman" w:hAnsi="Times New Roman" w:cs="Times New Roman"/>
          <w:bCs/>
          <w:sz w:val="28"/>
          <w:szCs w:val="28"/>
        </w:rPr>
        <w:t>brief exchange of email</w:t>
      </w:r>
      <w:r w:rsidR="000A429D">
        <w:rPr>
          <w:rFonts w:ascii="Times New Roman" w:hAnsi="Times New Roman" w:cs="Times New Roman"/>
          <w:bCs/>
          <w:sz w:val="28"/>
          <w:szCs w:val="28"/>
        </w:rPr>
        <w:t>s</w:t>
      </w:r>
      <w:r w:rsidR="009A2409">
        <w:rPr>
          <w:rFonts w:ascii="Times New Roman" w:hAnsi="Times New Roman" w:cs="Times New Roman"/>
          <w:bCs/>
          <w:sz w:val="28"/>
          <w:szCs w:val="28"/>
        </w:rPr>
        <w:t xml:space="preserve"> </w:t>
      </w:r>
      <w:r w:rsidR="000A429D">
        <w:rPr>
          <w:rFonts w:ascii="Times New Roman" w:hAnsi="Times New Roman" w:cs="Times New Roman"/>
          <w:bCs/>
          <w:sz w:val="28"/>
          <w:szCs w:val="28"/>
        </w:rPr>
        <w:t>between Mr. Adam</w:t>
      </w:r>
      <w:r w:rsidR="00E13C63">
        <w:rPr>
          <w:rFonts w:ascii="Times New Roman" w:hAnsi="Times New Roman" w:cs="Times New Roman"/>
          <w:bCs/>
          <w:sz w:val="28"/>
          <w:szCs w:val="28"/>
        </w:rPr>
        <w:t>s</w:t>
      </w:r>
      <w:r w:rsidR="000A429D">
        <w:rPr>
          <w:rFonts w:ascii="Times New Roman" w:hAnsi="Times New Roman" w:cs="Times New Roman"/>
          <w:bCs/>
          <w:sz w:val="28"/>
          <w:szCs w:val="28"/>
        </w:rPr>
        <w:t xml:space="preserve"> and</w:t>
      </w:r>
      <w:r w:rsidR="009A2409">
        <w:rPr>
          <w:rFonts w:ascii="Times New Roman" w:hAnsi="Times New Roman" w:cs="Times New Roman"/>
          <w:bCs/>
          <w:sz w:val="28"/>
          <w:szCs w:val="28"/>
        </w:rPr>
        <w:t xml:space="preserve"> </w:t>
      </w:r>
      <w:r w:rsidR="007C6A61">
        <w:rPr>
          <w:rFonts w:ascii="Times New Roman" w:hAnsi="Times New Roman" w:cs="Times New Roman"/>
          <w:bCs/>
          <w:sz w:val="28"/>
          <w:szCs w:val="28"/>
        </w:rPr>
        <w:t>the</w:t>
      </w:r>
      <w:r w:rsidR="009A2409">
        <w:rPr>
          <w:rFonts w:ascii="Times New Roman" w:hAnsi="Times New Roman" w:cs="Times New Roman"/>
          <w:bCs/>
          <w:sz w:val="28"/>
          <w:szCs w:val="28"/>
        </w:rPr>
        <w:t xml:space="preserve"> third party.</w:t>
      </w:r>
      <w:r w:rsidR="00673D02" w:rsidRPr="00FD1487">
        <w:rPr>
          <w:rFonts w:ascii="Times New Roman" w:hAnsi="Times New Roman" w:cs="Times New Roman"/>
          <w:bCs/>
          <w:sz w:val="28"/>
          <w:szCs w:val="28"/>
        </w:rPr>
        <w:t xml:space="preserve"> </w:t>
      </w:r>
      <w:r w:rsidR="00041F60">
        <w:rPr>
          <w:rFonts w:ascii="Times New Roman" w:hAnsi="Times New Roman" w:cs="Times New Roman"/>
          <w:bCs/>
          <w:sz w:val="28"/>
          <w:szCs w:val="28"/>
        </w:rPr>
        <w:t>In addition</w:t>
      </w:r>
      <w:r w:rsidR="009A2409">
        <w:rPr>
          <w:rFonts w:ascii="Times New Roman" w:hAnsi="Times New Roman" w:cs="Times New Roman"/>
          <w:bCs/>
          <w:sz w:val="28"/>
          <w:szCs w:val="28"/>
        </w:rPr>
        <w:t>,</w:t>
      </w:r>
      <w:r w:rsidR="00041F60">
        <w:rPr>
          <w:rFonts w:ascii="Times New Roman" w:hAnsi="Times New Roman" w:cs="Times New Roman"/>
          <w:bCs/>
          <w:sz w:val="28"/>
          <w:szCs w:val="28"/>
        </w:rPr>
        <w:t xml:space="preserve"> and more importantly, the text of the contract does not support ONEC and Liberty’s position. </w:t>
      </w:r>
      <w:r w:rsidR="00344AE3" w:rsidRPr="00FD1487">
        <w:rPr>
          <w:rFonts w:ascii="Times New Roman" w:hAnsi="Times New Roman" w:cs="Times New Roman"/>
          <w:bCs/>
          <w:sz w:val="28"/>
          <w:szCs w:val="28"/>
        </w:rPr>
        <w:t xml:space="preserve">The signature page </w:t>
      </w:r>
      <w:r w:rsidR="002D11D4" w:rsidRPr="00FD1487">
        <w:rPr>
          <w:rFonts w:ascii="Times New Roman" w:hAnsi="Times New Roman" w:cs="Times New Roman"/>
          <w:bCs/>
          <w:sz w:val="28"/>
          <w:szCs w:val="28"/>
        </w:rPr>
        <w:t>identifies two parties to this contract: ONEC and NTE.</w:t>
      </w:r>
      <w:r w:rsidR="0086015E" w:rsidRPr="00FD1487">
        <w:rPr>
          <w:rFonts w:ascii="Times New Roman" w:hAnsi="Times New Roman" w:cs="Times New Roman"/>
          <w:bCs/>
          <w:sz w:val="28"/>
          <w:szCs w:val="28"/>
        </w:rPr>
        <w:t xml:space="preserve"> </w:t>
      </w:r>
      <w:r w:rsidR="003E47AD" w:rsidRPr="00FD1487">
        <w:rPr>
          <w:rFonts w:ascii="Times New Roman" w:hAnsi="Times New Roman" w:cs="Times New Roman"/>
          <w:bCs/>
          <w:sz w:val="28"/>
          <w:szCs w:val="28"/>
        </w:rPr>
        <w:lastRenderedPageBreak/>
        <w:t xml:space="preserve">Mr. Adams and Mr. Wiart signed the contract </w:t>
      </w:r>
      <w:r w:rsidR="007C6A61">
        <w:rPr>
          <w:rFonts w:ascii="Times New Roman" w:hAnsi="Times New Roman" w:cs="Times New Roman"/>
          <w:bCs/>
          <w:sz w:val="28"/>
          <w:szCs w:val="28"/>
        </w:rPr>
        <w:t>and</w:t>
      </w:r>
      <w:r w:rsidR="003E47AD" w:rsidRPr="00FD1487">
        <w:rPr>
          <w:rFonts w:ascii="Times New Roman" w:hAnsi="Times New Roman" w:cs="Times New Roman"/>
          <w:bCs/>
          <w:sz w:val="28"/>
          <w:szCs w:val="28"/>
        </w:rPr>
        <w:t xml:space="preserve"> they both did so on behalf of ONEC. </w:t>
      </w:r>
      <w:r w:rsidR="0086015E" w:rsidRPr="00FD1487">
        <w:rPr>
          <w:rFonts w:ascii="Times New Roman" w:hAnsi="Times New Roman" w:cs="Times New Roman"/>
          <w:bCs/>
          <w:sz w:val="28"/>
          <w:szCs w:val="28"/>
        </w:rPr>
        <w:t>At the time the contract was signed in January 2022,</w:t>
      </w:r>
      <w:r w:rsidR="002D11D4" w:rsidRPr="00FD1487">
        <w:rPr>
          <w:rFonts w:ascii="Times New Roman" w:hAnsi="Times New Roman" w:cs="Times New Roman"/>
          <w:bCs/>
          <w:sz w:val="28"/>
          <w:szCs w:val="28"/>
        </w:rPr>
        <w:t xml:space="preserve"> Mr. Adams was </w:t>
      </w:r>
      <w:r w:rsidR="00B637A3">
        <w:rPr>
          <w:rFonts w:ascii="Times New Roman" w:hAnsi="Times New Roman" w:cs="Times New Roman"/>
          <w:bCs/>
          <w:sz w:val="28"/>
          <w:szCs w:val="28"/>
        </w:rPr>
        <w:t xml:space="preserve">the President of Northland, but he was also </w:t>
      </w:r>
      <w:r w:rsidR="002D11D4" w:rsidRPr="00FD1487">
        <w:rPr>
          <w:rFonts w:ascii="Times New Roman" w:hAnsi="Times New Roman" w:cs="Times New Roman"/>
          <w:bCs/>
          <w:sz w:val="28"/>
          <w:szCs w:val="28"/>
        </w:rPr>
        <w:t>the President of</w:t>
      </w:r>
      <w:r w:rsidR="0086015E" w:rsidRPr="00FD1487">
        <w:rPr>
          <w:rFonts w:ascii="Times New Roman" w:hAnsi="Times New Roman" w:cs="Times New Roman"/>
          <w:bCs/>
          <w:sz w:val="28"/>
          <w:szCs w:val="28"/>
        </w:rPr>
        <w:t xml:space="preserve"> Northern Operations for ONEC</w:t>
      </w:r>
      <w:r w:rsidR="005E3CC7" w:rsidRPr="00FD1487">
        <w:rPr>
          <w:rFonts w:ascii="Times New Roman" w:hAnsi="Times New Roman" w:cs="Times New Roman"/>
          <w:bCs/>
          <w:sz w:val="28"/>
          <w:szCs w:val="28"/>
        </w:rPr>
        <w:t>,</w:t>
      </w:r>
      <w:r w:rsidR="0086015E" w:rsidRPr="00FD1487">
        <w:rPr>
          <w:rFonts w:ascii="Times New Roman" w:hAnsi="Times New Roman" w:cs="Times New Roman"/>
          <w:bCs/>
          <w:sz w:val="28"/>
          <w:szCs w:val="28"/>
        </w:rPr>
        <w:t xml:space="preserve"> and it is </w:t>
      </w:r>
      <w:r w:rsidR="003E6B69" w:rsidRPr="00FD1487">
        <w:rPr>
          <w:rFonts w:ascii="Times New Roman" w:hAnsi="Times New Roman" w:cs="Times New Roman"/>
          <w:bCs/>
          <w:sz w:val="28"/>
          <w:szCs w:val="28"/>
        </w:rPr>
        <w:t xml:space="preserve">in that </w:t>
      </w:r>
      <w:r w:rsidR="00B637A3">
        <w:rPr>
          <w:rFonts w:ascii="Times New Roman" w:hAnsi="Times New Roman" w:cs="Times New Roman"/>
          <w:bCs/>
          <w:sz w:val="28"/>
          <w:szCs w:val="28"/>
        </w:rPr>
        <w:t xml:space="preserve">latter </w:t>
      </w:r>
      <w:r w:rsidR="003E6B69" w:rsidRPr="00FD1487">
        <w:rPr>
          <w:rFonts w:ascii="Times New Roman" w:hAnsi="Times New Roman" w:cs="Times New Roman"/>
          <w:bCs/>
          <w:sz w:val="28"/>
          <w:szCs w:val="28"/>
        </w:rPr>
        <w:t xml:space="preserve">capacity that he signed the contract, as evidenced by his title </w:t>
      </w:r>
      <w:r w:rsidR="00253D92" w:rsidRPr="00FD1487">
        <w:rPr>
          <w:rFonts w:ascii="Times New Roman" w:hAnsi="Times New Roman" w:cs="Times New Roman"/>
          <w:bCs/>
          <w:sz w:val="28"/>
          <w:szCs w:val="28"/>
        </w:rPr>
        <w:t xml:space="preserve">under his signature. Mr. Wiart, </w:t>
      </w:r>
      <w:r w:rsidR="00D560AA">
        <w:rPr>
          <w:rFonts w:ascii="Times New Roman" w:hAnsi="Times New Roman" w:cs="Times New Roman"/>
          <w:bCs/>
          <w:sz w:val="28"/>
          <w:szCs w:val="28"/>
        </w:rPr>
        <w:t xml:space="preserve">as </w:t>
      </w:r>
      <w:r w:rsidR="00253D92" w:rsidRPr="00FD1487">
        <w:rPr>
          <w:rFonts w:ascii="Times New Roman" w:hAnsi="Times New Roman" w:cs="Times New Roman"/>
          <w:bCs/>
          <w:sz w:val="28"/>
          <w:szCs w:val="28"/>
        </w:rPr>
        <w:t>CEO of ONEC</w:t>
      </w:r>
      <w:r w:rsidR="00B637A3">
        <w:rPr>
          <w:rFonts w:ascii="Times New Roman" w:hAnsi="Times New Roman" w:cs="Times New Roman"/>
          <w:bCs/>
          <w:sz w:val="28"/>
          <w:szCs w:val="28"/>
        </w:rPr>
        <w:t>,</w:t>
      </w:r>
      <w:r w:rsidR="00253D92" w:rsidRPr="00FD1487">
        <w:rPr>
          <w:rFonts w:ascii="Times New Roman" w:hAnsi="Times New Roman" w:cs="Times New Roman"/>
          <w:bCs/>
          <w:sz w:val="28"/>
          <w:szCs w:val="28"/>
        </w:rPr>
        <w:t xml:space="preserve"> also signed the contract in the same box </w:t>
      </w:r>
      <w:r w:rsidR="005E3CC7" w:rsidRPr="00FD1487">
        <w:rPr>
          <w:rFonts w:ascii="Times New Roman" w:hAnsi="Times New Roman" w:cs="Times New Roman"/>
          <w:bCs/>
          <w:sz w:val="28"/>
          <w:szCs w:val="28"/>
        </w:rPr>
        <w:t>under “ONEC Construction Inc”.</w:t>
      </w:r>
      <w:r w:rsidR="00190AE3">
        <w:rPr>
          <w:rFonts w:ascii="Times New Roman" w:hAnsi="Times New Roman" w:cs="Times New Roman"/>
          <w:bCs/>
          <w:sz w:val="28"/>
          <w:szCs w:val="28"/>
        </w:rPr>
        <w:t xml:space="preserve"> </w:t>
      </w:r>
      <w:r w:rsidR="00190AE3" w:rsidRPr="00FA33A8">
        <w:rPr>
          <w:rFonts w:ascii="Times New Roman" w:hAnsi="Times New Roman" w:cs="Times New Roman"/>
          <w:bCs/>
          <w:sz w:val="28"/>
          <w:szCs w:val="28"/>
        </w:rPr>
        <w:t xml:space="preserve">NTE and ONEC are also the only parties identified under </w:t>
      </w:r>
      <w:r w:rsidR="00FA33A8" w:rsidRPr="00FA33A8">
        <w:rPr>
          <w:rFonts w:ascii="Times New Roman" w:hAnsi="Times New Roman" w:cs="Times New Roman"/>
          <w:bCs/>
          <w:sz w:val="28"/>
          <w:szCs w:val="28"/>
        </w:rPr>
        <w:t>“Notice Address”</w:t>
      </w:r>
      <w:r w:rsidR="00190AE3" w:rsidRPr="00FA33A8">
        <w:rPr>
          <w:rFonts w:ascii="Times New Roman" w:hAnsi="Times New Roman" w:cs="Times New Roman"/>
          <w:bCs/>
          <w:sz w:val="28"/>
          <w:szCs w:val="28"/>
        </w:rPr>
        <w:t>.</w:t>
      </w:r>
      <w:r w:rsidR="005E3CC7" w:rsidRPr="00FA33A8">
        <w:rPr>
          <w:rFonts w:ascii="Times New Roman" w:hAnsi="Times New Roman" w:cs="Times New Roman"/>
          <w:bCs/>
          <w:sz w:val="28"/>
          <w:szCs w:val="28"/>
        </w:rPr>
        <w:t xml:space="preserve"> </w:t>
      </w:r>
      <w:r w:rsidR="00FD1487" w:rsidRPr="00FA33A8">
        <w:rPr>
          <w:rFonts w:ascii="Times New Roman" w:hAnsi="Times New Roman" w:cs="Times New Roman"/>
          <w:bCs/>
          <w:sz w:val="28"/>
          <w:szCs w:val="28"/>
        </w:rPr>
        <w:t>I</w:t>
      </w:r>
      <w:r w:rsidR="00FD1487" w:rsidRPr="005F594A">
        <w:rPr>
          <w:rFonts w:ascii="Times New Roman" w:hAnsi="Times New Roman" w:cs="Times New Roman"/>
          <w:bCs/>
          <w:sz w:val="28"/>
          <w:szCs w:val="28"/>
        </w:rPr>
        <w:t xml:space="preserve"> </w:t>
      </w:r>
      <w:r w:rsidR="00190AE3">
        <w:rPr>
          <w:rFonts w:ascii="Times New Roman" w:hAnsi="Times New Roman" w:cs="Times New Roman"/>
          <w:bCs/>
          <w:sz w:val="28"/>
          <w:szCs w:val="28"/>
        </w:rPr>
        <w:t>additionally</w:t>
      </w:r>
      <w:r w:rsidR="00FD1487" w:rsidRPr="005F594A">
        <w:rPr>
          <w:rFonts w:ascii="Times New Roman" w:hAnsi="Times New Roman" w:cs="Times New Roman"/>
          <w:bCs/>
          <w:sz w:val="28"/>
          <w:szCs w:val="28"/>
        </w:rPr>
        <w:t xml:space="preserve"> note </w:t>
      </w:r>
      <w:r w:rsidR="003D5103">
        <w:rPr>
          <w:rFonts w:ascii="Times New Roman" w:hAnsi="Times New Roman" w:cs="Times New Roman"/>
          <w:bCs/>
          <w:sz w:val="28"/>
          <w:szCs w:val="28"/>
        </w:rPr>
        <w:t xml:space="preserve">that </w:t>
      </w:r>
      <w:r w:rsidR="00FD1487" w:rsidRPr="005F594A">
        <w:rPr>
          <w:rFonts w:ascii="Times New Roman" w:hAnsi="Times New Roman" w:cs="Times New Roman"/>
          <w:bCs/>
          <w:sz w:val="28"/>
          <w:szCs w:val="28"/>
        </w:rPr>
        <w:t xml:space="preserve">the </w:t>
      </w:r>
      <w:r w:rsidR="00923465">
        <w:rPr>
          <w:rFonts w:ascii="Times New Roman" w:hAnsi="Times New Roman" w:cs="Times New Roman"/>
          <w:bCs/>
          <w:sz w:val="28"/>
          <w:szCs w:val="28"/>
        </w:rPr>
        <w:t>Prime Contract</w:t>
      </w:r>
      <w:r w:rsidR="00793818" w:rsidRPr="005F594A">
        <w:rPr>
          <w:rFonts w:ascii="Times New Roman" w:hAnsi="Times New Roman" w:cs="Times New Roman"/>
          <w:bCs/>
          <w:sz w:val="28"/>
          <w:szCs w:val="28"/>
        </w:rPr>
        <w:t xml:space="preserve"> does not give any responsibilities to Northland</w:t>
      </w:r>
      <w:r w:rsidR="00BE6C67">
        <w:rPr>
          <w:rFonts w:ascii="Times New Roman" w:hAnsi="Times New Roman" w:cs="Times New Roman"/>
          <w:bCs/>
          <w:sz w:val="28"/>
          <w:szCs w:val="28"/>
        </w:rPr>
        <w:t xml:space="preserve"> and that Northland is listed as a subcontractor in the Prime Contract</w:t>
      </w:r>
      <w:r w:rsidR="007C6A61">
        <w:rPr>
          <w:rFonts w:ascii="Times New Roman" w:hAnsi="Times New Roman" w:cs="Times New Roman"/>
          <w:bCs/>
          <w:sz w:val="28"/>
          <w:szCs w:val="28"/>
        </w:rPr>
        <w:t>.</w:t>
      </w:r>
      <w:r w:rsidR="00FD1487" w:rsidRPr="005F594A">
        <w:rPr>
          <w:rFonts w:ascii="Times New Roman" w:hAnsi="Times New Roman" w:cs="Times New Roman"/>
          <w:bCs/>
          <w:sz w:val="28"/>
          <w:szCs w:val="28"/>
        </w:rPr>
        <w:t xml:space="preserve"> </w:t>
      </w:r>
    </w:p>
    <w:p w14:paraId="01D28681" w14:textId="77777777" w:rsidR="005F594A" w:rsidRPr="005F594A" w:rsidRDefault="005F594A" w:rsidP="005F594A">
      <w:pPr>
        <w:pStyle w:val="ListParagraph"/>
        <w:rPr>
          <w:rFonts w:ascii="Times New Roman" w:hAnsi="Times New Roman" w:cs="Times New Roman"/>
          <w:bCs/>
          <w:sz w:val="28"/>
          <w:szCs w:val="28"/>
        </w:rPr>
      </w:pPr>
    </w:p>
    <w:p w14:paraId="22501D8D" w14:textId="1E16E4AF" w:rsidR="00FD1487" w:rsidRPr="00ED5936" w:rsidRDefault="00F05DC9" w:rsidP="005F594A">
      <w:pPr>
        <w:pStyle w:val="ListParagraph"/>
        <w:numPr>
          <w:ilvl w:val="0"/>
          <w:numId w:val="1"/>
        </w:numPr>
        <w:spacing w:after="0" w:line="240" w:lineRule="auto"/>
        <w:jc w:val="both"/>
        <w:rPr>
          <w:rFonts w:ascii="Times New Roman" w:hAnsi="Times New Roman" w:cs="Times New Roman"/>
          <w:bCs/>
          <w:sz w:val="28"/>
          <w:szCs w:val="28"/>
        </w:rPr>
      </w:pPr>
      <w:r w:rsidRPr="005F594A">
        <w:rPr>
          <w:rFonts w:ascii="Times New Roman" w:hAnsi="Times New Roman" w:cs="Times New Roman"/>
          <w:bCs/>
          <w:sz w:val="28"/>
          <w:szCs w:val="28"/>
        </w:rPr>
        <w:t>Considering</w:t>
      </w:r>
      <w:r w:rsidR="00F94D36" w:rsidRPr="005F594A">
        <w:rPr>
          <w:rFonts w:ascii="Times New Roman" w:hAnsi="Times New Roman" w:cs="Times New Roman"/>
          <w:bCs/>
          <w:sz w:val="28"/>
          <w:szCs w:val="28"/>
        </w:rPr>
        <w:t xml:space="preserve"> </w:t>
      </w:r>
      <w:r w:rsidR="00D77632" w:rsidRPr="005F594A">
        <w:rPr>
          <w:rFonts w:ascii="Times New Roman" w:hAnsi="Times New Roman" w:cs="Times New Roman"/>
          <w:bCs/>
          <w:sz w:val="28"/>
          <w:szCs w:val="28"/>
        </w:rPr>
        <w:t xml:space="preserve">the </w:t>
      </w:r>
      <w:r w:rsidR="009E400E" w:rsidRPr="005F594A">
        <w:rPr>
          <w:rFonts w:ascii="Times New Roman" w:hAnsi="Times New Roman" w:cs="Times New Roman"/>
          <w:bCs/>
          <w:sz w:val="28"/>
          <w:szCs w:val="28"/>
        </w:rPr>
        <w:t xml:space="preserve">text of the </w:t>
      </w:r>
      <w:r w:rsidR="00E811A1">
        <w:rPr>
          <w:rFonts w:ascii="Times New Roman" w:hAnsi="Times New Roman" w:cs="Times New Roman"/>
          <w:bCs/>
          <w:sz w:val="28"/>
          <w:szCs w:val="28"/>
        </w:rPr>
        <w:t>Prime C</w:t>
      </w:r>
      <w:r w:rsidR="00E811A1" w:rsidRPr="005F594A">
        <w:rPr>
          <w:rFonts w:ascii="Times New Roman" w:hAnsi="Times New Roman" w:cs="Times New Roman"/>
          <w:bCs/>
          <w:sz w:val="28"/>
          <w:szCs w:val="28"/>
        </w:rPr>
        <w:t xml:space="preserve">ontract </w:t>
      </w:r>
      <w:r w:rsidR="009E400E" w:rsidRPr="005F594A">
        <w:rPr>
          <w:rFonts w:ascii="Times New Roman" w:hAnsi="Times New Roman" w:cs="Times New Roman"/>
          <w:bCs/>
          <w:sz w:val="28"/>
          <w:szCs w:val="28"/>
        </w:rPr>
        <w:t xml:space="preserve">and the circumstances </w:t>
      </w:r>
      <w:r w:rsidR="00F94D36" w:rsidRPr="005F594A">
        <w:rPr>
          <w:rFonts w:ascii="Times New Roman" w:hAnsi="Times New Roman" w:cs="Times New Roman"/>
          <w:bCs/>
          <w:sz w:val="28"/>
          <w:szCs w:val="28"/>
        </w:rPr>
        <w:t xml:space="preserve">known to the parties at the time they entered the </w:t>
      </w:r>
      <w:r w:rsidR="00D754D3">
        <w:rPr>
          <w:rFonts w:ascii="Times New Roman" w:hAnsi="Times New Roman" w:cs="Times New Roman"/>
          <w:bCs/>
          <w:sz w:val="28"/>
          <w:szCs w:val="28"/>
        </w:rPr>
        <w:t>contract</w:t>
      </w:r>
      <w:r w:rsidR="00F94D36" w:rsidRPr="005F594A">
        <w:rPr>
          <w:rFonts w:ascii="Times New Roman" w:hAnsi="Times New Roman" w:cs="Times New Roman"/>
          <w:bCs/>
          <w:sz w:val="28"/>
          <w:szCs w:val="28"/>
        </w:rPr>
        <w:t xml:space="preserve">, </w:t>
      </w:r>
      <w:r w:rsidRPr="005F594A">
        <w:rPr>
          <w:rFonts w:ascii="Times New Roman" w:hAnsi="Times New Roman" w:cs="Times New Roman"/>
          <w:bCs/>
          <w:sz w:val="28"/>
          <w:szCs w:val="28"/>
        </w:rPr>
        <w:t xml:space="preserve">an objective and reasonable person </w:t>
      </w:r>
      <w:r w:rsidR="00FE32D6" w:rsidRPr="005F594A">
        <w:rPr>
          <w:rFonts w:ascii="Times New Roman" w:hAnsi="Times New Roman" w:cs="Times New Roman"/>
          <w:bCs/>
          <w:sz w:val="28"/>
          <w:szCs w:val="28"/>
        </w:rPr>
        <w:t>would</w:t>
      </w:r>
      <w:r w:rsidRPr="005F594A">
        <w:rPr>
          <w:rFonts w:ascii="Times New Roman" w:hAnsi="Times New Roman" w:cs="Times New Roman"/>
          <w:bCs/>
          <w:sz w:val="28"/>
          <w:szCs w:val="28"/>
        </w:rPr>
        <w:t xml:space="preserve"> conclude that Northland is not a party to the Prime Contract. </w:t>
      </w:r>
    </w:p>
    <w:p w14:paraId="34FA9113" w14:textId="77777777" w:rsidR="00ED5936" w:rsidRPr="00ED5936" w:rsidRDefault="00ED5936" w:rsidP="00ED5936">
      <w:pPr>
        <w:pStyle w:val="ListParagraph"/>
        <w:rPr>
          <w:rFonts w:ascii="Times New Roman" w:hAnsi="Times New Roman" w:cs="Times New Roman"/>
          <w:bCs/>
          <w:sz w:val="28"/>
          <w:szCs w:val="28"/>
        </w:rPr>
      </w:pPr>
    </w:p>
    <w:p w14:paraId="021F0F53" w14:textId="6152872B" w:rsidR="001A22B2" w:rsidRDefault="00B408AA" w:rsidP="00BA5F7C">
      <w:pPr>
        <w:pStyle w:val="ListParagraph"/>
        <w:numPr>
          <w:ilvl w:val="0"/>
          <w:numId w:val="1"/>
        </w:numPr>
        <w:spacing w:after="0" w:line="240" w:lineRule="auto"/>
        <w:jc w:val="both"/>
        <w:rPr>
          <w:rFonts w:ascii="Times New Roman" w:hAnsi="Times New Roman" w:cs="Times New Roman"/>
          <w:bCs/>
          <w:sz w:val="28"/>
          <w:szCs w:val="28"/>
        </w:rPr>
      </w:pPr>
      <w:r w:rsidRPr="000C3273">
        <w:rPr>
          <w:rFonts w:ascii="Times New Roman" w:hAnsi="Times New Roman" w:cs="Times New Roman"/>
          <w:bCs/>
          <w:sz w:val="28"/>
          <w:szCs w:val="28"/>
        </w:rPr>
        <w:t xml:space="preserve">Liberty argues that </w:t>
      </w:r>
      <w:r w:rsidR="001640DF" w:rsidRPr="000C3273">
        <w:rPr>
          <w:rFonts w:ascii="Times New Roman" w:hAnsi="Times New Roman" w:cs="Times New Roman"/>
          <w:bCs/>
          <w:sz w:val="28"/>
          <w:szCs w:val="28"/>
        </w:rPr>
        <w:t xml:space="preserve">the conditions of the IPD </w:t>
      </w:r>
      <w:r w:rsidR="003D6799" w:rsidRPr="000C3273">
        <w:rPr>
          <w:rFonts w:ascii="Times New Roman" w:hAnsi="Times New Roman" w:cs="Times New Roman"/>
          <w:bCs/>
          <w:sz w:val="28"/>
          <w:szCs w:val="28"/>
        </w:rPr>
        <w:t>Contract</w:t>
      </w:r>
      <w:r w:rsidR="00B839B8">
        <w:rPr>
          <w:rFonts w:ascii="Times New Roman" w:hAnsi="Times New Roman" w:cs="Times New Roman"/>
          <w:bCs/>
          <w:sz w:val="28"/>
          <w:szCs w:val="28"/>
        </w:rPr>
        <w:t xml:space="preserve"> </w:t>
      </w:r>
      <w:r w:rsidR="0084304D">
        <w:rPr>
          <w:rFonts w:ascii="Times New Roman" w:hAnsi="Times New Roman" w:cs="Times New Roman"/>
          <w:bCs/>
          <w:sz w:val="28"/>
          <w:szCs w:val="28"/>
        </w:rPr>
        <w:t xml:space="preserve">on the sharing of responsibilities </w:t>
      </w:r>
      <w:r w:rsidR="005D6B5E">
        <w:rPr>
          <w:rFonts w:ascii="Times New Roman" w:hAnsi="Times New Roman" w:cs="Times New Roman"/>
          <w:bCs/>
          <w:sz w:val="28"/>
          <w:szCs w:val="28"/>
        </w:rPr>
        <w:t>as well as the sharing</w:t>
      </w:r>
      <w:r w:rsidR="0084304D">
        <w:rPr>
          <w:rFonts w:ascii="Times New Roman" w:hAnsi="Times New Roman" w:cs="Times New Roman"/>
          <w:bCs/>
          <w:sz w:val="28"/>
          <w:szCs w:val="28"/>
        </w:rPr>
        <w:t xml:space="preserve"> of profits and losses </w:t>
      </w:r>
      <w:r w:rsidR="00B839B8">
        <w:rPr>
          <w:rFonts w:ascii="Times New Roman" w:hAnsi="Times New Roman" w:cs="Times New Roman"/>
          <w:bCs/>
          <w:sz w:val="28"/>
          <w:szCs w:val="28"/>
        </w:rPr>
        <w:t xml:space="preserve">create a partnership, </w:t>
      </w:r>
      <w:r w:rsidR="003D6799" w:rsidRPr="000C3273">
        <w:rPr>
          <w:rFonts w:ascii="Times New Roman" w:hAnsi="Times New Roman" w:cs="Times New Roman"/>
          <w:bCs/>
          <w:sz w:val="28"/>
          <w:szCs w:val="28"/>
        </w:rPr>
        <w:t xml:space="preserve">such that Northland does not fall within the definition of claimant under the Bond. </w:t>
      </w:r>
      <w:r w:rsidR="0069439B" w:rsidRPr="000C3273">
        <w:rPr>
          <w:rFonts w:ascii="Times New Roman" w:hAnsi="Times New Roman" w:cs="Times New Roman"/>
          <w:bCs/>
          <w:sz w:val="28"/>
          <w:szCs w:val="28"/>
        </w:rPr>
        <w:t xml:space="preserve">I agree with Liberty that the IPD Contract creates a </w:t>
      </w:r>
      <w:r w:rsidR="001466E6" w:rsidRPr="000C3273">
        <w:rPr>
          <w:rFonts w:ascii="Times New Roman" w:hAnsi="Times New Roman" w:cs="Times New Roman"/>
          <w:bCs/>
          <w:sz w:val="28"/>
          <w:szCs w:val="28"/>
        </w:rPr>
        <w:t xml:space="preserve">form of </w:t>
      </w:r>
      <w:r w:rsidR="00727E5B" w:rsidRPr="000C3273">
        <w:rPr>
          <w:rFonts w:ascii="Times New Roman" w:hAnsi="Times New Roman" w:cs="Times New Roman"/>
          <w:bCs/>
          <w:sz w:val="28"/>
          <w:szCs w:val="28"/>
        </w:rPr>
        <w:t>collaboration</w:t>
      </w:r>
      <w:r w:rsidR="0069439B" w:rsidRPr="000C3273">
        <w:rPr>
          <w:rFonts w:ascii="Times New Roman" w:hAnsi="Times New Roman" w:cs="Times New Roman"/>
          <w:bCs/>
          <w:sz w:val="28"/>
          <w:szCs w:val="28"/>
        </w:rPr>
        <w:t xml:space="preserve"> between ONEC and Northland</w:t>
      </w:r>
      <w:r w:rsidR="00AF5F15" w:rsidRPr="000C3273">
        <w:rPr>
          <w:rFonts w:ascii="Times New Roman" w:hAnsi="Times New Roman" w:cs="Times New Roman"/>
          <w:bCs/>
          <w:sz w:val="28"/>
          <w:szCs w:val="28"/>
        </w:rPr>
        <w:t xml:space="preserve"> </w:t>
      </w:r>
      <w:r w:rsidR="0069439B" w:rsidRPr="000C3273">
        <w:rPr>
          <w:rFonts w:ascii="Times New Roman" w:hAnsi="Times New Roman" w:cs="Times New Roman"/>
          <w:bCs/>
          <w:sz w:val="28"/>
          <w:szCs w:val="28"/>
        </w:rPr>
        <w:t xml:space="preserve">that is not typical of a </w:t>
      </w:r>
      <w:r w:rsidR="00601BA6">
        <w:rPr>
          <w:rFonts w:ascii="Times New Roman" w:hAnsi="Times New Roman" w:cs="Times New Roman"/>
          <w:bCs/>
          <w:sz w:val="28"/>
          <w:szCs w:val="28"/>
        </w:rPr>
        <w:t xml:space="preserve">construction </w:t>
      </w:r>
      <w:r w:rsidR="0069439B" w:rsidRPr="000C3273">
        <w:rPr>
          <w:rFonts w:ascii="Times New Roman" w:hAnsi="Times New Roman" w:cs="Times New Roman"/>
          <w:bCs/>
          <w:sz w:val="28"/>
          <w:szCs w:val="28"/>
        </w:rPr>
        <w:t xml:space="preserve">subcontract. </w:t>
      </w:r>
      <w:r w:rsidR="001466E6" w:rsidRPr="000C3273">
        <w:rPr>
          <w:rFonts w:ascii="Times New Roman" w:hAnsi="Times New Roman" w:cs="Times New Roman"/>
          <w:bCs/>
          <w:sz w:val="28"/>
          <w:szCs w:val="28"/>
        </w:rPr>
        <w:t xml:space="preserve">However, </w:t>
      </w:r>
      <w:r w:rsidR="0095634B">
        <w:rPr>
          <w:rFonts w:ascii="Times New Roman" w:hAnsi="Times New Roman" w:cs="Times New Roman"/>
          <w:bCs/>
          <w:sz w:val="28"/>
          <w:szCs w:val="28"/>
        </w:rPr>
        <w:t xml:space="preserve">Article GC 2.1.2. </w:t>
      </w:r>
      <w:r w:rsidR="00E94180">
        <w:rPr>
          <w:rFonts w:ascii="Times New Roman" w:hAnsi="Times New Roman" w:cs="Times New Roman"/>
          <w:bCs/>
          <w:sz w:val="28"/>
          <w:szCs w:val="28"/>
        </w:rPr>
        <w:t xml:space="preserve">specifically </w:t>
      </w:r>
      <w:r w:rsidR="0095634B">
        <w:rPr>
          <w:rFonts w:ascii="Times New Roman" w:hAnsi="Times New Roman" w:cs="Times New Roman"/>
          <w:bCs/>
          <w:sz w:val="28"/>
          <w:szCs w:val="28"/>
        </w:rPr>
        <w:t xml:space="preserve">states that </w:t>
      </w:r>
      <w:r w:rsidR="00E94180">
        <w:rPr>
          <w:rFonts w:ascii="Times New Roman" w:hAnsi="Times New Roman" w:cs="Times New Roman"/>
          <w:bCs/>
          <w:sz w:val="28"/>
          <w:szCs w:val="28"/>
        </w:rPr>
        <w:t>“[a]</w:t>
      </w:r>
      <w:proofErr w:type="spellStart"/>
      <w:r w:rsidR="00E94180">
        <w:rPr>
          <w:rFonts w:ascii="Times New Roman" w:hAnsi="Times New Roman" w:cs="Times New Roman"/>
          <w:bCs/>
          <w:sz w:val="28"/>
          <w:szCs w:val="28"/>
        </w:rPr>
        <w:t>lthough</w:t>
      </w:r>
      <w:proofErr w:type="spellEnd"/>
      <w:r w:rsidR="00E94180">
        <w:rPr>
          <w:rFonts w:ascii="Times New Roman" w:hAnsi="Times New Roman" w:cs="Times New Roman"/>
          <w:bCs/>
          <w:sz w:val="28"/>
          <w:szCs w:val="28"/>
        </w:rPr>
        <w:t xml:space="preserve"> the Contract establishes a relationship of mutual trust and good faith</w:t>
      </w:r>
      <w:r w:rsidR="00FC2FF9">
        <w:rPr>
          <w:rFonts w:ascii="Times New Roman" w:hAnsi="Times New Roman" w:cs="Times New Roman"/>
          <w:bCs/>
          <w:sz w:val="28"/>
          <w:szCs w:val="28"/>
        </w:rPr>
        <w:t xml:space="preserve"> </w:t>
      </w:r>
      <w:r w:rsidR="00E94180">
        <w:rPr>
          <w:rFonts w:ascii="Times New Roman" w:hAnsi="Times New Roman" w:cs="Times New Roman"/>
          <w:bCs/>
          <w:sz w:val="28"/>
          <w:szCs w:val="28"/>
        </w:rPr>
        <w:t>[…], it does not create an agency</w:t>
      </w:r>
      <w:r w:rsidR="007530CA">
        <w:rPr>
          <w:rFonts w:ascii="Times New Roman" w:hAnsi="Times New Roman" w:cs="Times New Roman"/>
          <w:bCs/>
          <w:sz w:val="28"/>
          <w:szCs w:val="28"/>
        </w:rPr>
        <w:t xml:space="preserve"> relationship, fiduciary relationship, </w:t>
      </w:r>
      <w:r w:rsidR="007530CA" w:rsidRPr="007530CA">
        <w:rPr>
          <w:rFonts w:ascii="Times New Roman" w:hAnsi="Times New Roman" w:cs="Times New Roman"/>
          <w:bCs/>
          <w:sz w:val="28"/>
          <w:szCs w:val="28"/>
          <w:u w:val="single"/>
        </w:rPr>
        <w:t>partnership</w:t>
      </w:r>
      <w:r w:rsidR="007530CA">
        <w:rPr>
          <w:rFonts w:ascii="Times New Roman" w:hAnsi="Times New Roman" w:cs="Times New Roman"/>
          <w:bCs/>
          <w:sz w:val="28"/>
          <w:szCs w:val="28"/>
        </w:rPr>
        <w:t xml:space="preserve">, or joint </w:t>
      </w:r>
      <w:r w:rsidR="00FC2FF9">
        <w:rPr>
          <w:rFonts w:ascii="Times New Roman" w:hAnsi="Times New Roman" w:cs="Times New Roman"/>
          <w:bCs/>
          <w:sz w:val="28"/>
          <w:szCs w:val="28"/>
        </w:rPr>
        <w:t>venture” (</w:t>
      </w:r>
      <w:r w:rsidR="007530CA">
        <w:rPr>
          <w:rFonts w:ascii="Times New Roman" w:hAnsi="Times New Roman" w:cs="Times New Roman"/>
          <w:bCs/>
          <w:sz w:val="28"/>
          <w:szCs w:val="28"/>
        </w:rPr>
        <w:t xml:space="preserve">emphasis added). In addition, </w:t>
      </w:r>
      <w:r w:rsidR="001466E6" w:rsidRPr="000C3273">
        <w:rPr>
          <w:rFonts w:ascii="Times New Roman" w:hAnsi="Times New Roman" w:cs="Times New Roman"/>
          <w:bCs/>
          <w:sz w:val="28"/>
          <w:szCs w:val="28"/>
        </w:rPr>
        <w:t xml:space="preserve">the Bond defines a claimant as “one having a direct contract with the Principal for labour, material, or both, used or reasonably required for use in the performance of the contract”. This language is broad and does not limit claimants to traditional subcontractors. </w:t>
      </w:r>
      <w:r w:rsidR="00122F4B" w:rsidRPr="000C3273">
        <w:rPr>
          <w:rFonts w:ascii="Times New Roman" w:hAnsi="Times New Roman" w:cs="Times New Roman"/>
          <w:bCs/>
          <w:sz w:val="28"/>
          <w:szCs w:val="28"/>
        </w:rPr>
        <w:t>In this case, t</w:t>
      </w:r>
      <w:r w:rsidR="00F16A39" w:rsidRPr="000C3273">
        <w:rPr>
          <w:rFonts w:ascii="Times New Roman" w:hAnsi="Times New Roman" w:cs="Times New Roman"/>
          <w:bCs/>
          <w:sz w:val="28"/>
          <w:szCs w:val="28"/>
        </w:rPr>
        <w:t>he IPD Contract identifies the “Owner” as ONEC and the “</w:t>
      </w:r>
      <w:r w:rsidR="004314F0" w:rsidRPr="000C3273">
        <w:rPr>
          <w:rFonts w:ascii="Times New Roman" w:hAnsi="Times New Roman" w:cs="Times New Roman"/>
          <w:bCs/>
          <w:sz w:val="28"/>
          <w:szCs w:val="28"/>
        </w:rPr>
        <w:t>C</w:t>
      </w:r>
      <w:r w:rsidR="00F16A39" w:rsidRPr="000C3273">
        <w:rPr>
          <w:rFonts w:ascii="Times New Roman" w:hAnsi="Times New Roman" w:cs="Times New Roman"/>
          <w:bCs/>
          <w:sz w:val="28"/>
          <w:szCs w:val="28"/>
        </w:rPr>
        <w:t xml:space="preserve">ontractor” as Northland, creating a form of subordination.  </w:t>
      </w:r>
      <w:r w:rsidR="00BD10EA" w:rsidRPr="000C3273">
        <w:rPr>
          <w:rFonts w:ascii="Times New Roman" w:hAnsi="Times New Roman" w:cs="Times New Roman"/>
          <w:bCs/>
          <w:sz w:val="28"/>
          <w:szCs w:val="28"/>
        </w:rPr>
        <w:t xml:space="preserve">Article 5 </w:t>
      </w:r>
      <w:r w:rsidR="00796A4F" w:rsidRPr="000C3273">
        <w:rPr>
          <w:rFonts w:ascii="Times New Roman" w:hAnsi="Times New Roman" w:cs="Times New Roman"/>
          <w:bCs/>
          <w:sz w:val="28"/>
          <w:szCs w:val="28"/>
        </w:rPr>
        <w:t>Reimbursable Costs and Article A-6</w:t>
      </w:r>
      <w:r w:rsidR="00C409A1" w:rsidRPr="000C3273">
        <w:rPr>
          <w:rFonts w:ascii="Times New Roman" w:hAnsi="Times New Roman" w:cs="Times New Roman"/>
          <w:bCs/>
          <w:sz w:val="28"/>
          <w:szCs w:val="28"/>
        </w:rPr>
        <w:t xml:space="preserve"> </w:t>
      </w:r>
      <w:r w:rsidR="00796A4F" w:rsidRPr="000C3273">
        <w:rPr>
          <w:rFonts w:ascii="Times New Roman" w:hAnsi="Times New Roman" w:cs="Times New Roman"/>
          <w:bCs/>
          <w:sz w:val="28"/>
          <w:szCs w:val="28"/>
        </w:rPr>
        <w:t>Payment set out an obligation on ONEC</w:t>
      </w:r>
      <w:r w:rsidR="005F09A1">
        <w:rPr>
          <w:rFonts w:ascii="Times New Roman" w:hAnsi="Times New Roman" w:cs="Times New Roman"/>
          <w:bCs/>
          <w:sz w:val="28"/>
          <w:szCs w:val="28"/>
        </w:rPr>
        <w:t xml:space="preserve"> </w:t>
      </w:r>
      <w:r w:rsidR="000C18E7" w:rsidRPr="000C3273">
        <w:rPr>
          <w:rFonts w:ascii="Times New Roman" w:hAnsi="Times New Roman" w:cs="Times New Roman"/>
          <w:bCs/>
          <w:sz w:val="28"/>
          <w:szCs w:val="28"/>
        </w:rPr>
        <w:t xml:space="preserve">to </w:t>
      </w:r>
      <w:r w:rsidR="00C409A1" w:rsidRPr="000C3273">
        <w:rPr>
          <w:rFonts w:ascii="Times New Roman" w:hAnsi="Times New Roman" w:cs="Times New Roman"/>
          <w:bCs/>
          <w:sz w:val="28"/>
          <w:szCs w:val="28"/>
        </w:rPr>
        <w:t xml:space="preserve">pay </w:t>
      </w:r>
      <w:r w:rsidR="00F05A51" w:rsidRPr="000C3273">
        <w:rPr>
          <w:rFonts w:ascii="Times New Roman" w:hAnsi="Times New Roman" w:cs="Times New Roman"/>
          <w:bCs/>
          <w:sz w:val="28"/>
          <w:szCs w:val="28"/>
        </w:rPr>
        <w:t xml:space="preserve">Northland all actual costs supported by receipts, invoices and other suitable documentation </w:t>
      </w:r>
      <w:r w:rsidR="004521BA" w:rsidRPr="000C3273">
        <w:rPr>
          <w:rFonts w:ascii="Times New Roman" w:hAnsi="Times New Roman" w:cs="Times New Roman"/>
          <w:bCs/>
          <w:sz w:val="28"/>
          <w:szCs w:val="28"/>
        </w:rPr>
        <w:t>it incurred in performing the contract</w:t>
      </w:r>
      <w:r w:rsidR="005D4B1B">
        <w:rPr>
          <w:rFonts w:ascii="Times New Roman" w:hAnsi="Times New Roman" w:cs="Times New Roman"/>
          <w:bCs/>
          <w:sz w:val="28"/>
          <w:szCs w:val="28"/>
        </w:rPr>
        <w:t xml:space="preserve">, plus </w:t>
      </w:r>
      <w:r w:rsidR="00483B2B">
        <w:rPr>
          <w:rFonts w:ascii="Times New Roman" w:hAnsi="Times New Roman" w:cs="Times New Roman"/>
          <w:bCs/>
          <w:sz w:val="28"/>
          <w:szCs w:val="28"/>
        </w:rPr>
        <w:t>overhead of 8%</w:t>
      </w:r>
      <w:r w:rsidR="004521BA" w:rsidRPr="000C3273">
        <w:rPr>
          <w:rFonts w:ascii="Times New Roman" w:hAnsi="Times New Roman" w:cs="Times New Roman"/>
          <w:bCs/>
          <w:sz w:val="28"/>
          <w:szCs w:val="28"/>
        </w:rPr>
        <w:t>.</w:t>
      </w:r>
      <w:r w:rsidR="000C3273">
        <w:rPr>
          <w:rFonts w:ascii="Times New Roman" w:hAnsi="Times New Roman" w:cs="Times New Roman"/>
          <w:bCs/>
          <w:sz w:val="28"/>
          <w:szCs w:val="28"/>
        </w:rPr>
        <w:t xml:space="preserve"> These terms</w:t>
      </w:r>
      <w:r w:rsidR="00B131D1">
        <w:rPr>
          <w:rFonts w:ascii="Times New Roman" w:hAnsi="Times New Roman" w:cs="Times New Roman"/>
          <w:bCs/>
          <w:sz w:val="28"/>
          <w:szCs w:val="28"/>
        </w:rPr>
        <w:t xml:space="preserve"> </w:t>
      </w:r>
      <w:r w:rsidR="006936F6">
        <w:rPr>
          <w:rFonts w:ascii="Times New Roman" w:hAnsi="Times New Roman" w:cs="Times New Roman"/>
          <w:bCs/>
          <w:sz w:val="28"/>
          <w:szCs w:val="28"/>
        </w:rPr>
        <w:t>set out</w:t>
      </w:r>
      <w:r w:rsidR="000C3273">
        <w:rPr>
          <w:rFonts w:ascii="Times New Roman" w:hAnsi="Times New Roman" w:cs="Times New Roman"/>
          <w:bCs/>
          <w:sz w:val="28"/>
          <w:szCs w:val="28"/>
        </w:rPr>
        <w:t xml:space="preserve"> a</w:t>
      </w:r>
      <w:r w:rsidR="00865BF2">
        <w:rPr>
          <w:rFonts w:ascii="Times New Roman" w:hAnsi="Times New Roman" w:cs="Times New Roman"/>
          <w:bCs/>
          <w:sz w:val="28"/>
          <w:szCs w:val="28"/>
        </w:rPr>
        <w:t xml:space="preserve"> direct contract between ONEC and Northland for labour, material</w:t>
      </w:r>
      <w:r w:rsidR="00982C2C">
        <w:rPr>
          <w:rFonts w:ascii="Times New Roman" w:hAnsi="Times New Roman" w:cs="Times New Roman"/>
          <w:bCs/>
          <w:sz w:val="28"/>
          <w:szCs w:val="28"/>
        </w:rPr>
        <w:t>,</w:t>
      </w:r>
      <w:r w:rsidR="00865BF2">
        <w:rPr>
          <w:rFonts w:ascii="Times New Roman" w:hAnsi="Times New Roman" w:cs="Times New Roman"/>
          <w:bCs/>
          <w:sz w:val="28"/>
          <w:szCs w:val="28"/>
        </w:rPr>
        <w:t xml:space="preserve"> </w:t>
      </w:r>
      <w:r w:rsidR="00E248F8">
        <w:rPr>
          <w:rFonts w:ascii="Times New Roman" w:hAnsi="Times New Roman" w:cs="Times New Roman"/>
          <w:bCs/>
          <w:sz w:val="28"/>
          <w:szCs w:val="28"/>
        </w:rPr>
        <w:t xml:space="preserve">or both, </w:t>
      </w:r>
      <w:r w:rsidR="00E248F8" w:rsidRPr="000C3273">
        <w:rPr>
          <w:rFonts w:ascii="Times New Roman" w:hAnsi="Times New Roman" w:cs="Times New Roman"/>
          <w:bCs/>
          <w:sz w:val="28"/>
          <w:szCs w:val="28"/>
        </w:rPr>
        <w:t>reasonably required for use in the performance of the contract</w:t>
      </w:r>
      <w:r w:rsidR="00E248F8">
        <w:rPr>
          <w:rFonts w:ascii="Times New Roman" w:hAnsi="Times New Roman" w:cs="Times New Roman"/>
          <w:bCs/>
          <w:sz w:val="28"/>
          <w:szCs w:val="28"/>
        </w:rPr>
        <w:t xml:space="preserve">. </w:t>
      </w:r>
    </w:p>
    <w:p w14:paraId="196D0243" w14:textId="77777777" w:rsidR="00E1165F" w:rsidRPr="00E1165F" w:rsidRDefault="00E1165F" w:rsidP="00E1165F">
      <w:pPr>
        <w:pStyle w:val="ListParagraph"/>
        <w:spacing w:after="0" w:line="240" w:lineRule="auto"/>
        <w:ind w:left="0"/>
        <w:jc w:val="both"/>
        <w:rPr>
          <w:rFonts w:ascii="Times New Roman" w:hAnsi="Times New Roman" w:cs="Times New Roman"/>
          <w:bCs/>
          <w:sz w:val="28"/>
          <w:szCs w:val="28"/>
        </w:rPr>
      </w:pPr>
    </w:p>
    <w:p w14:paraId="1220BF2F" w14:textId="739999BC" w:rsidR="00331E1D" w:rsidRDefault="001A22B2" w:rsidP="007A0F5B">
      <w:pPr>
        <w:pStyle w:val="ListParagraph"/>
        <w:numPr>
          <w:ilvl w:val="0"/>
          <w:numId w:val="1"/>
        </w:numPr>
        <w:spacing w:after="0" w:line="240" w:lineRule="auto"/>
        <w:contextualSpacing w:val="0"/>
        <w:jc w:val="both"/>
        <w:rPr>
          <w:rFonts w:ascii="Times New Roman" w:hAnsi="Times New Roman" w:cs="Times New Roman"/>
          <w:bCs/>
          <w:sz w:val="28"/>
          <w:szCs w:val="28"/>
        </w:rPr>
      </w:pPr>
      <w:r w:rsidRPr="001870D4">
        <w:rPr>
          <w:rFonts w:ascii="Times New Roman" w:hAnsi="Times New Roman" w:cs="Times New Roman"/>
          <w:bCs/>
          <w:sz w:val="28"/>
          <w:szCs w:val="28"/>
        </w:rPr>
        <w:t xml:space="preserve">I conclude that </w:t>
      </w:r>
      <w:r w:rsidR="00335E9F" w:rsidRPr="001870D4">
        <w:rPr>
          <w:rFonts w:ascii="Times New Roman" w:hAnsi="Times New Roman" w:cs="Times New Roman"/>
          <w:bCs/>
          <w:sz w:val="28"/>
          <w:szCs w:val="28"/>
        </w:rPr>
        <w:t xml:space="preserve">ONEC and Liberty are liable for </w:t>
      </w:r>
      <w:r w:rsidR="00335E9F" w:rsidRPr="00723B19">
        <w:rPr>
          <w:rFonts w:ascii="Times New Roman" w:hAnsi="Times New Roman" w:cs="Times New Roman"/>
          <w:bCs/>
          <w:sz w:val="28"/>
          <w:szCs w:val="28"/>
        </w:rPr>
        <w:t>the costs Northland</w:t>
      </w:r>
      <w:r w:rsidR="00335E9F" w:rsidRPr="001870D4">
        <w:rPr>
          <w:rFonts w:ascii="Times New Roman" w:hAnsi="Times New Roman" w:cs="Times New Roman"/>
          <w:bCs/>
          <w:sz w:val="28"/>
          <w:szCs w:val="28"/>
        </w:rPr>
        <w:t xml:space="preserve"> incurred </w:t>
      </w:r>
      <w:r w:rsidR="00234EB5" w:rsidRPr="001870D4">
        <w:rPr>
          <w:rFonts w:ascii="Times New Roman" w:hAnsi="Times New Roman" w:cs="Times New Roman"/>
          <w:bCs/>
          <w:sz w:val="28"/>
          <w:szCs w:val="28"/>
        </w:rPr>
        <w:t>for</w:t>
      </w:r>
      <w:r w:rsidR="00335E9F" w:rsidRPr="001870D4">
        <w:rPr>
          <w:rFonts w:ascii="Times New Roman" w:hAnsi="Times New Roman" w:cs="Times New Roman"/>
          <w:bCs/>
          <w:sz w:val="28"/>
          <w:szCs w:val="28"/>
        </w:rPr>
        <w:t xml:space="preserve"> the </w:t>
      </w:r>
      <w:r w:rsidR="00E65578" w:rsidRPr="001870D4">
        <w:rPr>
          <w:rFonts w:ascii="Times New Roman" w:hAnsi="Times New Roman" w:cs="Times New Roman"/>
          <w:bCs/>
          <w:sz w:val="28"/>
          <w:szCs w:val="28"/>
        </w:rPr>
        <w:t xml:space="preserve">work performed on the Inuvik High Point Wind Project. </w:t>
      </w:r>
      <w:r w:rsidR="00244774" w:rsidRPr="001870D4">
        <w:rPr>
          <w:rFonts w:ascii="Times New Roman" w:hAnsi="Times New Roman" w:cs="Times New Roman"/>
          <w:bCs/>
          <w:sz w:val="28"/>
          <w:szCs w:val="28"/>
        </w:rPr>
        <w:t xml:space="preserve">However, they </w:t>
      </w:r>
      <w:r w:rsidR="006178D8">
        <w:rPr>
          <w:rFonts w:ascii="Times New Roman" w:hAnsi="Times New Roman" w:cs="Times New Roman"/>
          <w:bCs/>
          <w:sz w:val="28"/>
          <w:szCs w:val="28"/>
        </w:rPr>
        <w:t>must</w:t>
      </w:r>
      <w:r w:rsidR="00465DD1">
        <w:rPr>
          <w:rFonts w:ascii="Times New Roman" w:hAnsi="Times New Roman" w:cs="Times New Roman"/>
          <w:bCs/>
          <w:sz w:val="28"/>
          <w:szCs w:val="28"/>
        </w:rPr>
        <w:t xml:space="preserve"> pay </w:t>
      </w:r>
      <w:r w:rsidR="006178D8">
        <w:rPr>
          <w:rFonts w:ascii="Times New Roman" w:hAnsi="Times New Roman" w:cs="Times New Roman"/>
          <w:bCs/>
          <w:sz w:val="28"/>
          <w:szCs w:val="28"/>
        </w:rPr>
        <w:t xml:space="preserve">only </w:t>
      </w:r>
      <w:r w:rsidR="003C576B">
        <w:rPr>
          <w:rFonts w:ascii="Times New Roman" w:hAnsi="Times New Roman" w:cs="Times New Roman"/>
          <w:bCs/>
          <w:sz w:val="28"/>
          <w:szCs w:val="28"/>
        </w:rPr>
        <w:t xml:space="preserve">the </w:t>
      </w:r>
      <w:r w:rsidR="00465DD1">
        <w:rPr>
          <w:rFonts w:ascii="Times New Roman" w:hAnsi="Times New Roman" w:cs="Times New Roman"/>
          <w:bCs/>
          <w:sz w:val="28"/>
          <w:szCs w:val="28"/>
        </w:rPr>
        <w:t xml:space="preserve">outstanding </w:t>
      </w:r>
      <w:r w:rsidR="00A81E7E" w:rsidRPr="001870D4">
        <w:rPr>
          <w:rFonts w:ascii="Times New Roman" w:hAnsi="Times New Roman" w:cs="Times New Roman"/>
          <w:bCs/>
          <w:sz w:val="28"/>
          <w:szCs w:val="28"/>
        </w:rPr>
        <w:t xml:space="preserve">amounts </w:t>
      </w:r>
      <w:r w:rsidR="00234EB5" w:rsidRPr="001870D4">
        <w:rPr>
          <w:rFonts w:ascii="Times New Roman" w:hAnsi="Times New Roman" w:cs="Times New Roman"/>
          <w:bCs/>
          <w:sz w:val="28"/>
          <w:szCs w:val="28"/>
        </w:rPr>
        <w:t>due</w:t>
      </w:r>
      <w:r w:rsidR="00A81E7E" w:rsidRPr="001870D4">
        <w:rPr>
          <w:rFonts w:ascii="Times New Roman" w:hAnsi="Times New Roman" w:cs="Times New Roman"/>
          <w:bCs/>
          <w:sz w:val="28"/>
          <w:szCs w:val="28"/>
        </w:rPr>
        <w:t xml:space="preserve"> under the IPD Contract</w:t>
      </w:r>
      <w:r w:rsidR="00A81E7E" w:rsidRPr="00AF6A67">
        <w:rPr>
          <w:rFonts w:ascii="Times New Roman" w:hAnsi="Times New Roman" w:cs="Times New Roman"/>
          <w:bCs/>
          <w:sz w:val="28"/>
          <w:szCs w:val="28"/>
        </w:rPr>
        <w:t>.</w:t>
      </w:r>
      <w:r w:rsidR="00181FD0" w:rsidRPr="00AF6A67">
        <w:rPr>
          <w:rFonts w:ascii="Times New Roman" w:hAnsi="Times New Roman" w:cs="Times New Roman"/>
          <w:bCs/>
          <w:sz w:val="28"/>
          <w:szCs w:val="28"/>
        </w:rPr>
        <w:t xml:space="preserve"> </w:t>
      </w:r>
      <w:r w:rsidR="00AF6A67" w:rsidRPr="00AF6A67">
        <w:rPr>
          <w:rFonts w:ascii="Times New Roman" w:hAnsi="Times New Roman" w:cs="Times New Roman"/>
          <w:bCs/>
          <w:sz w:val="28"/>
          <w:szCs w:val="28"/>
        </w:rPr>
        <w:t xml:space="preserve">Based on the evidence presented before me, </w:t>
      </w:r>
      <w:r w:rsidR="00181FD0" w:rsidRPr="00AF6A67">
        <w:rPr>
          <w:rFonts w:ascii="Times New Roman" w:hAnsi="Times New Roman" w:cs="Times New Roman"/>
          <w:bCs/>
          <w:sz w:val="28"/>
          <w:szCs w:val="28"/>
        </w:rPr>
        <w:t xml:space="preserve">I am </w:t>
      </w:r>
      <w:r w:rsidR="00783EF8">
        <w:rPr>
          <w:rFonts w:ascii="Times New Roman" w:hAnsi="Times New Roman" w:cs="Times New Roman"/>
          <w:bCs/>
          <w:sz w:val="28"/>
          <w:szCs w:val="28"/>
        </w:rPr>
        <w:t>satisfied</w:t>
      </w:r>
      <w:r w:rsidR="00181FD0" w:rsidRPr="00AF6A67">
        <w:rPr>
          <w:rFonts w:ascii="Times New Roman" w:hAnsi="Times New Roman" w:cs="Times New Roman"/>
          <w:bCs/>
          <w:sz w:val="28"/>
          <w:szCs w:val="28"/>
        </w:rPr>
        <w:t xml:space="preserve"> that some amount is owed</w:t>
      </w:r>
      <w:r w:rsidR="00783EF8">
        <w:rPr>
          <w:rFonts w:ascii="Times New Roman" w:hAnsi="Times New Roman" w:cs="Times New Roman"/>
          <w:bCs/>
          <w:sz w:val="28"/>
          <w:szCs w:val="28"/>
        </w:rPr>
        <w:t xml:space="preserve"> to Northland</w:t>
      </w:r>
      <w:r w:rsidR="00181FD0" w:rsidRPr="00AF6A67">
        <w:rPr>
          <w:rFonts w:ascii="Times New Roman" w:hAnsi="Times New Roman" w:cs="Times New Roman"/>
          <w:bCs/>
          <w:sz w:val="28"/>
          <w:szCs w:val="28"/>
        </w:rPr>
        <w:t>.</w:t>
      </w:r>
      <w:r w:rsidR="00AF6A67" w:rsidRPr="00AF6A67">
        <w:rPr>
          <w:rFonts w:ascii="Times New Roman" w:hAnsi="Times New Roman" w:cs="Times New Roman"/>
          <w:bCs/>
          <w:sz w:val="28"/>
          <w:szCs w:val="28"/>
        </w:rPr>
        <w:t xml:space="preserve"> However, </w:t>
      </w:r>
      <w:r w:rsidR="00AF6A67">
        <w:rPr>
          <w:rFonts w:ascii="Times New Roman" w:hAnsi="Times New Roman" w:cs="Times New Roman"/>
          <w:bCs/>
          <w:sz w:val="28"/>
          <w:szCs w:val="28"/>
        </w:rPr>
        <w:t>as</w:t>
      </w:r>
      <w:r w:rsidR="00181FD0" w:rsidRPr="00AF6A67">
        <w:rPr>
          <w:rFonts w:ascii="Times New Roman" w:hAnsi="Times New Roman" w:cs="Times New Roman"/>
          <w:bCs/>
          <w:sz w:val="28"/>
          <w:szCs w:val="28"/>
        </w:rPr>
        <w:t xml:space="preserve"> </w:t>
      </w:r>
      <w:r w:rsidR="006178D8">
        <w:rPr>
          <w:rFonts w:ascii="Times New Roman" w:hAnsi="Times New Roman" w:cs="Times New Roman"/>
          <w:bCs/>
          <w:sz w:val="28"/>
          <w:szCs w:val="28"/>
        </w:rPr>
        <w:t>explained</w:t>
      </w:r>
      <w:r w:rsidR="00181FD0" w:rsidRPr="00AF6A67">
        <w:rPr>
          <w:rFonts w:ascii="Times New Roman" w:hAnsi="Times New Roman" w:cs="Times New Roman"/>
          <w:bCs/>
          <w:sz w:val="28"/>
          <w:szCs w:val="28"/>
        </w:rPr>
        <w:t xml:space="preserve"> below, I </w:t>
      </w:r>
      <w:r w:rsidR="00F51C1D">
        <w:rPr>
          <w:rFonts w:ascii="Times New Roman" w:hAnsi="Times New Roman" w:cs="Times New Roman"/>
          <w:bCs/>
          <w:sz w:val="28"/>
          <w:szCs w:val="28"/>
        </w:rPr>
        <w:t>am not convinced that I can</w:t>
      </w:r>
      <w:r w:rsidR="00D35DD1">
        <w:rPr>
          <w:rFonts w:ascii="Times New Roman" w:hAnsi="Times New Roman" w:cs="Times New Roman"/>
          <w:bCs/>
          <w:sz w:val="28"/>
          <w:szCs w:val="28"/>
        </w:rPr>
        <w:t>, at this stage,</w:t>
      </w:r>
      <w:r w:rsidR="00181FD0" w:rsidRPr="00AF6A67">
        <w:rPr>
          <w:rFonts w:ascii="Times New Roman" w:hAnsi="Times New Roman" w:cs="Times New Roman"/>
          <w:bCs/>
          <w:sz w:val="28"/>
          <w:szCs w:val="28"/>
        </w:rPr>
        <w:t xml:space="preserve"> fairly determine the</w:t>
      </w:r>
      <w:r w:rsidR="00AF6A67">
        <w:rPr>
          <w:rFonts w:ascii="Times New Roman" w:hAnsi="Times New Roman" w:cs="Times New Roman"/>
          <w:bCs/>
          <w:sz w:val="28"/>
          <w:szCs w:val="28"/>
        </w:rPr>
        <w:t xml:space="preserve"> exact</w:t>
      </w:r>
      <w:r w:rsidR="00181FD0" w:rsidRPr="00AF6A67">
        <w:rPr>
          <w:rFonts w:ascii="Times New Roman" w:hAnsi="Times New Roman" w:cs="Times New Roman"/>
          <w:bCs/>
          <w:sz w:val="28"/>
          <w:szCs w:val="28"/>
        </w:rPr>
        <w:t xml:space="preserve"> amount </w:t>
      </w:r>
      <w:r w:rsidR="00AF6A67">
        <w:rPr>
          <w:rFonts w:ascii="Times New Roman" w:hAnsi="Times New Roman" w:cs="Times New Roman"/>
          <w:bCs/>
          <w:sz w:val="28"/>
          <w:szCs w:val="28"/>
        </w:rPr>
        <w:t>Northland</w:t>
      </w:r>
      <w:r w:rsidR="006C1306">
        <w:rPr>
          <w:rFonts w:ascii="Times New Roman" w:hAnsi="Times New Roman" w:cs="Times New Roman"/>
          <w:bCs/>
          <w:sz w:val="28"/>
          <w:szCs w:val="28"/>
        </w:rPr>
        <w:t xml:space="preserve"> is entitled to receive. </w:t>
      </w:r>
    </w:p>
    <w:p w14:paraId="0A9E9533" w14:textId="77777777" w:rsidR="00331E1D" w:rsidRPr="00093579" w:rsidRDefault="00331E1D" w:rsidP="00331E1D">
      <w:pPr>
        <w:spacing w:after="0" w:line="240" w:lineRule="auto"/>
        <w:jc w:val="both"/>
        <w:rPr>
          <w:rFonts w:ascii="Times New Roman" w:hAnsi="Times New Roman" w:cs="Times New Roman"/>
          <w:bCs/>
          <w:sz w:val="28"/>
          <w:szCs w:val="28"/>
          <w:u w:val="single"/>
        </w:rPr>
      </w:pPr>
      <w:r w:rsidRPr="00093579">
        <w:rPr>
          <w:rFonts w:ascii="Times New Roman" w:hAnsi="Times New Roman" w:cs="Times New Roman"/>
          <w:bCs/>
          <w:sz w:val="28"/>
          <w:szCs w:val="28"/>
          <w:u w:val="single"/>
        </w:rPr>
        <w:lastRenderedPageBreak/>
        <w:t>NTE’s Liability</w:t>
      </w:r>
    </w:p>
    <w:p w14:paraId="57D35461" w14:textId="77777777" w:rsidR="000800F0" w:rsidRPr="006920D1" w:rsidRDefault="000800F0" w:rsidP="00331E1D">
      <w:pPr>
        <w:spacing w:after="0" w:line="240" w:lineRule="auto"/>
        <w:jc w:val="both"/>
        <w:rPr>
          <w:rFonts w:ascii="Times New Roman" w:hAnsi="Times New Roman" w:cs="Times New Roman"/>
          <w:b/>
          <w:i/>
          <w:iCs/>
          <w:sz w:val="28"/>
          <w:szCs w:val="28"/>
        </w:rPr>
      </w:pPr>
    </w:p>
    <w:p w14:paraId="18393EA5" w14:textId="4028C833" w:rsidR="00606924" w:rsidRDefault="00714F3F" w:rsidP="00C87B25">
      <w:pPr>
        <w:pStyle w:val="ListParagraph"/>
        <w:numPr>
          <w:ilvl w:val="0"/>
          <w:numId w:val="1"/>
        </w:numPr>
        <w:spacing w:after="0" w:line="240" w:lineRule="auto"/>
        <w:contextualSpacing w:val="0"/>
        <w:jc w:val="both"/>
        <w:rPr>
          <w:rFonts w:ascii="Times New Roman" w:hAnsi="Times New Roman" w:cs="Times New Roman"/>
          <w:bCs/>
          <w:sz w:val="28"/>
          <w:szCs w:val="28"/>
        </w:rPr>
      </w:pPr>
      <w:r w:rsidRPr="00007573">
        <w:rPr>
          <w:rFonts w:ascii="Times New Roman" w:hAnsi="Times New Roman" w:cs="Times New Roman"/>
          <w:bCs/>
          <w:sz w:val="28"/>
          <w:szCs w:val="28"/>
        </w:rPr>
        <w:t>Northland advance</w:t>
      </w:r>
      <w:r w:rsidR="006667F2">
        <w:rPr>
          <w:rFonts w:ascii="Times New Roman" w:hAnsi="Times New Roman" w:cs="Times New Roman"/>
          <w:bCs/>
          <w:sz w:val="28"/>
          <w:szCs w:val="28"/>
        </w:rPr>
        <w:t>s</w:t>
      </w:r>
      <w:r w:rsidRPr="00007573">
        <w:rPr>
          <w:rFonts w:ascii="Times New Roman" w:hAnsi="Times New Roman" w:cs="Times New Roman"/>
          <w:bCs/>
          <w:sz w:val="28"/>
          <w:szCs w:val="28"/>
        </w:rPr>
        <w:t xml:space="preserve"> that </w:t>
      </w:r>
      <w:r w:rsidR="00051033" w:rsidRPr="00007573">
        <w:rPr>
          <w:rFonts w:ascii="Times New Roman" w:hAnsi="Times New Roman" w:cs="Times New Roman"/>
          <w:bCs/>
          <w:sz w:val="28"/>
          <w:szCs w:val="28"/>
        </w:rPr>
        <w:t xml:space="preserve">NTE is liable for the outstanding amount </w:t>
      </w:r>
      <w:r w:rsidR="003350DD" w:rsidRPr="00007573">
        <w:rPr>
          <w:rFonts w:ascii="Times New Roman" w:hAnsi="Times New Roman" w:cs="Times New Roman"/>
          <w:bCs/>
          <w:sz w:val="28"/>
          <w:szCs w:val="28"/>
        </w:rPr>
        <w:t>not already paid by ONEC</w:t>
      </w:r>
      <w:r w:rsidR="007B3632" w:rsidRPr="00007573">
        <w:rPr>
          <w:rFonts w:ascii="Times New Roman" w:hAnsi="Times New Roman" w:cs="Times New Roman"/>
          <w:bCs/>
          <w:sz w:val="28"/>
          <w:szCs w:val="28"/>
        </w:rPr>
        <w:t xml:space="preserve"> as a breach of contract or under the doctrine of un</w:t>
      </w:r>
      <w:r w:rsidR="0065340C" w:rsidRPr="00007573">
        <w:rPr>
          <w:rFonts w:ascii="Times New Roman" w:hAnsi="Times New Roman" w:cs="Times New Roman"/>
          <w:bCs/>
          <w:sz w:val="28"/>
          <w:szCs w:val="28"/>
        </w:rPr>
        <w:t xml:space="preserve">just enrichment </w:t>
      </w:r>
      <w:r w:rsidR="007A740D" w:rsidRPr="00007573">
        <w:rPr>
          <w:rFonts w:ascii="Times New Roman" w:hAnsi="Times New Roman" w:cs="Times New Roman"/>
          <w:bCs/>
          <w:sz w:val="28"/>
          <w:szCs w:val="28"/>
        </w:rPr>
        <w:t xml:space="preserve">if the court </w:t>
      </w:r>
      <w:r w:rsidR="00344707">
        <w:rPr>
          <w:rFonts w:ascii="Times New Roman" w:hAnsi="Times New Roman" w:cs="Times New Roman"/>
          <w:bCs/>
          <w:sz w:val="28"/>
          <w:szCs w:val="28"/>
        </w:rPr>
        <w:t>finds</w:t>
      </w:r>
      <w:r w:rsidR="00344707" w:rsidRPr="00007573">
        <w:rPr>
          <w:rFonts w:ascii="Times New Roman" w:hAnsi="Times New Roman" w:cs="Times New Roman"/>
          <w:bCs/>
          <w:sz w:val="28"/>
          <w:szCs w:val="28"/>
        </w:rPr>
        <w:t xml:space="preserve"> </w:t>
      </w:r>
      <w:r w:rsidR="007A740D" w:rsidRPr="00007573">
        <w:rPr>
          <w:rFonts w:ascii="Times New Roman" w:hAnsi="Times New Roman" w:cs="Times New Roman"/>
          <w:bCs/>
          <w:sz w:val="28"/>
          <w:szCs w:val="28"/>
        </w:rPr>
        <w:t xml:space="preserve">that Northland stood in a contractual </w:t>
      </w:r>
      <w:r w:rsidR="00AB37D2">
        <w:rPr>
          <w:rFonts w:ascii="Times New Roman" w:hAnsi="Times New Roman" w:cs="Times New Roman"/>
          <w:bCs/>
          <w:sz w:val="28"/>
          <w:szCs w:val="28"/>
        </w:rPr>
        <w:t>or</w:t>
      </w:r>
      <w:r w:rsidR="00AB37D2" w:rsidRPr="00007573">
        <w:rPr>
          <w:rFonts w:ascii="Times New Roman" w:hAnsi="Times New Roman" w:cs="Times New Roman"/>
          <w:bCs/>
          <w:sz w:val="28"/>
          <w:szCs w:val="28"/>
        </w:rPr>
        <w:t xml:space="preserve"> </w:t>
      </w:r>
      <w:r w:rsidR="007A740D" w:rsidRPr="00007573">
        <w:rPr>
          <w:rFonts w:ascii="Times New Roman" w:hAnsi="Times New Roman" w:cs="Times New Roman"/>
          <w:bCs/>
          <w:sz w:val="28"/>
          <w:szCs w:val="28"/>
        </w:rPr>
        <w:t>quasi contractual relationship with NTE</w:t>
      </w:r>
      <w:r w:rsidR="00606924" w:rsidRPr="00007573">
        <w:rPr>
          <w:rFonts w:ascii="Times New Roman" w:hAnsi="Times New Roman" w:cs="Times New Roman"/>
          <w:bCs/>
          <w:sz w:val="28"/>
          <w:szCs w:val="28"/>
        </w:rPr>
        <w:t>, which Northland denies</w:t>
      </w:r>
      <w:r w:rsidR="007A740D" w:rsidRPr="00007573">
        <w:rPr>
          <w:rFonts w:ascii="Times New Roman" w:hAnsi="Times New Roman" w:cs="Times New Roman"/>
          <w:bCs/>
          <w:sz w:val="28"/>
          <w:szCs w:val="28"/>
        </w:rPr>
        <w:t>.</w:t>
      </w:r>
      <w:r w:rsidR="00606924" w:rsidRPr="00007573">
        <w:rPr>
          <w:rFonts w:ascii="Times New Roman" w:hAnsi="Times New Roman" w:cs="Times New Roman"/>
          <w:bCs/>
          <w:sz w:val="28"/>
          <w:szCs w:val="28"/>
        </w:rPr>
        <w:t xml:space="preserve"> This was presented by Northland as a position in the strict alternative</w:t>
      </w:r>
      <w:r w:rsidR="00BF2407" w:rsidRPr="00007573">
        <w:rPr>
          <w:rFonts w:ascii="Times New Roman" w:hAnsi="Times New Roman" w:cs="Times New Roman"/>
          <w:bCs/>
          <w:sz w:val="28"/>
          <w:szCs w:val="28"/>
        </w:rPr>
        <w:t xml:space="preserve">, </w:t>
      </w:r>
      <w:r w:rsidR="000C1CD4" w:rsidRPr="00007573">
        <w:rPr>
          <w:rFonts w:ascii="Times New Roman" w:hAnsi="Times New Roman" w:cs="Times New Roman"/>
          <w:bCs/>
          <w:sz w:val="28"/>
          <w:szCs w:val="28"/>
        </w:rPr>
        <w:t xml:space="preserve">in the event my decision on ONEC and Liberty’s liability left them without any </w:t>
      </w:r>
      <w:r w:rsidR="00007573">
        <w:rPr>
          <w:rFonts w:ascii="Times New Roman" w:hAnsi="Times New Roman" w:cs="Times New Roman"/>
          <w:bCs/>
          <w:sz w:val="28"/>
          <w:szCs w:val="28"/>
        </w:rPr>
        <w:t xml:space="preserve">other </w:t>
      </w:r>
      <w:r w:rsidR="000C1CD4" w:rsidRPr="00007573">
        <w:rPr>
          <w:rFonts w:ascii="Times New Roman" w:hAnsi="Times New Roman" w:cs="Times New Roman"/>
          <w:bCs/>
          <w:sz w:val="28"/>
          <w:szCs w:val="28"/>
        </w:rPr>
        <w:t xml:space="preserve">recourse </w:t>
      </w:r>
      <w:r w:rsidR="000D53C4" w:rsidRPr="00007573">
        <w:rPr>
          <w:rFonts w:ascii="Times New Roman" w:hAnsi="Times New Roman" w:cs="Times New Roman"/>
          <w:bCs/>
          <w:sz w:val="28"/>
          <w:szCs w:val="28"/>
        </w:rPr>
        <w:t>to recover the amounts Northland claims are owed</w:t>
      </w:r>
      <w:r w:rsidR="00505CAD" w:rsidRPr="00007573">
        <w:rPr>
          <w:rFonts w:ascii="Times New Roman" w:hAnsi="Times New Roman" w:cs="Times New Roman"/>
          <w:bCs/>
          <w:sz w:val="28"/>
          <w:szCs w:val="28"/>
        </w:rPr>
        <w:t>.</w:t>
      </w:r>
    </w:p>
    <w:p w14:paraId="5758CD3F" w14:textId="77777777" w:rsidR="007A328F" w:rsidRDefault="007A328F" w:rsidP="007A328F">
      <w:pPr>
        <w:pStyle w:val="ListParagraph"/>
        <w:spacing w:after="0" w:line="240" w:lineRule="auto"/>
        <w:ind w:left="0"/>
        <w:contextualSpacing w:val="0"/>
        <w:jc w:val="both"/>
        <w:rPr>
          <w:rFonts w:ascii="Times New Roman" w:hAnsi="Times New Roman" w:cs="Times New Roman"/>
          <w:bCs/>
          <w:sz w:val="28"/>
          <w:szCs w:val="28"/>
        </w:rPr>
      </w:pPr>
    </w:p>
    <w:p w14:paraId="026B4DC2" w14:textId="51FE45CD" w:rsidR="00093B6F" w:rsidRPr="007A328F" w:rsidRDefault="006667F2" w:rsidP="006667F2">
      <w:pPr>
        <w:pStyle w:val="ListParagraph"/>
        <w:numPr>
          <w:ilvl w:val="0"/>
          <w:numId w:val="1"/>
        </w:numPr>
        <w:spacing w:after="0" w:line="240" w:lineRule="auto"/>
        <w:contextualSpacing w:val="0"/>
        <w:jc w:val="both"/>
        <w:rPr>
          <w:rFonts w:ascii="Times New Roman" w:hAnsi="Times New Roman" w:cs="Times New Roman"/>
          <w:bCs/>
          <w:sz w:val="28"/>
          <w:szCs w:val="28"/>
        </w:rPr>
      </w:pPr>
      <w:r>
        <w:rPr>
          <w:rFonts w:ascii="Times New Roman" w:hAnsi="Times New Roman" w:cs="Times New Roman"/>
          <w:bCs/>
          <w:sz w:val="28"/>
          <w:szCs w:val="28"/>
        </w:rPr>
        <w:t xml:space="preserve">NTE </w:t>
      </w:r>
      <w:r w:rsidR="000B2E20">
        <w:rPr>
          <w:rFonts w:ascii="Times New Roman" w:hAnsi="Times New Roman" w:cs="Times New Roman"/>
          <w:bCs/>
          <w:sz w:val="28"/>
          <w:szCs w:val="28"/>
        </w:rPr>
        <w:t>claims</w:t>
      </w:r>
      <w:r>
        <w:rPr>
          <w:rFonts w:ascii="Times New Roman" w:hAnsi="Times New Roman" w:cs="Times New Roman"/>
          <w:bCs/>
          <w:sz w:val="28"/>
          <w:szCs w:val="28"/>
        </w:rPr>
        <w:t xml:space="preserve"> that the counterclaim is not appropriate for summary disposition</w:t>
      </w:r>
      <w:r w:rsidR="007A328F">
        <w:rPr>
          <w:rFonts w:ascii="Times New Roman" w:hAnsi="Times New Roman" w:cs="Times New Roman"/>
          <w:bCs/>
          <w:sz w:val="28"/>
          <w:szCs w:val="28"/>
        </w:rPr>
        <w:t xml:space="preserve">. It </w:t>
      </w:r>
      <w:r w:rsidR="00721B8A">
        <w:rPr>
          <w:rFonts w:ascii="Times New Roman" w:hAnsi="Times New Roman" w:cs="Times New Roman"/>
          <w:bCs/>
          <w:sz w:val="28"/>
          <w:szCs w:val="28"/>
        </w:rPr>
        <w:t xml:space="preserve">argues Northland is not a party to the Prime Contract and </w:t>
      </w:r>
      <w:r>
        <w:rPr>
          <w:rFonts w:ascii="Times New Roman" w:hAnsi="Times New Roman" w:cs="Times New Roman"/>
          <w:bCs/>
          <w:sz w:val="28"/>
          <w:szCs w:val="28"/>
        </w:rPr>
        <w:t>Northland’s pleadings against NTE do not make out a claim for breach of contract</w:t>
      </w:r>
      <w:r w:rsidR="00721B8A">
        <w:rPr>
          <w:rFonts w:ascii="Times New Roman" w:hAnsi="Times New Roman" w:cs="Times New Roman"/>
          <w:bCs/>
          <w:sz w:val="28"/>
          <w:szCs w:val="28"/>
        </w:rPr>
        <w:t xml:space="preserve">. In addition, NTE takes the position </w:t>
      </w:r>
      <w:r w:rsidR="007A328F">
        <w:rPr>
          <w:rFonts w:ascii="Times New Roman" w:hAnsi="Times New Roman" w:cs="Times New Roman"/>
          <w:bCs/>
          <w:sz w:val="28"/>
          <w:szCs w:val="28"/>
        </w:rPr>
        <w:t xml:space="preserve">that there are material facts in dispute and credibility issues that require a trial. In the alternative, NTE submits that the application for summary judgment against NTE based on the doctrine of unjust enrichment should fail on </w:t>
      </w:r>
      <w:r w:rsidR="00721B8A">
        <w:rPr>
          <w:rFonts w:ascii="Times New Roman" w:hAnsi="Times New Roman" w:cs="Times New Roman"/>
          <w:bCs/>
          <w:sz w:val="28"/>
          <w:szCs w:val="28"/>
        </w:rPr>
        <w:t>the</w:t>
      </w:r>
      <w:r w:rsidR="007A328F">
        <w:rPr>
          <w:rFonts w:ascii="Times New Roman" w:hAnsi="Times New Roman" w:cs="Times New Roman"/>
          <w:bCs/>
          <w:sz w:val="28"/>
          <w:szCs w:val="28"/>
        </w:rPr>
        <w:t xml:space="preserve"> merit</w:t>
      </w:r>
      <w:r w:rsidR="00721B8A">
        <w:rPr>
          <w:rFonts w:ascii="Times New Roman" w:hAnsi="Times New Roman" w:cs="Times New Roman"/>
          <w:bCs/>
          <w:sz w:val="28"/>
          <w:szCs w:val="28"/>
        </w:rPr>
        <w:t>s</w:t>
      </w:r>
      <w:r w:rsidR="007B1F01">
        <w:rPr>
          <w:rFonts w:ascii="Times New Roman" w:hAnsi="Times New Roman" w:cs="Times New Roman"/>
          <w:bCs/>
          <w:sz w:val="28"/>
          <w:szCs w:val="28"/>
        </w:rPr>
        <w:t>. It claims</w:t>
      </w:r>
      <w:r w:rsidR="00721B8A">
        <w:rPr>
          <w:rFonts w:ascii="Times New Roman" w:hAnsi="Times New Roman" w:cs="Times New Roman"/>
          <w:bCs/>
          <w:sz w:val="28"/>
          <w:szCs w:val="28"/>
        </w:rPr>
        <w:t xml:space="preserve"> the test for unjust enrichment is not met </w:t>
      </w:r>
      <w:r w:rsidR="007B1F01">
        <w:rPr>
          <w:rFonts w:ascii="Times New Roman" w:hAnsi="Times New Roman" w:cs="Times New Roman"/>
          <w:bCs/>
          <w:sz w:val="28"/>
          <w:szCs w:val="28"/>
        </w:rPr>
        <w:t>because the contract between NTE and ONEC and the contract between ONEC and Northland are juristic reasons that would justify any enrichment in this case</w:t>
      </w:r>
      <w:r w:rsidR="00721B8A">
        <w:rPr>
          <w:rFonts w:ascii="Times New Roman" w:hAnsi="Times New Roman" w:cs="Times New Roman"/>
          <w:bCs/>
          <w:sz w:val="28"/>
          <w:szCs w:val="28"/>
        </w:rPr>
        <w:t>.</w:t>
      </w:r>
    </w:p>
    <w:p w14:paraId="1186AB6E" w14:textId="77777777" w:rsidR="00606924" w:rsidRDefault="00606924" w:rsidP="00606924">
      <w:pPr>
        <w:pStyle w:val="ListParagraph"/>
        <w:spacing w:after="0" w:line="240" w:lineRule="auto"/>
        <w:ind w:left="0"/>
        <w:contextualSpacing w:val="0"/>
        <w:jc w:val="both"/>
        <w:rPr>
          <w:rFonts w:ascii="Times New Roman" w:hAnsi="Times New Roman" w:cs="Times New Roman"/>
          <w:bCs/>
          <w:sz w:val="28"/>
          <w:szCs w:val="28"/>
        </w:rPr>
      </w:pPr>
    </w:p>
    <w:p w14:paraId="4F6B1BB5" w14:textId="7EC77CC3" w:rsidR="00505CAD" w:rsidRPr="00505CAD" w:rsidRDefault="007A328F" w:rsidP="00505CAD">
      <w:pPr>
        <w:pStyle w:val="ListParagraph"/>
        <w:numPr>
          <w:ilvl w:val="0"/>
          <w:numId w:val="1"/>
        </w:numPr>
        <w:spacing w:after="0" w:line="240" w:lineRule="auto"/>
        <w:contextualSpacing w:val="0"/>
        <w:jc w:val="both"/>
        <w:rPr>
          <w:rFonts w:ascii="Times New Roman" w:hAnsi="Times New Roman" w:cs="Times New Roman"/>
          <w:bCs/>
          <w:sz w:val="28"/>
          <w:szCs w:val="28"/>
        </w:rPr>
      </w:pPr>
      <w:r>
        <w:rPr>
          <w:rFonts w:ascii="Times New Roman" w:hAnsi="Times New Roman" w:cs="Times New Roman"/>
          <w:bCs/>
          <w:sz w:val="28"/>
          <w:szCs w:val="28"/>
        </w:rPr>
        <w:t xml:space="preserve">As explained above, I </w:t>
      </w:r>
      <w:r w:rsidR="00721B8A">
        <w:rPr>
          <w:rFonts w:ascii="Times New Roman" w:hAnsi="Times New Roman" w:cs="Times New Roman"/>
          <w:bCs/>
          <w:sz w:val="28"/>
          <w:szCs w:val="28"/>
        </w:rPr>
        <w:t xml:space="preserve">am satisfied that I </w:t>
      </w:r>
      <w:r>
        <w:rPr>
          <w:rFonts w:ascii="Times New Roman" w:hAnsi="Times New Roman" w:cs="Times New Roman"/>
          <w:bCs/>
          <w:sz w:val="28"/>
          <w:szCs w:val="28"/>
        </w:rPr>
        <w:t xml:space="preserve">can resolve the issues of liability on the record before me. </w:t>
      </w:r>
      <w:r w:rsidR="00331E1D" w:rsidRPr="00755CD6">
        <w:rPr>
          <w:rFonts w:ascii="Times New Roman" w:hAnsi="Times New Roman" w:cs="Times New Roman"/>
          <w:bCs/>
          <w:sz w:val="28"/>
          <w:szCs w:val="28"/>
        </w:rPr>
        <w:t xml:space="preserve">Having found </w:t>
      </w:r>
      <w:r w:rsidR="0065340C" w:rsidRPr="00755CD6">
        <w:rPr>
          <w:rFonts w:ascii="Times New Roman" w:hAnsi="Times New Roman" w:cs="Times New Roman"/>
          <w:bCs/>
          <w:sz w:val="28"/>
          <w:szCs w:val="28"/>
        </w:rPr>
        <w:t xml:space="preserve">that </w:t>
      </w:r>
      <w:r w:rsidR="0008692E" w:rsidRPr="00755CD6">
        <w:rPr>
          <w:rFonts w:ascii="Times New Roman" w:hAnsi="Times New Roman" w:cs="Times New Roman"/>
          <w:bCs/>
          <w:sz w:val="28"/>
          <w:szCs w:val="28"/>
        </w:rPr>
        <w:t xml:space="preserve">Northland is not a party to the Prime Contract and </w:t>
      </w:r>
      <w:r w:rsidR="00755CD6">
        <w:rPr>
          <w:rFonts w:ascii="Times New Roman" w:hAnsi="Times New Roman" w:cs="Times New Roman"/>
          <w:bCs/>
          <w:sz w:val="28"/>
          <w:szCs w:val="28"/>
        </w:rPr>
        <w:t xml:space="preserve">that </w:t>
      </w:r>
      <w:r w:rsidR="00931DAC">
        <w:rPr>
          <w:rFonts w:ascii="Times New Roman" w:hAnsi="Times New Roman" w:cs="Times New Roman"/>
          <w:bCs/>
          <w:sz w:val="28"/>
          <w:szCs w:val="28"/>
        </w:rPr>
        <w:t>ONEC and Liberty are liable to Northland for</w:t>
      </w:r>
      <w:r w:rsidR="00E67784">
        <w:rPr>
          <w:rFonts w:ascii="Times New Roman" w:hAnsi="Times New Roman" w:cs="Times New Roman"/>
          <w:bCs/>
          <w:sz w:val="28"/>
          <w:szCs w:val="28"/>
        </w:rPr>
        <w:t xml:space="preserve"> any proven outstanding amounts</w:t>
      </w:r>
      <w:r w:rsidR="0008692E" w:rsidRPr="00755CD6">
        <w:rPr>
          <w:rFonts w:ascii="Times New Roman" w:hAnsi="Times New Roman" w:cs="Times New Roman"/>
          <w:bCs/>
          <w:sz w:val="28"/>
          <w:szCs w:val="28"/>
        </w:rPr>
        <w:t xml:space="preserve">, </w:t>
      </w:r>
      <w:r w:rsidR="00BE6164">
        <w:rPr>
          <w:rFonts w:ascii="Times New Roman" w:hAnsi="Times New Roman" w:cs="Times New Roman"/>
          <w:bCs/>
          <w:sz w:val="28"/>
          <w:szCs w:val="28"/>
        </w:rPr>
        <w:t xml:space="preserve">I </w:t>
      </w:r>
      <w:r w:rsidR="00163FC8">
        <w:rPr>
          <w:rFonts w:ascii="Times New Roman" w:hAnsi="Times New Roman" w:cs="Times New Roman"/>
          <w:bCs/>
          <w:sz w:val="28"/>
          <w:szCs w:val="28"/>
        </w:rPr>
        <w:t xml:space="preserve">make the corresponding finding that </w:t>
      </w:r>
      <w:r w:rsidR="00E67784">
        <w:rPr>
          <w:rFonts w:ascii="Times New Roman" w:hAnsi="Times New Roman" w:cs="Times New Roman"/>
          <w:bCs/>
          <w:sz w:val="28"/>
          <w:szCs w:val="28"/>
        </w:rPr>
        <w:t>NTE is not liable</w:t>
      </w:r>
      <w:r w:rsidR="00BE6164">
        <w:rPr>
          <w:rFonts w:ascii="Times New Roman" w:hAnsi="Times New Roman" w:cs="Times New Roman"/>
          <w:bCs/>
          <w:sz w:val="28"/>
          <w:szCs w:val="28"/>
        </w:rPr>
        <w:t xml:space="preserve"> to Northland</w:t>
      </w:r>
      <w:r w:rsidR="00755CD6" w:rsidRPr="00755CD6">
        <w:rPr>
          <w:rFonts w:ascii="Times New Roman" w:hAnsi="Times New Roman" w:cs="Times New Roman"/>
          <w:bCs/>
          <w:sz w:val="28"/>
          <w:szCs w:val="28"/>
        </w:rPr>
        <w:t xml:space="preserve">. </w:t>
      </w:r>
    </w:p>
    <w:p w14:paraId="24111BF5" w14:textId="77777777" w:rsidR="002F5DA9" w:rsidRDefault="002F5DA9" w:rsidP="00723B19">
      <w:pPr>
        <w:pStyle w:val="ListParagraph"/>
        <w:spacing w:after="0" w:line="240" w:lineRule="auto"/>
        <w:ind w:left="0"/>
        <w:contextualSpacing w:val="0"/>
        <w:jc w:val="both"/>
        <w:rPr>
          <w:rFonts w:ascii="Times New Roman" w:hAnsi="Times New Roman" w:cs="Times New Roman"/>
          <w:bCs/>
          <w:sz w:val="28"/>
          <w:szCs w:val="28"/>
        </w:rPr>
      </w:pPr>
    </w:p>
    <w:p w14:paraId="313CFD6D" w14:textId="020DAD2C" w:rsidR="00812520" w:rsidRPr="00093579" w:rsidRDefault="00812520" w:rsidP="00812520">
      <w:pPr>
        <w:rPr>
          <w:rFonts w:ascii="Times New Roman" w:hAnsi="Times New Roman" w:cs="Times New Roman"/>
          <w:bCs/>
          <w:sz w:val="28"/>
          <w:szCs w:val="28"/>
          <w:u w:val="single"/>
        </w:rPr>
      </w:pPr>
      <w:r w:rsidRPr="00093579">
        <w:rPr>
          <w:rFonts w:ascii="Times New Roman" w:hAnsi="Times New Roman" w:cs="Times New Roman"/>
          <w:bCs/>
          <w:sz w:val="28"/>
          <w:szCs w:val="28"/>
          <w:u w:val="single"/>
        </w:rPr>
        <w:t>Damages</w:t>
      </w:r>
    </w:p>
    <w:p w14:paraId="6459DA01" w14:textId="026B1E23" w:rsidR="006E097E" w:rsidRDefault="00216B51" w:rsidP="006E097E">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Northland submits that the evidence before me is sufficient to </w:t>
      </w:r>
      <w:r w:rsidR="007C3CCD" w:rsidRPr="00F82B8E">
        <w:rPr>
          <w:rFonts w:ascii="Times New Roman" w:hAnsi="Times New Roman" w:cs="Times New Roman"/>
          <w:bCs/>
          <w:sz w:val="28"/>
          <w:szCs w:val="28"/>
        </w:rPr>
        <w:t xml:space="preserve">rule on the extent of the contractual damages. ONEC and Liberty claim that </w:t>
      </w:r>
      <w:r w:rsidR="00BD1910" w:rsidRPr="00F82B8E">
        <w:rPr>
          <w:rFonts w:ascii="Times New Roman" w:hAnsi="Times New Roman" w:cs="Times New Roman"/>
          <w:bCs/>
          <w:sz w:val="28"/>
          <w:szCs w:val="28"/>
        </w:rPr>
        <w:t>factual and</w:t>
      </w:r>
      <w:r w:rsidR="00412AB2">
        <w:rPr>
          <w:rFonts w:ascii="Times New Roman" w:hAnsi="Times New Roman" w:cs="Times New Roman"/>
          <w:bCs/>
          <w:sz w:val="28"/>
          <w:szCs w:val="28"/>
        </w:rPr>
        <w:t>, more specifically,</w:t>
      </w:r>
      <w:r w:rsidR="00BD1910" w:rsidRPr="00F82B8E">
        <w:rPr>
          <w:rFonts w:ascii="Times New Roman" w:hAnsi="Times New Roman" w:cs="Times New Roman"/>
          <w:bCs/>
          <w:sz w:val="28"/>
          <w:szCs w:val="28"/>
        </w:rPr>
        <w:t xml:space="preserve"> credibility issues make th</w:t>
      </w:r>
      <w:r w:rsidR="003808CE" w:rsidRPr="00F82B8E">
        <w:rPr>
          <w:rFonts w:ascii="Times New Roman" w:hAnsi="Times New Roman" w:cs="Times New Roman"/>
          <w:bCs/>
          <w:sz w:val="28"/>
          <w:szCs w:val="28"/>
        </w:rPr>
        <w:t>e question of damages</w:t>
      </w:r>
      <w:r w:rsidR="00BD1910" w:rsidRPr="00F82B8E">
        <w:rPr>
          <w:rFonts w:ascii="Times New Roman" w:hAnsi="Times New Roman" w:cs="Times New Roman"/>
          <w:bCs/>
          <w:sz w:val="28"/>
          <w:szCs w:val="28"/>
        </w:rPr>
        <w:t xml:space="preserve"> </w:t>
      </w:r>
      <w:r w:rsidR="003808CE" w:rsidRPr="00F82B8E">
        <w:rPr>
          <w:rFonts w:ascii="Times New Roman" w:hAnsi="Times New Roman" w:cs="Times New Roman"/>
          <w:bCs/>
          <w:sz w:val="28"/>
          <w:szCs w:val="28"/>
        </w:rPr>
        <w:t xml:space="preserve">unsuitable for summary judgment. </w:t>
      </w:r>
    </w:p>
    <w:p w14:paraId="68FD87CF" w14:textId="77777777" w:rsidR="00E963F9" w:rsidRDefault="00E963F9" w:rsidP="00E963F9">
      <w:pPr>
        <w:pStyle w:val="ListParagraph"/>
        <w:spacing w:after="0" w:line="240" w:lineRule="auto"/>
        <w:ind w:left="0"/>
        <w:contextualSpacing w:val="0"/>
        <w:jc w:val="both"/>
        <w:rPr>
          <w:rFonts w:ascii="Times New Roman" w:hAnsi="Times New Roman" w:cs="Times New Roman"/>
          <w:bCs/>
          <w:sz w:val="28"/>
          <w:szCs w:val="28"/>
        </w:rPr>
      </w:pPr>
    </w:p>
    <w:p w14:paraId="06914E48" w14:textId="3343C443" w:rsidR="008F4E93" w:rsidRDefault="00E963F9" w:rsidP="00F53EF3">
      <w:pPr>
        <w:pStyle w:val="ListParagraph"/>
        <w:numPr>
          <w:ilvl w:val="0"/>
          <w:numId w:val="1"/>
        </w:numPr>
        <w:spacing w:after="0" w:line="240" w:lineRule="auto"/>
        <w:contextualSpacing w:val="0"/>
        <w:jc w:val="both"/>
        <w:rPr>
          <w:rFonts w:ascii="Times New Roman" w:hAnsi="Times New Roman" w:cs="Times New Roman"/>
          <w:bCs/>
          <w:sz w:val="28"/>
          <w:szCs w:val="28"/>
        </w:rPr>
      </w:pPr>
      <w:r>
        <w:rPr>
          <w:rFonts w:ascii="Times New Roman" w:hAnsi="Times New Roman" w:cs="Times New Roman"/>
          <w:bCs/>
          <w:sz w:val="28"/>
          <w:szCs w:val="28"/>
        </w:rPr>
        <w:t>The material fact</w:t>
      </w:r>
      <w:r w:rsidR="001D5BA6">
        <w:rPr>
          <w:rFonts w:ascii="Times New Roman" w:hAnsi="Times New Roman" w:cs="Times New Roman"/>
          <w:bCs/>
          <w:sz w:val="28"/>
          <w:szCs w:val="28"/>
        </w:rPr>
        <w:t>s</w:t>
      </w:r>
      <w:r>
        <w:rPr>
          <w:rFonts w:ascii="Times New Roman" w:hAnsi="Times New Roman" w:cs="Times New Roman"/>
          <w:bCs/>
          <w:sz w:val="28"/>
          <w:szCs w:val="28"/>
        </w:rPr>
        <w:t xml:space="preserve"> at the heart of t</w:t>
      </w:r>
      <w:r w:rsidR="001D5BA6">
        <w:rPr>
          <w:rFonts w:ascii="Times New Roman" w:hAnsi="Times New Roman" w:cs="Times New Roman"/>
          <w:bCs/>
          <w:sz w:val="28"/>
          <w:szCs w:val="28"/>
        </w:rPr>
        <w:t xml:space="preserve">he issue of damages </w:t>
      </w:r>
      <w:r w:rsidR="0079506F">
        <w:rPr>
          <w:rFonts w:ascii="Times New Roman" w:hAnsi="Times New Roman" w:cs="Times New Roman"/>
          <w:bCs/>
          <w:sz w:val="28"/>
          <w:szCs w:val="28"/>
        </w:rPr>
        <w:t>relate to</w:t>
      </w:r>
      <w:r>
        <w:rPr>
          <w:rFonts w:ascii="Times New Roman" w:hAnsi="Times New Roman" w:cs="Times New Roman"/>
          <w:bCs/>
          <w:sz w:val="28"/>
          <w:szCs w:val="28"/>
        </w:rPr>
        <w:t xml:space="preserve"> the validity of </w:t>
      </w:r>
      <w:r w:rsidR="00F53EF3">
        <w:rPr>
          <w:rFonts w:ascii="Times New Roman" w:hAnsi="Times New Roman" w:cs="Times New Roman"/>
          <w:bCs/>
          <w:sz w:val="28"/>
          <w:szCs w:val="28"/>
        </w:rPr>
        <w:t xml:space="preserve">Northland’s invoices. </w:t>
      </w:r>
      <w:r w:rsidR="007525D8" w:rsidRPr="00713B5C">
        <w:rPr>
          <w:rFonts w:ascii="Times New Roman" w:hAnsi="Times New Roman" w:cs="Times New Roman"/>
          <w:bCs/>
          <w:sz w:val="28"/>
          <w:szCs w:val="28"/>
        </w:rPr>
        <w:t xml:space="preserve">Northland </w:t>
      </w:r>
      <w:r w:rsidR="004F43EB" w:rsidRPr="00713B5C">
        <w:rPr>
          <w:rFonts w:ascii="Times New Roman" w:hAnsi="Times New Roman" w:cs="Times New Roman"/>
          <w:bCs/>
          <w:sz w:val="28"/>
          <w:szCs w:val="28"/>
        </w:rPr>
        <w:t>acknowledges that there is</w:t>
      </w:r>
      <w:r w:rsidRPr="00713B5C">
        <w:rPr>
          <w:rFonts w:ascii="Times New Roman" w:hAnsi="Times New Roman" w:cs="Times New Roman"/>
          <w:bCs/>
          <w:sz w:val="28"/>
          <w:szCs w:val="28"/>
        </w:rPr>
        <w:t xml:space="preserve"> conflicting evidence</w:t>
      </w:r>
      <w:r w:rsidR="00F53EF3" w:rsidRPr="00713B5C">
        <w:rPr>
          <w:rFonts w:ascii="Times New Roman" w:hAnsi="Times New Roman" w:cs="Times New Roman"/>
          <w:bCs/>
          <w:sz w:val="28"/>
          <w:szCs w:val="28"/>
        </w:rPr>
        <w:t xml:space="preserve">. However, </w:t>
      </w:r>
      <w:r w:rsidR="00E16D11" w:rsidRPr="00713B5C">
        <w:rPr>
          <w:rFonts w:ascii="Times New Roman" w:hAnsi="Times New Roman" w:cs="Times New Roman"/>
          <w:bCs/>
          <w:sz w:val="28"/>
          <w:szCs w:val="28"/>
        </w:rPr>
        <w:t xml:space="preserve">relying on </w:t>
      </w:r>
      <w:proofErr w:type="spellStart"/>
      <w:r w:rsidR="00E16D11" w:rsidRPr="00713B5C">
        <w:rPr>
          <w:rFonts w:ascii="Times New Roman" w:hAnsi="Times New Roman" w:cs="Times New Roman"/>
          <w:bCs/>
          <w:i/>
          <w:iCs/>
          <w:sz w:val="28"/>
          <w:szCs w:val="28"/>
        </w:rPr>
        <w:t>LaBuick</w:t>
      </w:r>
      <w:proofErr w:type="spellEnd"/>
      <w:r w:rsidR="00E16D11" w:rsidRPr="00713B5C">
        <w:rPr>
          <w:rFonts w:ascii="Times New Roman" w:hAnsi="Times New Roman" w:cs="Times New Roman"/>
          <w:bCs/>
          <w:i/>
          <w:iCs/>
          <w:sz w:val="28"/>
          <w:szCs w:val="28"/>
        </w:rPr>
        <w:t xml:space="preserve"> Investments Inc. v Carpet Gallery of Moose Jaw Ltd</w:t>
      </w:r>
      <w:r w:rsidR="00E16D11" w:rsidRPr="00713B5C">
        <w:rPr>
          <w:rFonts w:ascii="Times New Roman" w:hAnsi="Times New Roman" w:cs="Times New Roman"/>
          <w:bCs/>
          <w:sz w:val="28"/>
          <w:szCs w:val="28"/>
        </w:rPr>
        <w:t xml:space="preserve">, 2017 SKQB 341 and </w:t>
      </w:r>
      <w:r w:rsidR="00E16D11" w:rsidRPr="00713B5C">
        <w:rPr>
          <w:rFonts w:ascii="Times New Roman" w:hAnsi="Times New Roman" w:cs="Times New Roman"/>
          <w:bCs/>
          <w:i/>
          <w:iCs/>
          <w:sz w:val="28"/>
          <w:szCs w:val="28"/>
        </w:rPr>
        <w:t>Jardine v Saskatoon Police Service</w:t>
      </w:r>
      <w:r w:rsidR="00E16D11" w:rsidRPr="00713B5C">
        <w:rPr>
          <w:rFonts w:ascii="Times New Roman" w:hAnsi="Times New Roman" w:cs="Times New Roman"/>
          <w:bCs/>
          <w:sz w:val="28"/>
          <w:szCs w:val="28"/>
        </w:rPr>
        <w:t xml:space="preserve">, 2017 SKQB 271 </w:t>
      </w:r>
      <w:r w:rsidR="001609D6" w:rsidRPr="00713B5C">
        <w:rPr>
          <w:rFonts w:ascii="Times New Roman" w:hAnsi="Times New Roman" w:cs="Times New Roman"/>
          <w:bCs/>
          <w:sz w:val="28"/>
          <w:szCs w:val="28"/>
        </w:rPr>
        <w:t xml:space="preserve">for the proposition that </w:t>
      </w:r>
      <w:r w:rsidR="00FE0BD5" w:rsidRPr="00713B5C">
        <w:rPr>
          <w:rFonts w:ascii="Times New Roman" w:hAnsi="Times New Roman" w:cs="Times New Roman"/>
          <w:bCs/>
          <w:sz w:val="28"/>
          <w:szCs w:val="28"/>
        </w:rPr>
        <w:t xml:space="preserve">some apparent conflicts of evidence </w:t>
      </w:r>
      <w:r w:rsidR="00CF2D92" w:rsidRPr="00713B5C">
        <w:rPr>
          <w:rFonts w:ascii="Times New Roman" w:hAnsi="Times New Roman" w:cs="Times New Roman"/>
          <w:bCs/>
          <w:sz w:val="28"/>
          <w:szCs w:val="28"/>
        </w:rPr>
        <w:t>may</w:t>
      </w:r>
      <w:r w:rsidR="00FE0BD5" w:rsidRPr="00713B5C">
        <w:rPr>
          <w:rFonts w:ascii="Times New Roman" w:hAnsi="Times New Roman" w:cs="Times New Roman"/>
          <w:bCs/>
          <w:sz w:val="28"/>
          <w:szCs w:val="28"/>
        </w:rPr>
        <w:t xml:space="preserve"> be resolved</w:t>
      </w:r>
      <w:r w:rsidR="001B2605" w:rsidRPr="00713B5C">
        <w:rPr>
          <w:rFonts w:ascii="Times New Roman" w:hAnsi="Times New Roman" w:cs="Times New Roman"/>
          <w:bCs/>
          <w:sz w:val="28"/>
          <w:szCs w:val="28"/>
        </w:rPr>
        <w:t xml:space="preserve"> </w:t>
      </w:r>
      <w:r w:rsidR="00CF2D92" w:rsidRPr="00713B5C">
        <w:rPr>
          <w:rFonts w:ascii="Times New Roman" w:hAnsi="Times New Roman" w:cs="Times New Roman"/>
          <w:bCs/>
          <w:sz w:val="28"/>
          <w:szCs w:val="28"/>
        </w:rPr>
        <w:t>at the stage</w:t>
      </w:r>
      <w:r w:rsidR="00CF2D92">
        <w:rPr>
          <w:rFonts w:ascii="Times New Roman" w:hAnsi="Times New Roman" w:cs="Times New Roman"/>
          <w:bCs/>
          <w:sz w:val="28"/>
          <w:szCs w:val="28"/>
        </w:rPr>
        <w:t xml:space="preserve"> of </w:t>
      </w:r>
      <w:r w:rsidR="001B2605">
        <w:rPr>
          <w:rFonts w:ascii="Times New Roman" w:hAnsi="Times New Roman" w:cs="Times New Roman"/>
          <w:bCs/>
          <w:sz w:val="28"/>
          <w:szCs w:val="28"/>
        </w:rPr>
        <w:t>a summary judgment application</w:t>
      </w:r>
      <w:r w:rsidR="00CF2D92">
        <w:rPr>
          <w:rFonts w:ascii="Times New Roman" w:hAnsi="Times New Roman" w:cs="Times New Roman"/>
          <w:bCs/>
          <w:sz w:val="28"/>
          <w:szCs w:val="28"/>
        </w:rPr>
        <w:t xml:space="preserve"> depending on the nature and quality of the evidence presented by the parties</w:t>
      </w:r>
      <w:r w:rsidR="0058661F">
        <w:rPr>
          <w:rFonts w:ascii="Times New Roman" w:hAnsi="Times New Roman" w:cs="Times New Roman"/>
          <w:bCs/>
          <w:sz w:val="28"/>
          <w:szCs w:val="28"/>
        </w:rPr>
        <w:t xml:space="preserve">, </w:t>
      </w:r>
      <w:r w:rsidR="00F53EF3">
        <w:rPr>
          <w:rFonts w:ascii="Times New Roman" w:hAnsi="Times New Roman" w:cs="Times New Roman"/>
          <w:bCs/>
          <w:sz w:val="28"/>
          <w:szCs w:val="28"/>
        </w:rPr>
        <w:t>it claims that it h</w:t>
      </w:r>
      <w:r w:rsidR="007525D8" w:rsidRPr="00F53EF3">
        <w:rPr>
          <w:rFonts w:ascii="Times New Roman" w:hAnsi="Times New Roman" w:cs="Times New Roman"/>
          <w:bCs/>
          <w:sz w:val="28"/>
          <w:szCs w:val="28"/>
        </w:rPr>
        <w:t>as presented better quality evidence</w:t>
      </w:r>
      <w:r w:rsidR="00BE25AB">
        <w:rPr>
          <w:rFonts w:ascii="Times New Roman" w:hAnsi="Times New Roman" w:cs="Times New Roman"/>
          <w:bCs/>
          <w:sz w:val="28"/>
          <w:szCs w:val="28"/>
        </w:rPr>
        <w:t xml:space="preserve"> than </w:t>
      </w:r>
      <w:r w:rsidR="00BE25AB">
        <w:rPr>
          <w:rFonts w:ascii="Times New Roman" w:hAnsi="Times New Roman" w:cs="Times New Roman"/>
          <w:bCs/>
          <w:sz w:val="28"/>
          <w:szCs w:val="28"/>
        </w:rPr>
        <w:lastRenderedPageBreak/>
        <w:t xml:space="preserve">the </w:t>
      </w:r>
      <w:r w:rsidR="000A67C5">
        <w:rPr>
          <w:rFonts w:ascii="Times New Roman" w:hAnsi="Times New Roman" w:cs="Times New Roman"/>
          <w:bCs/>
          <w:sz w:val="28"/>
          <w:szCs w:val="28"/>
        </w:rPr>
        <w:t>other parties</w:t>
      </w:r>
      <w:r w:rsidR="0058661F">
        <w:rPr>
          <w:rFonts w:ascii="Times New Roman" w:hAnsi="Times New Roman" w:cs="Times New Roman"/>
          <w:bCs/>
          <w:sz w:val="28"/>
          <w:szCs w:val="28"/>
        </w:rPr>
        <w:t>. Northland</w:t>
      </w:r>
      <w:r w:rsidR="009C3BDB">
        <w:rPr>
          <w:rFonts w:ascii="Times New Roman" w:hAnsi="Times New Roman" w:cs="Times New Roman"/>
          <w:bCs/>
          <w:sz w:val="28"/>
          <w:szCs w:val="28"/>
        </w:rPr>
        <w:t xml:space="preserve"> argues </w:t>
      </w:r>
      <w:r w:rsidR="0058661F">
        <w:rPr>
          <w:rFonts w:ascii="Times New Roman" w:hAnsi="Times New Roman" w:cs="Times New Roman"/>
          <w:bCs/>
          <w:sz w:val="28"/>
          <w:szCs w:val="28"/>
        </w:rPr>
        <w:t>this</w:t>
      </w:r>
      <w:r w:rsidR="007636B1">
        <w:rPr>
          <w:rFonts w:ascii="Times New Roman" w:hAnsi="Times New Roman" w:cs="Times New Roman"/>
          <w:bCs/>
          <w:sz w:val="28"/>
          <w:szCs w:val="28"/>
        </w:rPr>
        <w:t xml:space="preserve"> </w:t>
      </w:r>
      <w:r w:rsidR="009C3BDB">
        <w:rPr>
          <w:rFonts w:ascii="Times New Roman" w:hAnsi="Times New Roman" w:cs="Times New Roman"/>
          <w:bCs/>
          <w:sz w:val="28"/>
          <w:szCs w:val="28"/>
        </w:rPr>
        <w:t>allow</w:t>
      </w:r>
      <w:r w:rsidR="0058661F">
        <w:rPr>
          <w:rFonts w:ascii="Times New Roman" w:hAnsi="Times New Roman" w:cs="Times New Roman"/>
          <w:bCs/>
          <w:sz w:val="28"/>
          <w:szCs w:val="28"/>
        </w:rPr>
        <w:t>s</w:t>
      </w:r>
      <w:r w:rsidR="009C3BDB">
        <w:rPr>
          <w:rFonts w:ascii="Times New Roman" w:hAnsi="Times New Roman" w:cs="Times New Roman"/>
          <w:bCs/>
          <w:sz w:val="28"/>
          <w:szCs w:val="28"/>
        </w:rPr>
        <w:t xml:space="preserve"> </w:t>
      </w:r>
      <w:r w:rsidR="007636B1">
        <w:rPr>
          <w:rFonts w:ascii="Times New Roman" w:hAnsi="Times New Roman" w:cs="Times New Roman"/>
          <w:bCs/>
          <w:sz w:val="28"/>
          <w:szCs w:val="28"/>
        </w:rPr>
        <w:t xml:space="preserve">me </w:t>
      </w:r>
      <w:r w:rsidR="00C26935">
        <w:rPr>
          <w:rFonts w:ascii="Times New Roman" w:hAnsi="Times New Roman" w:cs="Times New Roman"/>
          <w:bCs/>
          <w:sz w:val="28"/>
          <w:szCs w:val="28"/>
        </w:rPr>
        <w:t>to make</w:t>
      </w:r>
      <w:r w:rsidR="007636B1">
        <w:rPr>
          <w:rFonts w:ascii="Times New Roman" w:hAnsi="Times New Roman" w:cs="Times New Roman"/>
          <w:bCs/>
          <w:sz w:val="28"/>
          <w:szCs w:val="28"/>
        </w:rPr>
        <w:t xml:space="preserve"> the</w:t>
      </w:r>
      <w:r w:rsidR="00BE5D2E">
        <w:rPr>
          <w:rFonts w:ascii="Times New Roman" w:hAnsi="Times New Roman" w:cs="Times New Roman"/>
          <w:bCs/>
          <w:sz w:val="28"/>
          <w:szCs w:val="28"/>
        </w:rPr>
        <w:t xml:space="preserve"> necessary</w:t>
      </w:r>
      <w:r w:rsidR="007636B1">
        <w:rPr>
          <w:rFonts w:ascii="Times New Roman" w:hAnsi="Times New Roman" w:cs="Times New Roman"/>
          <w:bCs/>
          <w:sz w:val="28"/>
          <w:szCs w:val="28"/>
        </w:rPr>
        <w:t xml:space="preserve"> findings of facts </w:t>
      </w:r>
      <w:r w:rsidR="00BE5D2E">
        <w:rPr>
          <w:rFonts w:ascii="Times New Roman" w:hAnsi="Times New Roman" w:cs="Times New Roman"/>
          <w:bCs/>
          <w:sz w:val="28"/>
          <w:szCs w:val="28"/>
        </w:rPr>
        <w:t>and apply the law to th</w:t>
      </w:r>
      <w:r w:rsidR="00E54D8A">
        <w:rPr>
          <w:rFonts w:ascii="Times New Roman" w:hAnsi="Times New Roman" w:cs="Times New Roman"/>
          <w:bCs/>
          <w:sz w:val="28"/>
          <w:szCs w:val="28"/>
        </w:rPr>
        <w:t>ose facts</w:t>
      </w:r>
      <w:r w:rsidR="00AD254C">
        <w:rPr>
          <w:rFonts w:ascii="Times New Roman" w:hAnsi="Times New Roman" w:cs="Times New Roman"/>
          <w:bCs/>
          <w:sz w:val="28"/>
          <w:szCs w:val="28"/>
        </w:rPr>
        <w:t xml:space="preserve"> such that a just result can be reached without the necessity of a trial</w:t>
      </w:r>
      <w:r w:rsidR="007525D8" w:rsidRPr="00F53EF3">
        <w:rPr>
          <w:rFonts w:ascii="Times New Roman" w:hAnsi="Times New Roman" w:cs="Times New Roman"/>
          <w:bCs/>
          <w:sz w:val="28"/>
          <w:szCs w:val="28"/>
        </w:rPr>
        <w:t>.</w:t>
      </w:r>
      <w:r w:rsidR="00132C6D" w:rsidRPr="00F53EF3">
        <w:rPr>
          <w:rFonts w:ascii="Times New Roman" w:hAnsi="Times New Roman" w:cs="Times New Roman"/>
          <w:bCs/>
          <w:sz w:val="28"/>
          <w:szCs w:val="28"/>
        </w:rPr>
        <w:t xml:space="preserve"> </w:t>
      </w:r>
      <w:r w:rsidR="00664BBC">
        <w:rPr>
          <w:rFonts w:ascii="Times New Roman" w:hAnsi="Times New Roman" w:cs="Times New Roman"/>
          <w:bCs/>
          <w:sz w:val="28"/>
          <w:szCs w:val="28"/>
        </w:rPr>
        <w:t xml:space="preserve">Northland takes the position that Mr. Adams’ account is thoroughly supported by documentary evidence. </w:t>
      </w:r>
      <w:r w:rsidR="00132C6D" w:rsidRPr="00F53EF3">
        <w:rPr>
          <w:rFonts w:ascii="Times New Roman" w:hAnsi="Times New Roman" w:cs="Times New Roman"/>
          <w:bCs/>
          <w:sz w:val="28"/>
          <w:szCs w:val="28"/>
        </w:rPr>
        <w:t xml:space="preserve">It further submits that </w:t>
      </w:r>
      <w:r w:rsidR="007525D8" w:rsidRPr="00F53EF3">
        <w:rPr>
          <w:rFonts w:ascii="Times New Roman" w:hAnsi="Times New Roman" w:cs="Times New Roman"/>
          <w:bCs/>
          <w:sz w:val="28"/>
          <w:szCs w:val="28"/>
        </w:rPr>
        <w:t xml:space="preserve">ONEC’s affidavits are self-serving, </w:t>
      </w:r>
      <w:r w:rsidR="00132C6D" w:rsidRPr="00F53EF3">
        <w:rPr>
          <w:rFonts w:ascii="Times New Roman" w:hAnsi="Times New Roman" w:cs="Times New Roman"/>
          <w:bCs/>
          <w:sz w:val="28"/>
          <w:szCs w:val="28"/>
        </w:rPr>
        <w:t>conclusionary and argumentative</w:t>
      </w:r>
      <w:r w:rsidR="007525D8" w:rsidRPr="00F53EF3">
        <w:rPr>
          <w:rFonts w:ascii="Times New Roman" w:hAnsi="Times New Roman" w:cs="Times New Roman"/>
          <w:bCs/>
          <w:sz w:val="28"/>
          <w:szCs w:val="28"/>
        </w:rPr>
        <w:t xml:space="preserve">. </w:t>
      </w:r>
    </w:p>
    <w:p w14:paraId="0F74D56F" w14:textId="77777777" w:rsidR="008F4E93" w:rsidRPr="008F4E93" w:rsidRDefault="008F4E93" w:rsidP="008F4E93">
      <w:pPr>
        <w:pStyle w:val="ListParagraph"/>
        <w:rPr>
          <w:rFonts w:ascii="Times New Roman" w:hAnsi="Times New Roman" w:cs="Times New Roman"/>
          <w:bCs/>
          <w:sz w:val="28"/>
          <w:szCs w:val="28"/>
        </w:rPr>
      </w:pPr>
    </w:p>
    <w:p w14:paraId="4BF0B631" w14:textId="6B5EBD88" w:rsidR="00836ECF" w:rsidRPr="00FC1CBD" w:rsidRDefault="008F4E93" w:rsidP="00FC1CBD">
      <w:pPr>
        <w:pStyle w:val="ListParagraph"/>
        <w:numPr>
          <w:ilvl w:val="0"/>
          <w:numId w:val="1"/>
        </w:numPr>
        <w:spacing w:after="0" w:line="240" w:lineRule="auto"/>
        <w:contextualSpacing w:val="0"/>
        <w:jc w:val="both"/>
        <w:rPr>
          <w:rFonts w:ascii="Times New Roman" w:hAnsi="Times New Roman" w:cs="Times New Roman"/>
          <w:bCs/>
          <w:sz w:val="28"/>
          <w:szCs w:val="28"/>
        </w:rPr>
      </w:pPr>
      <w:r>
        <w:rPr>
          <w:rFonts w:ascii="Times New Roman" w:hAnsi="Times New Roman" w:cs="Times New Roman"/>
          <w:bCs/>
          <w:sz w:val="28"/>
          <w:szCs w:val="28"/>
        </w:rPr>
        <w:t xml:space="preserve">I will deal first with the argument relative to ONEC’s affidavits. </w:t>
      </w:r>
      <w:r w:rsidR="007525D8" w:rsidRPr="00F53EF3">
        <w:rPr>
          <w:rFonts w:ascii="Times New Roman" w:hAnsi="Times New Roman" w:cs="Times New Roman"/>
          <w:bCs/>
          <w:sz w:val="28"/>
          <w:szCs w:val="28"/>
        </w:rPr>
        <w:t>I disagree</w:t>
      </w:r>
      <w:r>
        <w:rPr>
          <w:rFonts w:ascii="Times New Roman" w:hAnsi="Times New Roman" w:cs="Times New Roman"/>
          <w:bCs/>
          <w:sz w:val="28"/>
          <w:szCs w:val="28"/>
        </w:rPr>
        <w:t xml:space="preserve"> with Northland </w:t>
      </w:r>
      <w:r w:rsidR="00A43AEB">
        <w:rPr>
          <w:rFonts w:ascii="Times New Roman" w:hAnsi="Times New Roman" w:cs="Times New Roman"/>
          <w:bCs/>
          <w:sz w:val="28"/>
          <w:szCs w:val="28"/>
        </w:rPr>
        <w:t xml:space="preserve">that Mr. Wiart and Mr. Pugh’s affidavits are </w:t>
      </w:r>
      <w:r w:rsidR="00A43AEB" w:rsidRPr="00F53EF3">
        <w:rPr>
          <w:rFonts w:ascii="Times New Roman" w:hAnsi="Times New Roman" w:cs="Times New Roman"/>
          <w:bCs/>
          <w:sz w:val="28"/>
          <w:szCs w:val="28"/>
        </w:rPr>
        <w:t>self-serving, conclusionary and argumentative</w:t>
      </w:r>
      <w:r w:rsidR="007525D8" w:rsidRPr="00F53EF3">
        <w:rPr>
          <w:rFonts w:ascii="Times New Roman" w:hAnsi="Times New Roman" w:cs="Times New Roman"/>
          <w:bCs/>
          <w:sz w:val="28"/>
          <w:szCs w:val="28"/>
        </w:rPr>
        <w:t xml:space="preserve">. </w:t>
      </w:r>
      <w:r w:rsidR="00636407" w:rsidRPr="00F82B8E">
        <w:rPr>
          <w:rFonts w:ascii="Times New Roman" w:hAnsi="Times New Roman" w:cs="Times New Roman"/>
          <w:bCs/>
          <w:sz w:val="28"/>
          <w:szCs w:val="28"/>
        </w:rPr>
        <w:t xml:space="preserve">I </w:t>
      </w:r>
      <w:r w:rsidR="008760A9">
        <w:rPr>
          <w:rFonts w:ascii="Times New Roman" w:hAnsi="Times New Roman" w:cs="Times New Roman"/>
          <w:bCs/>
          <w:sz w:val="28"/>
          <w:szCs w:val="28"/>
        </w:rPr>
        <w:t>agree that</w:t>
      </w:r>
      <w:r w:rsidR="00636407" w:rsidRPr="00F82B8E">
        <w:rPr>
          <w:rFonts w:ascii="Times New Roman" w:hAnsi="Times New Roman" w:cs="Times New Roman"/>
          <w:bCs/>
          <w:sz w:val="28"/>
          <w:szCs w:val="28"/>
        </w:rPr>
        <w:t xml:space="preserve"> some paragraphs of the ONEC affidavits are argumentative</w:t>
      </w:r>
      <w:r w:rsidR="00636407">
        <w:rPr>
          <w:rFonts w:ascii="Times New Roman" w:hAnsi="Times New Roman" w:cs="Times New Roman"/>
          <w:bCs/>
          <w:sz w:val="28"/>
          <w:szCs w:val="28"/>
        </w:rPr>
        <w:t xml:space="preserve">, </w:t>
      </w:r>
      <w:r w:rsidR="00636407" w:rsidRPr="00F82B8E">
        <w:rPr>
          <w:rFonts w:ascii="Times New Roman" w:hAnsi="Times New Roman" w:cs="Times New Roman"/>
          <w:bCs/>
          <w:sz w:val="28"/>
          <w:szCs w:val="28"/>
        </w:rPr>
        <w:t>for example, para</w:t>
      </w:r>
      <w:r w:rsidR="00636407">
        <w:rPr>
          <w:rFonts w:ascii="Times New Roman" w:hAnsi="Times New Roman" w:cs="Times New Roman"/>
          <w:bCs/>
          <w:sz w:val="28"/>
          <w:szCs w:val="28"/>
        </w:rPr>
        <w:t>graphs</w:t>
      </w:r>
      <w:r w:rsidR="00636407" w:rsidRPr="00F82B8E">
        <w:rPr>
          <w:rFonts w:ascii="Times New Roman" w:hAnsi="Times New Roman" w:cs="Times New Roman"/>
          <w:bCs/>
          <w:sz w:val="28"/>
          <w:szCs w:val="28"/>
        </w:rPr>
        <w:t xml:space="preserve"> 12 and 32 of the Wiart affidavit and </w:t>
      </w:r>
      <w:r w:rsidR="00636407">
        <w:rPr>
          <w:rFonts w:ascii="Times New Roman" w:hAnsi="Times New Roman" w:cs="Times New Roman"/>
          <w:bCs/>
          <w:sz w:val="28"/>
          <w:szCs w:val="28"/>
        </w:rPr>
        <w:t>paragraph</w:t>
      </w:r>
      <w:r w:rsidR="00636407" w:rsidRPr="00F82B8E">
        <w:rPr>
          <w:rFonts w:ascii="Times New Roman" w:hAnsi="Times New Roman" w:cs="Times New Roman"/>
          <w:bCs/>
          <w:sz w:val="28"/>
          <w:szCs w:val="28"/>
        </w:rPr>
        <w:t xml:space="preserve"> 19 of </w:t>
      </w:r>
      <w:r w:rsidR="00291776">
        <w:rPr>
          <w:rFonts w:ascii="Times New Roman" w:hAnsi="Times New Roman" w:cs="Times New Roman"/>
          <w:bCs/>
          <w:sz w:val="28"/>
          <w:szCs w:val="28"/>
        </w:rPr>
        <w:t xml:space="preserve">the </w:t>
      </w:r>
      <w:r w:rsidR="00636407" w:rsidRPr="00F82B8E">
        <w:rPr>
          <w:rFonts w:ascii="Times New Roman" w:hAnsi="Times New Roman" w:cs="Times New Roman"/>
          <w:bCs/>
          <w:sz w:val="28"/>
          <w:szCs w:val="28"/>
        </w:rPr>
        <w:t xml:space="preserve">Pugh Affidavit. </w:t>
      </w:r>
      <w:r w:rsidR="00636407">
        <w:rPr>
          <w:rFonts w:ascii="Times New Roman" w:hAnsi="Times New Roman" w:cs="Times New Roman"/>
          <w:bCs/>
          <w:sz w:val="28"/>
          <w:szCs w:val="28"/>
        </w:rPr>
        <w:t>However, the affidavits are not riddled w</w:t>
      </w:r>
      <w:r w:rsidR="00636407" w:rsidRPr="00F82B8E">
        <w:rPr>
          <w:rFonts w:ascii="Times New Roman" w:hAnsi="Times New Roman" w:cs="Times New Roman"/>
          <w:bCs/>
          <w:sz w:val="28"/>
          <w:szCs w:val="28"/>
        </w:rPr>
        <w:t xml:space="preserve">ith </w:t>
      </w:r>
      <w:r w:rsidR="00636407">
        <w:rPr>
          <w:rFonts w:ascii="Times New Roman" w:hAnsi="Times New Roman" w:cs="Times New Roman"/>
          <w:bCs/>
          <w:sz w:val="28"/>
          <w:szCs w:val="28"/>
        </w:rPr>
        <w:t>inadmissible evidence</w:t>
      </w:r>
      <w:r w:rsidR="00620D5B">
        <w:rPr>
          <w:rFonts w:ascii="Times New Roman" w:hAnsi="Times New Roman" w:cs="Times New Roman"/>
          <w:bCs/>
          <w:sz w:val="28"/>
          <w:szCs w:val="28"/>
        </w:rPr>
        <w:t>,</w:t>
      </w:r>
      <w:r w:rsidR="00636407">
        <w:rPr>
          <w:rFonts w:ascii="Times New Roman" w:hAnsi="Times New Roman" w:cs="Times New Roman"/>
          <w:bCs/>
          <w:sz w:val="28"/>
          <w:szCs w:val="28"/>
        </w:rPr>
        <w:t xml:space="preserve"> as alleged by Northland</w:t>
      </w:r>
      <w:r w:rsidR="0069059B">
        <w:rPr>
          <w:rFonts w:ascii="Times New Roman" w:hAnsi="Times New Roman" w:cs="Times New Roman"/>
          <w:bCs/>
          <w:sz w:val="28"/>
          <w:szCs w:val="28"/>
        </w:rPr>
        <w:t>, such that</w:t>
      </w:r>
      <w:r w:rsidR="00915DA0" w:rsidRPr="00915DA0">
        <w:rPr>
          <w:rFonts w:ascii="Times New Roman" w:hAnsi="Times New Roman" w:cs="Times New Roman"/>
          <w:bCs/>
          <w:sz w:val="28"/>
          <w:szCs w:val="28"/>
        </w:rPr>
        <w:t xml:space="preserve"> </w:t>
      </w:r>
      <w:r w:rsidR="00915DA0" w:rsidRPr="00F82B8E">
        <w:rPr>
          <w:rFonts w:ascii="Times New Roman" w:hAnsi="Times New Roman" w:cs="Times New Roman"/>
          <w:bCs/>
          <w:sz w:val="28"/>
          <w:szCs w:val="28"/>
        </w:rPr>
        <w:t xml:space="preserve">I should disregard </w:t>
      </w:r>
      <w:r w:rsidR="004F43B1">
        <w:rPr>
          <w:rFonts w:ascii="Times New Roman" w:hAnsi="Times New Roman" w:cs="Times New Roman"/>
          <w:bCs/>
          <w:sz w:val="28"/>
          <w:szCs w:val="28"/>
        </w:rPr>
        <w:t xml:space="preserve">them </w:t>
      </w:r>
      <w:r w:rsidR="00915DA0" w:rsidRPr="00F82B8E">
        <w:rPr>
          <w:rFonts w:ascii="Times New Roman" w:hAnsi="Times New Roman" w:cs="Times New Roman"/>
          <w:bCs/>
          <w:sz w:val="28"/>
          <w:szCs w:val="28"/>
        </w:rPr>
        <w:t xml:space="preserve">altogether. </w:t>
      </w:r>
      <w:r w:rsidR="00636407" w:rsidRPr="00915DA0">
        <w:rPr>
          <w:rFonts w:ascii="Times New Roman" w:hAnsi="Times New Roman" w:cs="Times New Roman"/>
          <w:bCs/>
          <w:sz w:val="28"/>
          <w:szCs w:val="28"/>
        </w:rPr>
        <w:t xml:space="preserve">Both affidavits </w:t>
      </w:r>
      <w:r w:rsidR="00836ECF">
        <w:rPr>
          <w:rFonts w:ascii="Times New Roman" w:hAnsi="Times New Roman" w:cs="Times New Roman"/>
          <w:bCs/>
          <w:sz w:val="28"/>
          <w:szCs w:val="28"/>
        </w:rPr>
        <w:t>contain</w:t>
      </w:r>
      <w:r w:rsidR="00AE0978">
        <w:rPr>
          <w:rFonts w:ascii="Times New Roman" w:hAnsi="Times New Roman" w:cs="Times New Roman"/>
          <w:bCs/>
          <w:sz w:val="28"/>
          <w:szCs w:val="28"/>
        </w:rPr>
        <w:t xml:space="preserve">, for the greater part, </w:t>
      </w:r>
      <w:r w:rsidR="00620D5B">
        <w:rPr>
          <w:rFonts w:ascii="Times New Roman" w:hAnsi="Times New Roman" w:cs="Times New Roman"/>
          <w:bCs/>
          <w:sz w:val="28"/>
          <w:szCs w:val="28"/>
        </w:rPr>
        <w:t>statements of fact</w:t>
      </w:r>
      <w:r w:rsidR="005457B9">
        <w:rPr>
          <w:rFonts w:ascii="Times New Roman" w:hAnsi="Times New Roman" w:cs="Times New Roman"/>
          <w:bCs/>
          <w:sz w:val="28"/>
          <w:szCs w:val="28"/>
        </w:rPr>
        <w:t xml:space="preserve">, </w:t>
      </w:r>
      <w:r w:rsidR="009A7E4A">
        <w:rPr>
          <w:rFonts w:ascii="Times New Roman" w:hAnsi="Times New Roman" w:cs="Times New Roman"/>
          <w:bCs/>
          <w:sz w:val="28"/>
          <w:szCs w:val="28"/>
        </w:rPr>
        <w:t>many</w:t>
      </w:r>
      <w:r w:rsidR="005457B9">
        <w:rPr>
          <w:rFonts w:ascii="Times New Roman" w:hAnsi="Times New Roman" w:cs="Times New Roman"/>
          <w:bCs/>
          <w:sz w:val="28"/>
          <w:szCs w:val="28"/>
        </w:rPr>
        <w:t xml:space="preserve"> of which are supported by documents,</w:t>
      </w:r>
      <w:r w:rsidR="00636407" w:rsidRPr="00915DA0">
        <w:rPr>
          <w:rFonts w:ascii="Times New Roman" w:hAnsi="Times New Roman" w:cs="Times New Roman"/>
          <w:bCs/>
          <w:sz w:val="28"/>
          <w:szCs w:val="28"/>
        </w:rPr>
        <w:t xml:space="preserve"> that are relevant to this litigation</w:t>
      </w:r>
      <w:r w:rsidR="009A7E4A">
        <w:rPr>
          <w:rFonts w:ascii="Times New Roman" w:hAnsi="Times New Roman" w:cs="Times New Roman"/>
          <w:bCs/>
          <w:sz w:val="28"/>
          <w:szCs w:val="28"/>
        </w:rPr>
        <w:t xml:space="preserve">. The evidence presented by ONEC is </w:t>
      </w:r>
      <w:r w:rsidR="00AE0978">
        <w:rPr>
          <w:rFonts w:ascii="Times New Roman" w:hAnsi="Times New Roman" w:cs="Times New Roman"/>
          <w:bCs/>
          <w:sz w:val="28"/>
          <w:szCs w:val="28"/>
        </w:rPr>
        <w:t>not a general denial or bare assertions with</w:t>
      </w:r>
      <w:r w:rsidR="005457B9">
        <w:rPr>
          <w:rFonts w:ascii="Times New Roman" w:hAnsi="Times New Roman" w:cs="Times New Roman"/>
          <w:bCs/>
          <w:sz w:val="28"/>
          <w:szCs w:val="28"/>
        </w:rPr>
        <w:t>out supporting evidence</w:t>
      </w:r>
      <w:r w:rsidR="009A7E4A">
        <w:rPr>
          <w:rFonts w:ascii="Times New Roman" w:hAnsi="Times New Roman" w:cs="Times New Roman"/>
          <w:bCs/>
          <w:sz w:val="28"/>
          <w:szCs w:val="28"/>
        </w:rPr>
        <w:t xml:space="preserve"> as alleged by Northland</w:t>
      </w:r>
      <w:r w:rsidR="00636407" w:rsidRPr="00915DA0">
        <w:rPr>
          <w:rFonts w:ascii="Times New Roman" w:hAnsi="Times New Roman" w:cs="Times New Roman"/>
          <w:bCs/>
          <w:sz w:val="28"/>
          <w:szCs w:val="28"/>
        </w:rPr>
        <w:t xml:space="preserve">. I have not considered the inadmissible </w:t>
      </w:r>
      <w:r w:rsidR="009A7E4A">
        <w:rPr>
          <w:rFonts w:ascii="Times New Roman" w:hAnsi="Times New Roman" w:cs="Times New Roman"/>
          <w:bCs/>
          <w:sz w:val="28"/>
          <w:szCs w:val="28"/>
        </w:rPr>
        <w:t>portions of the affidavits</w:t>
      </w:r>
      <w:r w:rsidR="00836ECF">
        <w:rPr>
          <w:rFonts w:ascii="Times New Roman" w:hAnsi="Times New Roman" w:cs="Times New Roman"/>
          <w:bCs/>
          <w:sz w:val="28"/>
          <w:szCs w:val="28"/>
        </w:rPr>
        <w:t xml:space="preserve"> set out above, but I have considered the Wiart and Pugh affidavits in reaching my decision. </w:t>
      </w:r>
      <w:r w:rsidR="00636407" w:rsidRPr="00915DA0">
        <w:rPr>
          <w:rFonts w:ascii="Times New Roman" w:hAnsi="Times New Roman" w:cs="Times New Roman"/>
          <w:bCs/>
          <w:sz w:val="28"/>
          <w:szCs w:val="28"/>
        </w:rPr>
        <w:t xml:space="preserve"> </w:t>
      </w:r>
    </w:p>
    <w:p w14:paraId="49E5082C" w14:textId="77777777" w:rsidR="007525D8" w:rsidRPr="00F82B8E" w:rsidRDefault="007525D8" w:rsidP="00132C6D">
      <w:pPr>
        <w:pStyle w:val="ListParagraph"/>
        <w:spacing w:after="0" w:line="240" w:lineRule="auto"/>
        <w:ind w:left="0"/>
        <w:jc w:val="both"/>
        <w:rPr>
          <w:rFonts w:ascii="Times New Roman" w:hAnsi="Times New Roman" w:cs="Times New Roman"/>
          <w:bCs/>
          <w:sz w:val="28"/>
          <w:szCs w:val="28"/>
        </w:rPr>
      </w:pPr>
    </w:p>
    <w:p w14:paraId="78736088" w14:textId="2A5F5D37" w:rsidR="00F71FA7" w:rsidRDefault="0092569C" w:rsidP="00B8332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Tur</w:t>
      </w:r>
      <w:r w:rsidR="00447BC5">
        <w:rPr>
          <w:rFonts w:ascii="Times New Roman" w:hAnsi="Times New Roman" w:cs="Times New Roman"/>
          <w:bCs/>
          <w:sz w:val="28"/>
          <w:szCs w:val="28"/>
        </w:rPr>
        <w:t>n</w:t>
      </w:r>
      <w:r>
        <w:rPr>
          <w:rFonts w:ascii="Times New Roman" w:hAnsi="Times New Roman" w:cs="Times New Roman"/>
          <w:bCs/>
          <w:sz w:val="28"/>
          <w:szCs w:val="28"/>
        </w:rPr>
        <w:t xml:space="preserve">ing to </w:t>
      </w:r>
      <w:r w:rsidR="00E16D11">
        <w:rPr>
          <w:rFonts w:ascii="Times New Roman" w:hAnsi="Times New Roman" w:cs="Times New Roman"/>
          <w:bCs/>
          <w:sz w:val="28"/>
          <w:szCs w:val="28"/>
        </w:rPr>
        <w:t>Northland</w:t>
      </w:r>
      <w:r>
        <w:rPr>
          <w:rFonts w:ascii="Times New Roman" w:hAnsi="Times New Roman" w:cs="Times New Roman"/>
          <w:bCs/>
          <w:sz w:val="28"/>
          <w:szCs w:val="28"/>
        </w:rPr>
        <w:t>’s</w:t>
      </w:r>
      <w:r w:rsidR="00E16D11">
        <w:rPr>
          <w:rFonts w:ascii="Times New Roman" w:hAnsi="Times New Roman" w:cs="Times New Roman"/>
          <w:bCs/>
          <w:sz w:val="28"/>
          <w:szCs w:val="28"/>
        </w:rPr>
        <w:t xml:space="preserve"> </w:t>
      </w:r>
      <w:r w:rsidR="00046E8B">
        <w:rPr>
          <w:rFonts w:ascii="Times New Roman" w:hAnsi="Times New Roman" w:cs="Times New Roman"/>
          <w:bCs/>
          <w:sz w:val="28"/>
          <w:szCs w:val="28"/>
        </w:rPr>
        <w:t>argument that</w:t>
      </w:r>
      <w:r w:rsidR="009F4EE3">
        <w:rPr>
          <w:rFonts w:ascii="Times New Roman" w:hAnsi="Times New Roman" w:cs="Times New Roman"/>
          <w:bCs/>
          <w:sz w:val="28"/>
          <w:szCs w:val="28"/>
        </w:rPr>
        <w:t xml:space="preserve"> Mr. Adams’ </w:t>
      </w:r>
      <w:r w:rsidR="00FC1CBD">
        <w:rPr>
          <w:rFonts w:ascii="Times New Roman" w:hAnsi="Times New Roman" w:cs="Times New Roman"/>
          <w:bCs/>
          <w:sz w:val="28"/>
          <w:szCs w:val="28"/>
        </w:rPr>
        <w:t>affidavit</w:t>
      </w:r>
      <w:r w:rsidR="009F4EE3">
        <w:rPr>
          <w:rFonts w:ascii="Times New Roman" w:hAnsi="Times New Roman" w:cs="Times New Roman"/>
          <w:bCs/>
          <w:sz w:val="28"/>
          <w:szCs w:val="28"/>
        </w:rPr>
        <w:t xml:space="preserve"> </w:t>
      </w:r>
      <w:r w:rsidR="003D0EBA">
        <w:rPr>
          <w:rFonts w:ascii="Times New Roman" w:hAnsi="Times New Roman" w:cs="Times New Roman"/>
          <w:bCs/>
          <w:sz w:val="28"/>
          <w:szCs w:val="28"/>
        </w:rPr>
        <w:t xml:space="preserve">should be preferred </w:t>
      </w:r>
      <w:r w:rsidR="009F4EE3">
        <w:rPr>
          <w:rFonts w:ascii="Times New Roman" w:hAnsi="Times New Roman" w:cs="Times New Roman"/>
          <w:bCs/>
          <w:sz w:val="28"/>
          <w:szCs w:val="28"/>
        </w:rPr>
        <w:t xml:space="preserve">because it is largely supported by </w:t>
      </w:r>
      <w:r>
        <w:rPr>
          <w:rFonts w:ascii="Times New Roman" w:hAnsi="Times New Roman" w:cs="Times New Roman"/>
          <w:bCs/>
          <w:sz w:val="28"/>
          <w:szCs w:val="28"/>
        </w:rPr>
        <w:t>document</w:t>
      </w:r>
      <w:r w:rsidR="003D0EBA">
        <w:rPr>
          <w:rFonts w:ascii="Times New Roman" w:hAnsi="Times New Roman" w:cs="Times New Roman"/>
          <w:bCs/>
          <w:sz w:val="28"/>
          <w:szCs w:val="28"/>
        </w:rPr>
        <w:t>ary evidence,</w:t>
      </w:r>
      <w:r w:rsidR="00046E8B">
        <w:rPr>
          <w:rFonts w:ascii="Times New Roman" w:hAnsi="Times New Roman" w:cs="Times New Roman"/>
          <w:bCs/>
          <w:sz w:val="28"/>
          <w:szCs w:val="28"/>
        </w:rPr>
        <w:t xml:space="preserve"> </w:t>
      </w:r>
      <w:r w:rsidR="007525D8" w:rsidRPr="00F82B8E">
        <w:rPr>
          <w:rFonts w:ascii="Times New Roman" w:hAnsi="Times New Roman" w:cs="Times New Roman"/>
          <w:bCs/>
          <w:sz w:val="28"/>
          <w:szCs w:val="28"/>
        </w:rPr>
        <w:t xml:space="preserve">I agree that some of Mr. Adams’ evidence is supported by </w:t>
      </w:r>
      <w:r w:rsidR="00FC1CBD">
        <w:rPr>
          <w:rFonts w:ascii="Times New Roman" w:hAnsi="Times New Roman" w:cs="Times New Roman"/>
          <w:bCs/>
          <w:sz w:val="28"/>
          <w:szCs w:val="28"/>
        </w:rPr>
        <w:t>documents,</w:t>
      </w:r>
      <w:r w:rsidR="007525D8" w:rsidRPr="00F82B8E">
        <w:rPr>
          <w:rFonts w:ascii="Times New Roman" w:hAnsi="Times New Roman" w:cs="Times New Roman"/>
          <w:bCs/>
          <w:sz w:val="28"/>
          <w:szCs w:val="28"/>
        </w:rPr>
        <w:t xml:space="preserve"> but </w:t>
      </w:r>
      <w:r w:rsidR="00FC1CBD">
        <w:rPr>
          <w:rFonts w:ascii="Times New Roman" w:hAnsi="Times New Roman" w:cs="Times New Roman"/>
          <w:bCs/>
          <w:sz w:val="28"/>
          <w:szCs w:val="28"/>
        </w:rPr>
        <w:t xml:space="preserve">I find that </w:t>
      </w:r>
      <w:r w:rsidR="007525D8" w:rsidRPr="00F82B8E">
        <w:rPr>
          <w:rFonts w:ascii="Times New Roman" w:hAnsi="Times New Roman" w:cs="Times New Roman"/>
          <w:bCs/>
          <w:sz w:val="28"/>
          <w:szCs w:val="28"/>
        </w:rPr>
        <w:t>central areas of dispute</w:t>
      </w:r>
      <w:r w:rsidR="0076446B">
        <w:rPr>
          <w:rFonts w:ascii="Times New Roman" w:hAnsi="Times New Roman" w:cs="Times New Roman"/>
          <w:bCs/>
          <w:sz w:val="28"/>
          <w:szCs w:val="28"/>
        </w:rPr>
        <w:t xml:space="preserve"> remain</w:t>
      </w:r>
      <w:r w:rsidR="00132C6D" w:rsidRPr="00F82B8E">
        <w:rPr>
          <w:rFonts w:ascii="Times New Roman" w:hAnsi="Times New Roman" w:cs="Times New Roman"/>
          <w:bCs/>
          <w:sz w:val="28"/>
          <w:szCs w:val="28"/>
        </w:rPr>
        <w:t>.</w:t>
      </w:r>
    </w:p>
    <w:p w14:paraId="2674D173" w14:textId="77777777" w:rsidR="00B4797F" w:rsidRPr="00B4797F" w:rsidRDefault="00B4797F" w:rsidP="00B4797F">
      <w:pPr>
        <w:pStyle w:val="ListParagraph"/>
        <w:rPr>
          <w:rFonts w:ascii="Times New Roman" w:hAnsi="Times New Roman" w:cs="Times New Roman"/>
          <w:bCs/>
          <w:sz w:val="28"/>
          <w:szCs w:val="28"/>
        </w:rPr>
      </w:pPr>
    </w:p>
    <w:p w14:paraId="70F42808" w14:textId="7613A762" w:rsidR="002B76B0" w:rsidRPr="00E941B8" w:rsidRDefault="00A62111" w:rsidP="002B76B0">
      <w:pPr>
        <w:pStyle w:val="ListParagraph"/>
        <w:numPr>
          <w:ilvl w:val="0"/>
          <w:numId w:val="1"/>
        </w:numPr>
        <w:spacing w:after="0" w:line="240" w:lineRule="auto"/>
        <w:jc w:val="both"/>
        <w:rPr>
          <w:rFonts w:ascii="Times New Roman" w:hAnsi="Times New Roman" w:cs="Times New Roman"/>
          <w:bCs/>
          <w:sz w:val="28"/>
          <w:szCs w:val="28"/>
        </w:rPr>
      </w:pPr>
      <w:r w:rsidRPr="00E941B8">
        <w:rPr>
          <w:rFonts w:ascii="Times New Roman" w:hAnsi="Times New Roman" w:cs="Times New Roman"/>
          <w:bCs/>
          <w:sz w:val="28"/>
          <w:szCs w:val="28"/>
        </w:rPr>
        <w:t xml:space="preserve">On March 18, 2022, </w:t>
      </w:r>
      <w:r w:rsidR="008A50A1" w:rsidRPr="00E941B8">
        <w:rPr>
          <w:rFonts w:ascii="Times New Roman" w:hAnsi="Times New Roman" w:cs="Times New Roman"/>
          <w:bCs/>
          <w:sz w:val="28"/>
          <w:szCs w:val="28"/>
        </w:rPr>
        <w:t xml:space="preserve">Northland </w:t>
      </w:r>
      <w:r w:rsidR="00092B10" w:rsidRPr="00E941B8">
        <w:rPr>
          <w:rFonts w:ascii="Times New Roman" w:hAnsi="Times New Roman" w:cs="Times New Roman"/>
          <w:bCs/>
          <w:sz w:val="28"/>
          <w:szCs w:val="28"/>
        </w:rPr>
        <w:t xml:space="preserve">submitted </w:t>
      </w:r>
      <w:r w:rsidRPr="00E941B8">
        <w:rPr>
          <w:rFonts w:ascii="Times New Roman" w:hAnsi="Times New Roman" w:cs="Times New Roman"/>
          <w:bCs/>
          <w:sz w:val="28"/>
          <w:szCs w:val="28"/>
        </w:rPr>
        <w:t>an</w:t>
      </w:r>
      <w:r w:rsidR="00092B10" w:rsidRPr="00E941B8">
        <w:rPr>
          <w:rFonts w:ascii="Times New Roman" w:hAnsi="Times New Roman" w:cs="Times New Roman"/>
          <w:bCs/>
          <w:sz w:val="28"/>
          <w:szCs w:val="28"/>
        </w:rPr>
        <w:t xml:space="preserve"> invoice to ONE</w:t>
      </w:r>
      <w:r w:rsidR="00CF1271" w:rsidRPr="00E941B8">
        <w:rPr>
          <w:rFonts w:ascii="Times New Roman" w:hAnsi="Times New Roman" w:cs="Times New Roman"/>
          <w:bCs/>
          <w:sz w:val="28"/>
          <w:szCs w:val="28"/>
        </w:rPr>
        <w:t xml:space="preserve">C </w:t>
      </w:r>
      <w:r w:rsidRPr="00E941B8">
        <w:rPr>
          <w:rFonts w:ascii="Times New Roman" w:hAnsi="Times New Roman" w:cs="Times New Roman"/>
          <w:bCs/>
          <w:sz w:val="28"/>
          <w:szCs w:val="28"/>
        </w:rPr>
        <w:t xml:space="preserve">for </w:t>
      </w:r>
      <w:r w:rsidR="00447BC5">
        <w:rPr>
          <w:rFonts w:ascii="Times New Roman" w:hAnsi="Times New Roman" w:cs="Times New Roman"/>
          <w:bCs/>
          <w:sz w:val="28"/>
          <w:szCs w:val="28"/>
        </w:rPr>
        <w:t xml:space="preserve">a </w:t>
      </w:r>
      <w:r w:rsidRPr="00E941B8">
        <w:rPr>
          <w:rFonts w:ascii="Times New Roman" w:hAnsi="Times New Roman" w:cs="Times New Roman"/>
          <w:bCs/>
          <w:sz w:val="28"/>
          <w:szCs w:val="28"/>
        </w:rPr>
        <w:t>mobilization fee</w:t>
      </w:r>
      <w:r w:rsidR="00D03C97" w:rsidRPr="00E941B8">
        <w:rPr>
          <w:rFonts w:ascii="Times New Roman" w:hAnsi="Times New Roman" w:cs="Times New Roman"/>
          <w:bCs/>
          <w:sz w:val="28"/>
          <w:szCs w:val="28"/>
        </w:rPr>
        <w:t>, which was paid in full</w:t>
      </w:r>
      <w:r w:rsidR="00270F6F" w:rsidRPr="00E941B8">
        <w:rPr>
          <w:rFonts w:ascii="Times New Roman" w:hAnsi="Times New Roman" w:cs="Times New Roman"/>
          <w:bCs/>
          <w:sz w:val="28"/>
          <w:szCs w:val="28"/>
        </w:rPr>
        <w:t>. Starting in April 2022</w:t>
      </w:r>
      <w:r w:rsidR="00D95DC0">
        <w:rPr>
          <w:rFonts w:ascii="Times New Roman" w:hAnsi="Times New Roman" w:cs="Times New Roman"/>
          <w:bCs/>
          <w:sz w:val="28"/>
          <w:szCs w:val="28"/>
        </w:rPr>
        <w:t xml:space="preserve"> and until November 2022</w:t>
      </w:r>
      <w:r w:rsidR="00270F6F" w:rsidRPr="00E941B8">
        <w:rPr>
          <w:rFonts w:ascii="Times New Roman" w:hAnsi="Times New Roman" w:cs="Times New Roman"/>
          <w:bCs/>
          <w:sz w:val="28"/>
          <w:szCs w:val="28"/>
        </w:rPr>
        <w:t>, Northland submitted invoices to ONEC monthly for the costs it incurred during that month.</w:t>
      </w:r>
      <w:r w:rsidR="006B6AB4" w:rsidRPr="00E941B8">
        <w:rPr>
          <w:rFonts w:ascii="Times New Roman" w:hAnsi="Times New Roman" w:cs="Times New Roman"/>
          <w:bCs/>
          <w:sz w:val="28"/>
          <w:szCs w:val="28"/>
        </w:rPr>
        <w:t xml:space="preserve"> The costs claimed include flat </w:t>
      </w:r>
      <w:r w:rsidR="00C82F55" w:rsidRPr="00E941B8">
        <w:rPr>
          <w:rFonts w:ascii="Times New Roman" w:hAnsi="Times New Roman" w:cs="Times New Roman"/>
          <w:bCs/>
          <w:sz w:val="28"/>
          <w:szCs w:val="28"/>
        </w:rPr>
        <w:t>monthly rates</w:t>
      </w:r>
      <w:r w:rsidR="00F9470D" w:rsidRPr="00E941B8">
        <w:rPr>
          <w:rFonts w:ascii="Times New Roman" w:hAnsi="Times New Roman" w:cs="Times New Roman"/>
          <w:bCs/>
          <w:sz w:val="28"/>
          <w:szCs w:val="28"/>
        </w:rPr>
        <w:t xml:space="preserve">, for </w:t>
      </w:r>
      <w:r w:rsidR="00A13331">
        <w:rPr>
          <w:rFonts w:ascii="Times New Roman" w:hAnsi="Times New Roman" w:cs="Times New Roman"/>
          <w:bCs/>
          <w:sz w:val="28"/>
          <w:szCs w:val="28"/>
        </w:rPr>
        <w:t xml:space="preserve">example, for </w:t>
      </w:r>
      <w:r w:rsidR="00C82F55" w:rsidRPr="00E941B8">
        <w:rPr>
          <w:rFonts w:ascii="Times New Roman" w:hAnsi="Times New Roman" w:cs="Times New Roman"/>
          <w:bCs/>
          <w:sz w:val="28"/>
          <w:szCs w:val="28"/>
        </w:rPr>
        <w:t>project support services, shop and utility expenses</w:t>
      </w:r>
      <w:r w:rsidR="00A93DD6" w:rsidRPr="00E941B8">
        <w:rPr>
          <w:rFonts w:ascii="Times New Roman" w:hAnsi="Times New Roman" w:cs="Times New Roman"/>
          <w:bCs/>
          <w:sz w:val="28"/>
          <w:szCs w:val="28"/>
        </w:rPr>
        <w:t xml:space="preserve">, well site fees, monthly accommodation for </w:t>
      </w:r>
      <w:r w:rsidR="00224E33" w:rsidRPr="00E941B8">
        <w:rPr>
          <w:rFonts w:ascii="Times New Roman" w:hAnsi="Times New Roman" w:cs="Times New Roman"/>
          <w:bCs/>
          <w:sz w:val="28"/>
          <w:szCs w:val="28"/>
        </w:rPr>
        <w:t xml:space="preserve">Mr. Adams, </w:t>
      </w:r>
      <w:r w:rsidR="00F9470D" w:rsidRPr="00E941B8">
        <w:rPr>
          <w:rFonts w:ascii="Times New Roman" w:hAnsi="Times New Roman" w:cs="Times New Roman"/>
          <w:bCs/>
          <w:sz w:val="28"/>
          <w:szCs w:val="28"/>
        </w:rPr>
        <w:t>as well as various other expenses, for example, the costs of workers’ accommodation</w:t>
      </w:r>
      <w:r w:rsidR="002B76B0" w:rsidRPr="00E941B8">
        <w:rPr>
          <w:rFonts w:ascii="Times New Roman" w:hAnsi="Times New Roman" w:cs="Times New Roman"/>
          <w:bCs/>
          <w:sz w:val="28"/>
          <w:szCs w:val="28"/>
        </w:rPr>
        <w:t xml:space="preserve"> and meals. Northland has filed receipts to </w:t>
      </w:r>
      <w:r w:rsidR="00E941B8" w:rsidRPr="00E941B8">
        <w:rPr>
          <w:rFonts w:ascii="Times New Roman" w:hAnsi="Times New Roman" w:cs="Times New Roman"/>
          <w:bCs/>
          <w:sz w:val="28"/>
          <w:szCs w:val="28"/>
        </w:rPr>
        <w:t>prove</w:t>
      </w:r>
      <w:r w:rsidR="002B76B0" w:rsidRPr="00E941B8">
        <w:rPr>
          <w:rFonts w:ascii="Times New Roman" w:hAnsi="Times New Roman" w:cs="Times New Roman"/>
          <w:bCs/>
          <w:sz w:val="28"/>
          <w:szCs w:val="28"/>
        </w:rPr>
        <w:t xml:space="preserve"> some of these expenses</w:t>
      </w:r>
      <w:r w:rsidR="00E941B8" w:rsidRPr="00E941B8">
        <w:rPr>
          <w:rFonts w:ascii="Times New Roman" w:hAnsi="Times New Roman" w:cs="Times New Roman"/>
          <w:bCs/>
          <w:sz w:val="28"/>
          <w:szCs w:val="28"/>
        </w:rPr>
        <w:t>,</w:t>
      </w:r>
      <w:r w:rsidR="002B76B0" w:rsidRPr="00E941B8">
        <w:rPr>
          <w:rFonts w:ascii="Times New Roman" w:hAnsi="Times New Roman" w:cs="Times New Roman"/>
          <w:bCs/>
          <w:sz w:val="28"/>
          <w:szCs w:val="28"/>
        </w:rPr>
        <w:t xml:space="preserve"> but many are not </w:t>
      </w:r>
      <w:r w:rsidR="00E941B8" w:rsidRPr="00E941B8">
        <w:rPr>
          <w:rFonts w:ascii="Times New Roman" w:hAnsi="Times New Roman" w:cs="Times New Roman"/>
          <w:bCs/>
          <w:sz w:val="28"/>
          <w:szCs w:val="28"/>
        </w:rPr>
        <w:t>supported by any documents</w:t>
      </w:r>
      <w:r w:rsidR="002B76B0" w:rsidRPr="00E941B8">
        <w:rPr>
          <w:rFonts w:ascii="Times New Roman" w:hAnsi="Times New Roman" w:cs="Times New Roman"/>
          <w:bCs/>
          <w:sz w:val="28"/>
          <w:szCs w:val="28"/>
        </w:rPr>
        <w:t xml:space="preserve">. </w:t>
      </w:r>
      <w:r w:rsidR="00874736">
        <w:rPr>
          <w:rFonts w:ascii="Times New Roman" w:hAnsi="Times New Roman" w:cs="Times New Roman"/>
          <w:bCs/>
          <w:sz w:val="28"/>
          <w:szCs w:val="28"/>
        </w:rPr>
        <w:t>ONEC and Liberty argue that</w:t>
      </w:r>
      <w:r w:rsidR="009F7D25">
        <w:rPr>
          <w:rFonts w:ascii="Times New Roman" w:hAnsi="Times New Roman" w:cs="Times New Roman"/>
          <w:bCs/>
          <w:sz w:val="28"/>
          <w:szCs w:val="28"/>
        </w:rPr>
        <w:t xml:space="preserve"> as a result,</w:t>
      </w:r>
      <w:r w:rsidR="00874736">
        <w:rPr>
          <w:rFonts w:ascii="Times New Roman" w:hAnsi="Times New Roman" w:cs="Times New Roman"/>
          <w:bCs/>
          <w:sz w:val="28"/>
          <w:szCs w:val="28"/>
        </w:rPr>
        <w:t xml:space="preserve"> </w:t>
      </w:r>
      <w:r w:rsidR="00A47AD6">
        <w:rPr>
          <w:rFonts w:ascii="Times New Roman" w:hAnsi="Times New Roman" w:cs="Times New Roman"/>
          <w:bCs/>
          <w:sz w:val="28"/>
          <w:szCs w:val="28"/>
        </w:rPr>
        <w:t xml:space="preserve">the invoices do not comply with the terms of the IPD Contract with respect to </w:t>
      </w:r>
      <w:r w:rsidR="009F7D25">
        <w:rPr>
          <w:rFonts w:ascii="Times New Roman" w:hAnsi="Times New Roman" w:cs="Times New Roman"/>
          <w:bCs/>
          <w:sz w:val="28"/>
          <w:szCs w:val="28"/>
        </w:rPr>
        <w:t xml:space="preserve">reimbursable costs. </w:t>
      </w:r>
      <w:r w:rsidR="003C5EA5" w:rsidRPr="003C5EA5">
        <w:rPr>
          <w:rFonts w:ascii="Times New Roman" w:hAnsi="Times New Roman" w:cs="Times New Roman"/>
          <w:bCs/>
          <w:sz w:val="28"/>
          <w:szCs w:val="28"/>
        </w:rPr>
        <w:t xml:space="preserve">They </w:t>
      </w:r>
      <w:r w:rsidR="00E10A0B">
        <w:rPr>
          <w:rFonts w:ascii="Times New Roman" w:hAnsi="Times New Roman" w:cs="Times New Roman"/>
          <w:bCs/>
          <w:sz w:val="28"/>
          <w:szCs w:val="28"/>
        </w:rPr>
        <w:t>take issue with</w:t>
      </w:r>
      <w:r w:rsidR="003C5EA5" w:rsidRPr="003C5EA5">
        <w:rPr>
          <w:rFonts w:ascii="Times New Roman" w:hAnsi="Times New Roman" w:cs="Times New Roman"/>
          <w:bCs/>
          <w:sz w:val="28"/>
          <w:szCs w:val="28"/>
        </w:rPr>
        <w:t xml:space="preserve"> several items of e</w:t>
      </w:r>
      <w:r w:rsidR="003C5EA5">
        <w:rPr>
          <w:rFonts w:ascii="Times New Roman" w:hAnsi="Times New Roman" w:cs="Times New Roman"/>
          <w:bCs/>
          <w:sz w:val="28"/>
          <w:szCs w:val="28"/>
        </w:rPr>
        <w:t xml:space="preserve">xpenses claimed by Northland. </w:t>
      </w:r>
    </w:p>
    <w:p w14:paraId="1DAFCEA2" w14:textId="77777777" w:rsidR="00B8332C" w:rsidRPr="00B8332C" w:rsidRDefault="00B8332C" w:rsidP="00B8332C">
      <w:pPr>
        <w:pStyle w:val="ListParagraph"/>
        <w:spacing w:after="0" w:line="240" w:lineRule="auto"/>
        <w:ind w:left="0"/>
        <w:jc w:val="both"/>
        <w:rPr>
          <w:rFonts w:ascii="Times New Roman" w:hAnsi="Times New Roman" w:cs="Times New Roman"/>
          <w:bCs/>
          <w:sz w:val="28"/>
          <w:szCs w:val="28"/>
        </w:rPr>
      </w:pPr>
    </w:p>
    <w:p w14:paraId="74771E98" w14:textId="5D63EB3E" w:rsidR="007771E8" w:rsidRPr="007771E8" w:rsidRDefault="00876F96" w:rsidP="007771E8">
      <w:pPr>
        <w:pStyle w:val="ListParagraph"/>
        <w:numPr>
          <w:ilvl w:val="0"/>
          <w:numId w:val="1"/>
        </w:numPr>
        <w:spacing w:after="0" w:line="240" w:lineRule="auto"/>
        <w:jc w:val="both"/>
        <w:rPr>
          <w:rFonts w:ascii="Times New Roman" w:hAnsi="Times New Roman" w:cs="Times New Roman"/>
          <w:bCs/>
          <w:sz w:val="28"/>
          <w:szCs w:val="28"/>
        </w:rPr>
      </w:pPr>
      <w:r w:rsidRPr="008017F6">
        <w:rPr>
          <w:rFonts w:ascii="Times New Roman" w:hAnsi="Times New Roman" w:cs="Times New Roman"/>
          <w:bCs/>
          <w:sz w:val="28"/>
          <w:szCs w:val="28"/>
        </w:rPr>
        <w:t xml:space="preserve">For example, </w:t>
      </w:r>
      <w:r w:rsidR="009C3340" w:rsidRPr="008017F6">
        <w:rPr>
          <w:rFonts w:ascii="Times New Roman" w:hAnsi="Times New Roman" w:cs="Times New Roman"/>
          <w:bCs/>
          <w:sz w:val="28"/>
          <w:szCs w:val="28"/>
        </w:rPr>
        <w:t xml:space="preserve">Northland invoiced ONEC </w:t>
      </w:r>
      <w:r w:rsidR="001242AC" w:rsidRPr="008017F6">
        <w:rPr>
          <w:rFonts w:ascii="Times New Roman" w:hAnsi="Times New Roman" w:cs="Times New Roman"/>
          <w:bCs/>
          <w:sz w:val="28"/>
          <w:szCs w:val="28"/>
        </w:rPr>
        <w:t>for project support services at a rate of</w:t>
      </w:r>
      <w:r w:rsidR="009C3340" w:rsidRPr="008017F6">
        <w:rPr>
          <w:rFonts w:ascii="Times New Roman" w:hAnsi="Times New Roman" w:cs="Times New Roman"/>
          <w:bCs/>
          <w:sz w:val="28"/>
          <w:szCs w:val="28"/>
        </w:rPr>
        <w:t xml:space="preserve"> $5</w:t>
      </w:r>
      <w:r w:rsidR="001242AC" w:rsidRPr="008017F6">
        <w:rPr>
          <w:rFonts w:ascii="Times New Roman" w:hAnsi="Times New Roman" w:cs="Times New Roman"/>
          <w:bCs/>
          <w:sz w:val="28"/>
          <w:szCs w:val="28"/>
        </w:rPr>
        <w:t>,</w:t>
      </w:r>
      <w:r w:rsidR="009C3340" w:rsidRPr="008017F6">
        <w:rPr>
          <w:rFonts w:ascii="Times New Roman" w:hAnsi="Times New Roman" w:cs="Times New Roman"/>
          <w:bCs/>
          <w:sz w:val="28"/>
          <w:szCs w:val="28"/>
        </w:rPr>
        <w:t xml:space="preserve">000 </w:t>
      </w:r>
      <w:r w:rsidR="001242AC" w:rsidRPr="008017F6">
        <w:rPr>
          <w:rFonts w:ascii="Times New Roman" w:hAnsi="Times New Roman" w:cs="Times New Roman"/>
          <w:bCs/>
          <w:sz w:val="28"/>
          <w:szCs w:val="28"/>
        </w:rPr>
        <w:t xml:space="preserve">per month and </w:t>
      </w:r>
      <w:r w:rsidR="004843DF" w:rsidRPr="008017F6">
        <w:rPr>
          <w:rFonts w:ascii="Times New Roman" w:hAnsi="Times New Roman" w:cs="Times New Roman"/>
          <w:bCs/>
          <w:sz w:val="28"/>
          <w:szCs w:val="28"/>
        </w:rPr>
        <w:t>for shop and utility expenses at a rate of $8,000 per month</w:t>
      </w:r>
      <w:r w:rsidR="00CF08AA" w:rsidRPr="008017F6">
        <w:rPr>
          <w:rFonts w:ascii="Times New Roman" w:hAnsi="Times New Roman" w:cs="Times New Roman"/>
          <w:bCs/>
          <w:sz w:val="28"/>
          <w:szCs w:val="28"/>
        </w:rPr>
        <w:t xml:space="preserve">. </w:t>
      </w:r>
      <w:r w:rsidR="00105CF0" w:rsidRPr="008017F6">
        <w:rPr>
          <w:rFonts w:ascii="Times New Roman" w:hAnsi="Times New Roman" w:cs="Times New Roman"/>
          <w:bCs/>
          <w:sz w:val="28"/>
          <w:szCs w:val="28"/>
        </w:rPr>
        <w:t>Mr. Adams claims Mr. Wiart</w:t>
      </w:r>
      <w:r w:rsidR="008B7F8C" w:rsidRPr="008017F6">
        <w:rPr>
          <w:rFonts w:ascii="Times New Roman" w:hAnsi="Times New Roman" w:cs="Times New Roman"/>
          <w:bCs/>
          <w:sz w:val="28"/>
          <w:szCs w:val="28"/>
        </w:rPr>
        <w:t xml:space="preserve"> agreed to the monthly rates</w:t>
      </w:r>
      <w:r w:rsidR="00105CF0" w:rsidRPr="008017F6">
        <w:rPr>
          <w:rFonts w:ascii="Times New Roman" w:hAnsi="Times New Roman" w:cs="Times New Roman"/>
          <w:bCs/>
          <w:sz w:val="28"/>
          <w:szCs w:val="28"/>
        </w:rPr>
        <w:t>.</w:t>
      </w:r>
      <w:r w:rsidR="008B7F8C" w:rsidRPr="008017F6">
        <w:rPr>
          <w:rFonts w:ascii="Times New Roman" w:hAnsi="Times New Roman" w:cs="Times New Roman"/>
          <w:bCs/>
          <w:sz w:val="28"/>
          <w:szCs w:val="28"/>
        </w:rPr>
        <w:t xml:space="preserve"> In cross-examination, </w:t>
      </w:r>
      <w:r w:rsidR="00BB4856" w:rsidRPr="008017F6">
        <w:rPr>
          <w:rFonts w:ascii="Times New Roman" w:hAnsi="Times New Roman" w:cs="Times New Roman"/>
          <w:bCs/>
          <w:sz w:val="28"/>
          <w:szCs w:val="28"/>
        </w:rPr>
        <w:t xml:space="preserve">Mr. </w:t>
      </w:r>
      <w:r w:rsidR="00BB4856" w:rsidRPr="008017F6">
        <w:rPr>
          <w:rFonts w:ascii="Times New Roman" w:hAnsi="Times New Roman" w:cs="Times New Roman"/>
          <w:bCs/>
          <w:sz w:val="28"/>
          <w:szCs w:val="28"/>
        </w:rPr>
        <w:lastRenderedPageBreak/>
        <w:t>Adams</w:t>
      </w:r>
      <w:r w:rsidR="008B7F8C" w:rsidRPr="008017F6">
        <w:rPr>
          <w:rFonts w:ascii="Times New Roman" w:hAnsi="Times New Roman" w:cs="Times New Roman"/>
          <w:bCs/>
          <w:sz w:val="28"/>
          <w:szCs w:val="28"/>
        </w:rPr>
        <w:t xml:space="preserve"> </w:t>
      </w:r>
      <w:r w:rsidR="003837FC" w:rsidRPr="008017F6">
        <w:rPr>
          <w:rFonts w:ascii="Times New Roman" w:hAnsi="Times New Roman" w:cs="Times New Roman"/>
          <w:bCs/>
          <w:sz w:val="28"/>
          <w:szCs w:val="28"/>
        </w:rPr>
        <w:t>said</w:t>
      </w:r>
      <w:r w:rsidR="008B7F8C" w:rsidRPr="008017F6">
        <w:rPr>
          <w:rFonts w:ascii="Times New Roman" w:hAnsi="Times New Roman" w:cs="Times New Roman"/>
          <w:bCs/>
          <w:sz w:val="28"/>
          <w:szCs w:val="28"/>
        </w:rPr>
        <w:t xml:space="preserve"> the agreement </w:t>
      </w:r>
      <w:r w:rsidR="000E4B17" w:rsidRPr="008017F6">
        <w:rPr>
          <w:rFonts w:ascii="Times New Roman" w:hAnsi="Times New Roman" w:cs="Times New Roman"/>
          <w:bCs/>
          <w:sz w:val="28"/>
          <w:szCs w:val="28"/>
        </w:rPr>
        <w:t xml:space="preserve">was </w:t>
      </w:r>
      <w:r w:rsidR="00E950B1">
        <w:rPr>
          <w:rFonts w:ascii="Times New Roman" w:hAnsi="Times New Roman" w:cs="Times New Roman"/>
          <w:bCs/>
          <w:sz w:val="28"/>
          <w:szCs w:val="28"/>
        </w:rPr>
        <w:t>confirmed</w:t>
      </w:r>
      <w:r w:rsidR="000E4B17" w:rsidRPr="008017F6">
        <w:rPr>
          <w:rFonts w:ascii="Times New Roman" w:hAnsi="Times New Roman" w:cs="Times New Roman"/>
          <w:bCs/>
          <w:sz w:val="28"/>
          <w:szCs w:val="28"/>
        </w:rPr>
        <w:t xml:space="preserve"> </w:t>
      </w:r>
      <w:r w:rsidR="00865DDA">
        <w:rPr>
          <w:rFonts w:ascii="Times New Roman" w:hAnsi="Times New Roman" w:cs="Times New Roman"/>
          <w:bCs/>
          <w:sz w:val="28"/>
          <w:szCs w:val="28"/>
        </w:rPr>
        <w:t xml:space="preserve">either </w:t>
      </w:r>
      <w:r w:rsidR="000E4B17" w:rsidRPr="008017F6">
        <w:rPr>
          <w:rFonts w:ascii="Times New Roman" w:hAnsi="Times New Roman" w:cs="Times New Roman"/>
          <w:bCs/>
          <w:sz w:val="28"/>
          <w:szCs w:val="28"/>
        </w:rPr>
        <w:t xml:space="preserve">by email, verbally or both. </w:t>
      </w:r>
      <w:r w:rsidR="008B7F8C" w:rsidRPr="008017F6">
        <w:rPr>
          <w:rFonts w:ascii="Times New Roman" w:hAnsi="Times New Roman" w:cs="Times New Roman"/>
          <w:bCs/>
          <w:sz w:val="28"/>
          <w:szCs w:val="28"/>
        </w:rPr>
        <w:t>However, when asked to provide</w:t>
      </w:r>
      <w:r w:rsidR="00105CF0" w:rsidRPr="008017F6">
        <w:rPr>
          <w:rFonts w:ascii="Times New Roman" w:hAnsi="Times New Roman" w:cs="Times New Roman"/>
          <w:bCs/>
          <w:sz w:val="28"/>
          <w:szCs w:val="28"/>
        </w:rPr>
        <w:t xml:space="preserve"> </w:t>
      </w:r>
      <w:r w:rsidR="00CF08AA" w:rsidRPr="008017F6">
        <w:rPr>
          <w:rFonts w:ascii="Times New Roman" w:hAnsi="Times New Roman" w:cs="Times New Roman"/>
          <w:bCs/>
          <w:sz w:val="28"/>
          <w:szCs w:val="28"/>
        </w:rPr>
        <w:t>supporting documentation</w:t>
      </w:r>
      <w:r w:rsidR="00962F23" w:rsidRPr="008017F6">
        <w:rPr>
          <w:rFonts w:ascii="Times New Roman" w:hAnsi="Times New Roman" w:cs="Times New Roman"/>
          <w:bCs/>
          <w:sz w:val="28"/>
          <w:szCs w:val="28"/>
        </w:rPr>
        <w:t xml:space="preserve">, he was not able </w:t>
      </w:r>
      <w:r w:rsidR="00792EE1" w:rsidRPr="008017F6">
        <w:rPr>
          <w:rFonts w:ascii="Times New Roman" w:hAnsi="Times New Roman" w:cs="Times New Roman"/>
          <w:bCs/>
          <w:sz w:val="28"/>
          <w:szCs w:val="28"/>
        </w:rPr>
        <w:t xml:space="preserve">to provide any documentary evidence </w:t>
      </w:r>
      <w:r w:rsidR="003837FC" w:rsidRPr="008017F6">
        <w:rPr>
          <w:rFonts w:ascii="Times New Roman" w:hAnsi="Times New Roman" w:cs="Times New Roman"/>
          <w:bCs/>
          <w:sz w:val="28"/>
          <w:szCs w:val="28"/>
        </w:rPr>
        <w:t>of such agreements</w:t>
      </w:r>
      <w:r w:rsidR="00962F23" w:rsidRPr="008017F6">
        <w:rPr>
          <w:rFonts w:ascii="Times New Roman" w:hAnsi="Times New Roman" w:cs="Times New Roman"/>
          <w:bCs/>
          <w:sz w:val="28"/>
          <w:szCs w:val="28"/>
        </w:rPr>
        <w:t xml:space="preserve">. </w:t>
      </w:r>
      <w:r w:rsidR="008017F6" w:rsidRPr="008017F6">
        <w:rPr>
          <w:rFonts w:ascii="Times New Roman" w:hAnsi="Times New Roman" w:cs="Times New Roman"/>
          <w:bCs/>
          <w:sz w:val="28"/>
          <w:szCs w:val="28"/>
        </w:rPr>
        <w:t xml:space="preserve">Instead, in a response to </w:t>
      </w:r>
      <w:r w:rsidR="008017F6" w:rsidRPr="006E5C0D">
        <w:rPr>
          <w:rFonts w:ascii="Times New Roman" w:hAnsi="Times New Roman" w:cs="Times New Roman"/>
          <w:bCs/>
          <w:sz w:val="28"/>
          <w:szCs w:val="28"/>
        </w:rPr>
        <w:t>an</w:t>
      </w:r>
      <w:r w:rsidR="008017F6" w:rsidRPr="008017F6">
        <w:rPr>
          <w:rFonts w:ascii="Times New Roman" w:hAnsi="Times New Roman" w:cs="Times New Roman"/>
          <w:bCs/>
          <w:sz w:val="28"/>
          <w:szCs w:val="28"/>
        </w:rPr>
        <w:t xml:space="preserve"> undertaking, Northland pointed to text messages and emails exchanged between Mr. Adams and Mr. Wiart </w:t>
      </w:r>
      <w:r w:rsidR="00F50086">
        <w:rPr>
          <w:rFonts w:ascii="Times New Roman" w:hAnsi="Times New Roman" w:cs="Times New Roman"/>
          <w:bCs/>
          <w:sz w:val="28"/>
          <w:szCs w:val="28"/>
        </w:rPr>
        <w:t>it claims establishes that ONEC reviewed and accepted Northland’s invoices, including the</w:t>
      </w:r>
      <w:r w:rsidR="00993EE3">
        <w:rPr>
          <w:rFonts w:ascii="Times New Roman" w:hAnsi="Times New Roman" w:cs="Times New Roman"/>
          <w:bCs/>
          <w:sz w:val="28"/>
          <w:szCs w:val="28"/>
        </w:rPr>
        <w:t xml:space="preserve"> pro</w:t>
      </w:r>
      <w:r w:rsidR="009A745B">
        <w:rPr>
          <w:rFonts w:ascii="Times New Roman" w:hAnsi="Times New Roman" w:cs="Times New Roman"/>
          <w:bCs/>
          <w:sz w:val="28"/>
          <w:szCs w:val="28"/>
        </w:rPr>
        <w:t>ject support service and shop and utilities</w:t>
      </w:r>
      <w:r w:rsidR="00F50086">
        <w:rPr>
          <w:rFonts w:ascii="Times New Roman" w:hAnsi="Times New Roman" w:cs="Times New Roman"/>
          <w:bCs/>
          <w:sz w:val="28"/>
          <w:szCs w:val="28"/>
        </w:rPr>
        <w:t xml:space="preserve"> monthly fees. </w:t>
      </w:r>
      <w:r w:rsidR="002E7AA0" w:rsidRPr="007771E8">
        <w:rPr>
          <w:rFonts w:ascii="Times New Roman" w:hAnsi="Times New Roman" w:cs="Times New Roman"/>
          <w:bCs/>
          <w:sz w:val="28"/>
          <w:szCs w:val="28"/>
        </w:rPr>
        <w:t xml:space="preserve">In his affidavit, </w:t>
      </w:r>
      <w:r w:rsidR="004232FF" w:rsidRPr="007771E8">
        <w:rPr>
          <w:rFonts w:ascii="Times New Roman" w:hAnsi="Times New Roman" w:cs="Times New Roman"/>
          <w:bCs/>
          <w:sz w:val="28"/>
          <w:szCs w:val="28"/>
        </w:rPr>
        <w:t>Mr. Wiar</w:t>
      </w:r>
      <w:r w:rsidR="00BA0812" w:rsidRPr="007771E8">
        <w:rPr>
          <w:rFonts w:ascii="Times New Roman" w:hAnsi="Times New Roman" w:cs="Times New Roman"/>
          <w:bCs/>
          <w:sz w:val="28"/>
          <w:szCs w:val="28"/>
        </w:rPr>
        <w:t>t denie</w:t>
      </w:r>
      <w:r w:rsidR="002E7AA0" w:rsidRPr="007771E8">
        <w:rPr>
          <w:rFonts w:ascii="Times New Roman" w:hAnsi="Times New Roman" w:cs="Times New Roman"/>
          <w:bCs/>
          <w:sz w:val="28"/>
          <w:szCs w:val="28"/>
        </w:rPr>
        <w:t>s</w:t>
      </w:r>
      <w:r w:rsidR="00946C0F" w:rsidRPr="007771E8">
        <w:rPr>
          <w:rFonts w:ascii="Times New Roman" w:hAnsi="Times New Roman" w:cs="Times New Roman"/>
          <w:bCs/>
          <w:sz w:val="28"/>
          <w:szCs w:val="28"/>
        </w:rPr>
        <w:t xml:space="preserve"> that the Northland invoices were </w:t>
      </w:r>
      <w:r w:rsidR="000A0185" w:rsidRPr="007771E8">
        <w:rPr>
          <w:rFonts w:ascii="Times New Roman" w:hAnsi="Times New Roman" w:cs="Times New Roman"/>
          <w:bCs/>
          <w:sz w:val="28"/>
          <w:szCs w:val="28"/>
        </w:rPr>
        <w:t>ever approved by anyone acting on behalf of ONEC. Mr. Wiart depose</w:t>
      </w:r>
      <w:r w:rsidR="002E7AA0" w:rsidRPr="007771E8">
        <w:rPr>
          <w:rFonts w:ascii="Times New Roman" w:hAnsi="Times New Roman" w:cs="Times New Roman"/>
          <w:bCs/>
          <w:sz w:val="28"/>
          <w:szCs w:val="28"/>
        </w:rPr>
        <w:t>s</w:t>
      </w:r>
      <w:r w:rsidR="000A0185" w:rsidRPr="007771E8">
        <w:rPr>
          <w:rFonts w:ascii="Times New Roman" w:hAnsi="Times New Roman" w:cs="Times New Roman"/>
          <w:bCs/>
          <w:sz w:val="28"/>
          <w:szCs w:val="28"/>
        </w:rPr>
        <w:t xml:space="preserve"> that </w:t>
      </w:r>
      <w:r w:rsidR="00CC272B" w:rsidRPr="007771E8">
        <w:rPr>
          <w:rFonts w:ascii="Times New Roman" w:hAnsi="Times New Roman" w:cs="Times New Roman"/>
          <w:bCs/>
          <w:sz w:val="28"/>
          <w:szCs w:val="28"/>
        </w:rPr>
        <w:t xml:space="preserve">in fact, </w:t>
      </w:r>
      <w:r w:rsidR="008D6E97" w:rsidRPr="007771E8">
        <w:rPr>
          <w:rFonts w:ascii="Times New Roman" w:hAnsi="Times New Roman" w:cs="Times New Roman"/>
          <w:bCs/>
          <w:sz w:val="28"/>
          <w:szCs w:val="28"/>
        </w:rPr>
        <w:t xml:space="preserve">ONEC made payments to Northland as advances to </w:t>
      </w:r>
      <w:r w:rsidR="00AE2F97" w:rsidRPr="007771E8">
        <w:rPr>
          <w:rFonts w:ascii="Times New Roman" w:hAnsi="Times New Roman" w:cs="Times New Roman"/>
          <w:bCs/>
          <w:sz w:val="28"/>
          <w:szCs w:val="28"/>
        </w:rPr>
        <w:t>ensure</w:t>
      </w:r>
      <w:r w:rsidR="008D6E97" w:rsidRPr="007771E8">
        <w:rPr>
          <w:rFonts w:ascii="Times New Roman" w:hAnsi="Times New Roman" w:cs="Times New Roman"/>
          <w:bCs/>
          <w:sz w:val="28"/>
          <w:szCs w:val="28"/>
        </w:rPr>
        <w:t xml:space="preserve"> the project </w:t>
      </w:r>
      <w:r w:rsidR="00DB3FC1" w:rsidRPr="007771E8">
        <w:rPr>
          <w:rFonts w:ascii="Times New Roman" w:hAnsi="Times New Roman" w:cs="Times New Roman"/>
          <w:bCs/>
          <w:sz w:val="28"/>
          <w:szCs w:val="28"/>
        </w:rPr>
        <w:t>progressed,</w:t>
      </w:r>
      <w:r w:rsidR="0096025E" w:rsidRPr="007771E8">
        <w:rPr>
          <w:rFonts w:ascii="Times New Roman" w:hAnsi="Times New Roman" w:cs="Times New Roman"/>
          <w:bCs/>
          <w:sz w:val="28"/>
          <w:szCs w:val="28"/>
        </w:rPr>
        <w:t xml:space="preserve"> but the invoice</w:t>
      </w:r>
      <w:r w:rsidR="00DB3FC1" w:rsidRPr="007771E8">
        <w:rPr>
          <w:rFonts w:ascii="Times New Roman" w:hAnsi="Times New Roman" w:cs="Times New Roman"/>
          <w:bCs/>
          <w:sz w:val="28"/>
          <w:szCs w:val="28"/>
        </w:rPr>
        <w:t>s</w:t>
      </w:r>
      <w:r w:rsidR="0096025E" w:rsidRPr="007771E8">
        <w:rPr>
          <w:rFonts w:ascii="Times New Roman" w:hAnsi="Times New Roman" w:cs="Times New Roman"/>
          <w:bCs/>
          <w:sz w:val="28"/>
          <w:szCs w:val="28"/>
        </w:rPr>
        <w:t xml:space="preserve"> were not accepted as presented. </w:t>
      </w:r>
    </w:p>
    <w:p w14:paraId="18DDB13F" w14:textId="77777777" w:rsidR="007771E8" w:rsidRPr="007771E8" w:rsidRDefault="007771E8" w:rsidP="007771E8">
      <w:pPr>
        <w:pStyle w:val="ListParagraph"/>
        <w:rPr>
          <w:rFonts w:ascii="Times New Roman" w:hAnsi="Times New Roman" w:cs="Times New Roman"/>
          <w:bCs/>
          <w:sz w:val="28"/>
          <w:szCs w:val="28"/>
        </w:rPr>
      </w:pPr>
    </w:p>
    <w:p w14:paraId="706DCDF7" w14:textId="77777777" w:rsidR="000B2E20" w:rsidRDefault="0096025E" w:rsidP="00A16EAE">
      <w:pPr>
        <w:pStyle w:val="ListParagraph"/>
        <w:numPr>
          <w:ilvl w:val="0"/>
          <w:numId w:val="1"/>
        </w:numPr>
        <w:spacing w:after="0" w:line="240" w:lineRule="auto"/>
        <w:jc w:val="both"/>
        <w:rPr>
          <w:rFonts w:ascii="Times New Roman" w:hAnsi="Times New Roman" w:cs="Times New Roman"/>
          <w:bCs/>
          <w:sz w:val="28"/>
          <w:szCs w:val="28"/>
        </w:rPr>
      </w:pPr>
      <w:r w:rsidRPr="00733034">
        <w:rPr>
          <w:rFonts w:ascii="Times New Roman" w:hAnsi="Times New Roman" w:cs="Times New Roman"/>
          <w:bCs/>
          <w:sz w:val="28"/>
          <w:szCs w:val="28"/>
        </w:rPr>
        <w:t>A</w:t>
      </w:r>
      <w:r w:rsidR="00F50086" w:rsidRPr="00733034">
        <w:rPr>
          <w:rFonts w:ascii="Times New Roman" w:hAnsi="Times New Roman" w:cs="Times New Roman"/>
          <w:bCs/>
          <w:sz w:val="28"/>
          <w:szCs w:val="28"/>
        </w:rPr>
        <w:t>lthough I agree</w:t>
      </w:r>
      <w:r w:rsidR="00111FBE" w:rsidRPr="00733034">
        <w:rPr>
          <w:rFonts w:ascii="Times New Roman" w:hAnsi="Times New Roman" w:cs="Times New Roman"/>
          <w:bCs/>
          <w:sz w:val="28"/>
          <w:szCs w:val="28"/>
        </w:rPr>
        <w:t xml:space="preserve"> with Northland that</w:t>
      </w:r>
      <w:r w:rsidR="00F50086" w:rsidRPr="00733034">
        <w:rPr>
          <w:rFonts w:ascii="Times New Roman" w:hAnsi="Times New Roman" w:cs="Times New Roman"/>
          <w:bCs/>
          <w:sz w:val="28"/>
          <w:szCs w:val="28"/>
        </w:rPr>
        <w:t xml:space="preserve"> some communications between Mr. Adams and Mr. Wiart</w:t>
      </w:r>
      <w:r w:rsidR="00547285" w:rsidRPr="00733034">
        <w:rPr>
          <w:rFonts w:ascii="Times New Roman" w:hAnsi="Times New Roman" w:cs="Times New Roman"/>
          <w:bCs/>
          <w:sz w:val="28"/>
          <w:szCs w:val="28"/>
        </w:rPr>
        <w:t xml:space="preserve"> </w:t>
      </w:r>
      <w:r w:rsidR="00C5243C" w:rsidRPr="00733034">
        <w:rPr>
          <w:rFonts w:ascii="Times New Roman" w:hAnsi="Times New Roman" w:cs="Times New Roman"/>
          <w:bCs/>
          <w:sz w:val="28"/>
          <w:szCs w:val="28"/>
        </w:rPr>
        <w:t xml:space="preserve">suggest the invoices were accepted, other communications </w:t>
      </w:r>
      <w:r w:rsidR="00B00757" w:rsidRPr="00733034">
        <w:rPr>
          <w:rFonts w:ascii="Times New Roman" w:hAnsi="Times New Roman" w:cs="Times New Roman"/>
          <w:bCs/>
          <w:sz w:val="28"/>
          <w:szCs w:val="28"/>
        </w:rPr>
        <w:t>highlighted</w:t>
      </w:r>
      <w:r w:rsidR="00C5243C" w:rsidRPr="00733034">
        <w:rPr>
          <w:rFonts w:ascii="Times New Roman" w:hAnsi="Times New Roman" w:cs="Times New Roman"/>
          <w:bCs/>
          <w:sz w:val="28"/>
          <w:szCs w:val="28"/>
        </w:rPr>
        <w:t xml:space="preserve"> by ONEC </w:t>
      </w:r>
      <w:r w:rsidR="00B00757" w:rsidRPr="00733034">
        <w:rPr>
          <w:rFonts w:ascii="Times New Roman" w:hAnsi="Times New Roman" w:cs="Times New Roman"/>
          <w:bCs/>
          <w:sz w:val="28"/>
          <w:szCs w:val="28"/>
        </w:rPr>
        <w:t>show that Mr. Wiart chall</w:t>
      </w:r>
      <w:r w:rsidR="009A745B" w:rsidRPr="00733034">
        <w:rPr>
          <w:rFonts w:ascii="Times New Roman" w:hAnsi="Times New Roman" w:cs="Times New Roman"/>
          <w:bCs/>
          <w:sz w:val="28"/>
          <w:szCs w:val="28"/>
        </w:rPr>
        <w:t>enge</w:t>
      </w:r>
      <w:r w:rsidR="00E32E8A" w:rsidRPr="00733034">
        <w:rPr>
          <w:rFonts w:ascii="Times New Roman" w:hAnsi="Times New Roman" w:cs="Times New Roman"/>
          <w:bCs/>
          <w:sz w:val="28"/>
          <w:szCs w:val="28"/>
        </w:rPr>
        <w:t>d t</w:t>
      </w:r>
      <w:r w:rsidR="004232FF" w:rsidRPr="00733034">
        <w:rPr>
          <w:rFonts w:ascii="Times New Roman" w:hAnsi="Times New Roman" w:cs="Times New Roman"/>
          <w:bCs/>
          <w:sz w:val="28"/>
          <w:szCs w:val="28"/>
        </w:rPr>
        <w:t xml:space="preserve">he </w:t>
      </w:r>
      <w:r w:rsidR="00547285" w:rsidRPr="00733034">
        <w:rPr>
          <w:rFonts w:ascii="Times New Roman" w:hAnsi="Times New Roman" w:cs="Times New Roman"/>
          <w:bCs/>
          <w:sz w:val="28"/>
          <w:szCs w:val="28"/>
        </w:rPr>
        <w:t xml:space="preserve">accuracy of the </w:t>
      </w:r>
      <w:r w:rsidR="00DB3FC1" w:rsidRPr="00733034">
        <w:rPr>
          <w:rFonts w:ascii="Times New Roman" w:hAnsi="Times New Roman" w:cs="Times New Roman"/>
          <w:bCs/>
          <w:sz w:val="28"/>
          <w:szCs w:val="28"/>
        </w:rPr>
        <w:t>invoices</w:t>
      </w:r>
      <w:r w:rsidR="00A26D07">
        <w:rPr>
          <w:rFonts w:ascii="Times New Roman" w:hAnsi="Times New Roman" w:cs="Times New Roman"/>
          <w:bCs/>
          <w:sz w:val="28"/>
          <w:szCs w:val="28"/>
        </w:rPr>
        <w:t>, questioned the adequacy of the supporting documents</w:t>
      </w:r>
      <w:r w:rsidR="00DB3FC1" w:rsidRPr="00733034">
        <w:rPr>
          <w:rFonts w:ascii="Times New Roman" w:hAnsi="Times New Roman" w:cs="Times New Roman"/>
          <w:bCs/>
          <w:sz w:val="28"/>
          <w:szCs w:val="28"/>
        </w:rPr>
        <w:t xml:space="preserve"> and</w:t>
      </w:r>
      <w:r w:rsidR="0039400D" w:rsidRPr="00733034">
        <w:rPr>
          <w:rFonts w:ascii="Times New Roman" w:hAnsi="Times New Roman" w:cs="Times New Roman"/>
          <w:bCs/>
          <w:sz w:val="28"/>
          <w:szCs w:val="28"/>
        </w:rPr>
        <w:t xml:space="preserve"> </w:t>
      </w:r>
      <w:r w:rsidR="00DB3FC1" w:rsidRPr="00733034">
        <w:rPr>
          <w:rFonts w:ascii="Times New Roman" w:hAnsi="Times New Roman" w:cs="Times New Roman"/>
          <w:bCs/>
          <w:sz w:val="28"/>
          <w:szCs w:val="28"/>
        </w:rPr>
        <w:t>wrote to Mr. Adams</w:t>
      </w:r>
      <w:r w:rsidR="0039400D" w:rsidRPr="00733034">
        <w:rPr>
          <w:rFonts w:ascii="Times New Roman" w:hAnsi="Times New Roman" w:cs="Times New Roman"/>
          <w:bCs/>
          <w:sz w:val="28"/>
          <w:szCs w:val="28"/>
        </w:rPr>
        <w:t xml:space="preserve"> </w:t>
      </w:r>
      <w:r w:rsidR="00FC48F1">
        <w:rPr>
          <w:rFonts w:ascii="Times New Roman" w:hAnsi="Times New Roman" w:cs="Times New Roman"/>
          <w:bCs/>
          <w:sz w:val="28"/>
          <w:szCs w:val="28"/>
        </w:rPr>
        <w:t xml:space="preserve">noting </w:t>
      </w:r>
      <w:r w:rsidR="0039400D" w:rsidRPr="00733034">
        <w:rPr>
          <w:rFonts w:ascii="Times New Roman" w:hAnsi="Times New Roman" w:cs="Times New Roman"/>
          <w:bCs/>
          <w:sz w:val="28"/>
          <w:szCs w:val="28"/>
        </w:rPr>
        <w:t xml:space="preserve">that </w:t>
      </w:r>
      <w:r w:rsidR="00E50DD5" w:rsidRPr="00733034">
        <w:rPr>
          <w:rFonts w:ascii="Times New Roman" w:hAnsi="Times New Roman" w:cs="Times New Roman"/>
          <w:bCs/>
          <w:sz w:val="28"/>
          <w:szCs w:val="28"/>
        </w:rPr>
        <w:t xml:space="preserve">a cost review </w:t>
      </w:r>
      <w:r w:rsidR="00EF7CBE">
        <w:rPr>
          <w:rFonts w:ascii="Times New Roman" w:hAnsi="Times New Roman" w:cs="Times New Roman"/>
          <w:bCs/>
          <w:sz w:val="28"/>
          <w:szCs w:val="28"/>
        </w:rPr>
        <w:t>might</w:t>
      </w:r>
      <w:r w:rsidR="00E50DD5" w:rsidRPr="00733034">
        <w:rPr>
          <w:rFonts w:ascii="Times New Roman" w:hAnsi="Times New Roman" w:cs="Times New Roman"/>
          <w:bCs/>
          <w:sz w:val="28"/>
          <w:szCs w:val="28"/>
        </w:rPr>
        <w:t xml:space="preserve"> have to be completed at the end of the project to ensure the costs claimed</w:t>
      </w:r>
      <w:r w:rsidR="00FA3A7E">
        <w:rPr>
          <w:rFonts w:ascii="Times New Roman" w:hAnsi="Times New Roman" w:cs="Times New Roman"/>
          <w:bCs/>
          <w:sz w:val="28"/>
          <w:szCs w:val="28"/>
        </w:rPr>
        <w:t xml:space="preserve"> by Northland</w:t>
      </w:r>
      <w:r w:rsidR="00E50DD5" w:rsidRPr="00733034">
        <w:rPr>
          <w:rFonts w:ascii="Times New Roman" w:hAnsi="Times New Roman" w:cs="Times New Roman"/>
          <w:bCs/>
          <w:sz w:val="28"/>
          <w:szCs w:val="28"/>
        </w:rPr>
        <w:t xml:space="preserve"> accord with the terms of the IPD Contract.</w:t>
      </w:r>
      <w:r w:rsidR="00415CC3">
        <w:rPr>
          <w:rFonts w:ascii="Times New Roman" w:hAnsi="Times New Roman" w:cs="Times New Roman"/>
          <w:bCs/>
          <w:sz w:val="28"/>
          <w:szCs w:val="28"/>
        </w:rPr>
        <w:t xml:space="preserve"> </w:t>
      </w:r>
      <w:r w:rsidR="009A3914">
        <w:rPr>
          <w:rFonts w:ascii="Times New Roman" w:hAnsi="Times New Roman" w:cs="Times New Roman"/>
          <w:bCs/>
          <w:sz w:val="28"/>
          <w:szCs w:val="28"/>
        </w:rPr>
        <w:t>In cross-examination, Mr. Adams acknowledged that from the very beginning of the project</w:t>
      </w:r>
      <w:r w:rsidR="001637E3">
        <w:rPr>
          <w:rFonts w:ascii="Times New Roman" w:hAnsi="Times New Roman" w:cs="Times New Roman"/>
          <w:bCs/>
          <w:sz w:val="28"/>
          <w:szCs w:val="28"/>
        </w:rPr>
        <w:t xml:space="preserve">, ONEC had conveyed to him that he was not providing enough support for the </w:t>
      </w:r>
      <w:r w:rsidR="001511F7">
        <w:rPr>
          <w:rFonts w:ascii="Times New Roman" w:hAnsi="Times New Roman" w:cs="Times New Roman"/>
          <w:bCs/>
          <w:sz w:val="28"/>
          <w:szCs w:val="28"/>
        </w:rPr>
        <w:t xml:space="preserve">Northland </w:t>
      </w:r>
      <w:r w:rsidR="001637E3">
        <w:rPr>
          <w:rFonts w:ascii="Times New Roman" w:hAnsi="Times New Roman" w:cs="Times New Roman"/>
          <w:bCs/>
          <w:sz w:val="28"/>
          <w:szCs w:val="28"/>
        </w:rPr>
        <w:t xml:space="preserve">invoices. </w:t>
      </w:r>
    </w:p>
    <w:p w14:paraId="3F8363C2" w14:textId="77777777" w:rsidR="000B2E20" w:rsidRPr="000B2E20" w:rsidRDefault="000B2E20" w:rsidP="000B2E20">
      <w:pPr>
        <w:pStyle w:val="ListParagraph"/>
        <w:rPr>
          <w:rFonts w:ascii="Times New Roman" w:hAnsi="Times New Roman" w:cs="Times New Roman"/>
          <w:bCs/>
          <w:sz w:val="28"/>
          <w:szCs w:val="28"/>
        </w:rPr>
      </w:pPr>
    </w:p>
    <w:p w14:paraId="5CA07987" w14:textId="7E5A7CAC" w:rsidR="008017F6" w:rsidRDefault="00415CC3" w:rsidP="00A16EAE">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evidence of the parties must also be assessed </w:t>
      </w:r>
      <w:proofErr w:type="gramStart"/>
      <w:r>
        <w:rPr>
          <w:rFonts w:ascii="Times New Roman" w:hAnsi="Times New Roman" w:cs="Times New Roman"/>
          <w:bCs/>
          <w:sz w:val="28"/>
          <w:szCs w:val="28"/>
        </w:rPr>
        <w:t>in light of</w:t>
      </w:r>
      <w:proofErr w:type="gramEnd"/>
      <w:r>
        <w:rPr>
          <w:rFonts w:ascii="Times New Roman" w:hAnsi="Times New Roman" w:cs="Times New Roman"/>
          <w:bCs/>
          <w:sz w:val="28"/>
          <w:szCs w:val="28"/>
        </w:rPr>
        <w:t xml:space="preserve"> the terms of the IPD Contract.</w:t>
      </w:r>
      <w:r w:rsidR="00EF7CBE">
        <w:rPr>
          <w:rFonts w:ascii="Times New Roman" w:hAnsi="Times New Roman" w:cs="Times New Roman"/>
          <w:bCs/>
          <w:sz w:val="28"/>
          <w:szCs w:val="28"/>
        </w:rPr>
        <w:t xml:space="preserve"> </w:t>
      </w:r>
      <w:r w:rsidR="0068393D">
        <w:rPr>
          <w:rFonts w:ascii="Times New Roman" w:hAnsi="Times New Roman" w:cs="Times New Roman"/>
          <w:bCs/>
          <w:sz w:val="28"/>
          <w:szCs w:val="28"/>
        </w:rPr>
        <w:t xml:space="preserve">Article 5 defines </w:t>
      </w:r>
      <w:r w:rsidR="0068393D" w:rsidRPr="00733034">
        <w:rPr>
          <w:rFonts w:ascii="Times New Roman" w:hAnsi="Times New Roman" w:cs="Times New Roman"/>
          <w:bCs/>
          <w:sz w:val="28"/>
          <w:szCs w:val="28"/>
        </w:rPr>
        <w:t xml:space="preserve">reimbursable costs </w:t>
      </w:r>
      <w:r w:rsidR="002E5A14">
        <w:rPr>
          <w:rFonts w:ascii="Times New Roman" w:hAnsi="Times New Roman" w:cs="Times New Roman"/>
          <w:bCs/>
          <w:sz w:val="28"/>
          <w:szCs w:val="28"/>
        </w:rPr>
        <w:t>as</w:t>
      </w:r>
      <w:r w:rsidR="0068393D" w:rsidRPr="00733034">
        <w:rPr>
          <w:rFonts w:ascii="Times New Roman" w:hAnsi="Times New Roman" w:cs="Times New Roman"/>
          <w:bCs/>
          <w:sz w:val="28"/>
          <w:szCs w:val="28"/>
        </w:rPr>
        <w:t xml:space="preserve"> </w:t>
      </w:r>
      <w:r w:rsidR="0068393D" w:rsidRPr="000C3273">
        <w:rPr>
          <w:rFonts w:ascii="Times New Roman" w:hAnsi="Times New Roman" w:cs="Times New Roman"/>
          <w:bCs/>
          <w:sz w:val="28"/>
          <w:szCs w:val="28"/>
        </w:rPr>
        <w:t>actual costs supported by receipts, invoices and other suitable documentation</w:t>
      </w:r>
      <w:r w:rsidR="0068393D">
        <w:rPr>
          <w:rFonts w:ascii="Times New Roman" w:hAnsi="Times New Roman" w:cs="Times New Roman"/>
          <w:bCs/>
          <w:sz w:val="28"/>
          <w:szCs w:val="28"/>
        </w:rPr>
        <w:t>, plus overhead of 8%.</w:t>
      </w:r>
      <w:r>
        <w:rPr>
          <w:rFonts w:ascii="Times New Roman" w:hAnsi="Times New Roman" w:cs="Times New Roman"/>
          <w:bCs/>
          <w:sz w:val="28"/>
          <w:szCs w:val="28"/>
        </w:rPr>
        <w:t xml:space="preserve"> </w:t>
      </w:r>
      <w:r w:rsidR="002E5A14">
        <w:rPr>
          <w:rFonts w:ascii="Times New Roman" w:hAnsi="Times New Roman" w:cs="Times New Roman"/>
          <w:bCs/>
          <w:sz w:val="28"/>
          <w:szCs w:val="28"/>
        </w:rPr>
        <w:t>Article GC 1.6 impo</w:t>
      </w:r>
      <w:r>
        <w:rPr>
          <w:rFonts w:ascii="Times New Roman" w:hAnsi="Times New Roman" w:cs="Times New Roman"/>
          <w:bCs/>
          <w:sz w:val="28"/>
          <w:szCs w:val="28"/>
        </w:rPr>
        <w:t>ses an obligation</w:t>
      </w:r>
      <w:r w:rsidR="00A16EAE">
        <w:rPr>
          <w:rFonts w:ascii="Times New Roman" w:hAnsi="Times New Roman" w:cs="Times New Roman"/>
          <w:bCs/>
          <w:sz w:val="28"/>
          <w:szCs w:val="28"/>
        </w:rPr>
        <w:t xml:space="preserve"> on</w:t>
      </w:r>
      <w:r>
        <w:rPr>
          <w:rFonts w:ascii="Times New Roman" w:hAnsi="Times New Roman" w:cs="Times New Roman"/>
          <w:bCs/>
          <w:sz w:val="28"/>
          <w:szCs w:val="28"/>
        </w:rPr>
        <w:t xml:space="preserve"> </w:t>
      </w:r>
      <w:r w:rsidR="005E7C11">
        <w:rPr>
          <w:rFonts w:ascii="Times New Roman" w:hAnsi="Times New Roman" w:cs="Times New Roman"/>
          <w:bCs/>
          <w:sz w:val="28"/>
          <w:szCs w:val="28"/>
        </w:rPr>
        <w:t xml:space="preserve">the </w:t>
      </w:r>
      <w:r w:rsidR="00EE2916">
        <w:rPr>
          <w:rFonts w:ascii="Times New Roman" w:hAnsi="Times New Roman" w:cs="Times New Roman"/>
          <w:bCs/>
          <w:sz w:val="28"/>
          <w:szCs w:val="28"/>
        </w:rPr>
        <w:t xml:space="preserve">parties </w:t>
      </w:r>
      <w:r w:rsidR="00142B39">
        <w:rPr>
          <w:rFonts w:ascii="Times New Roman" w:hAnsi="Times New Roman" w:cs="Times New Roman"/>
          <w:bCs/>
          <w:sz w:val="28"/>
          <w:szCs w:val="28"/>
        </w:rPr>
        <w:t xml:space="preserve">to </w:t>
      </w:r>
      <w:r w:rsidR="00EE7199">
        <w:rPr>
          <w:rFonts w:ascii="Times New Roman" w:hAnsi="Times New Roman" w:cs="Times New Roman"/>
          <w:bCs/>
          <w:sz w:val="28"/>
          <w:szCs w:val="28"/>
        </w:rPr>
        <w:t>keep full and detailed accounts and record</w:t>
      </w:r>
      <w:r w:rsidR="00142B39">
        <w:rPr>
          <w:rFonts w:ascii="Times New Roman" w:hAnsi="Times New Roman" w:cs="Times New Roman"/>
          <w:bCs/>
          <w:sz w:val="28"/>
          <w:szCs w:val="28"/>
        </w:rPr>
        <w:t>s</w:t>
      </w:r>
      <w:r w:rsidR="00EE7199">
        <w:rPr>
          <w:rFonts w:ascii="Times New Roman" w:hAnsi="Times New Roman" w:cs="Times New Roman"/>
          <w:bCs/>
          <w:sz w:val="28"/>
          <w:szCs w:val="28"/>
        </w:rPr>
        <w:t xml:space="preserve"> necessary for the documentation </w:t>
      </w:r>
      <w:r>
        <w:rPr>
          <w:rFonts w:ascii="Times New Roman" w:hAnsi="Times New Roman" w:cs="Times New Roman"/>
          <w:bCs/>
          <w:sz w:val="28"/>
          <w:szCs w:val="28"/>
        </w:rPr>
        <w:t xml:space="preserve">of the reimbursable costs and </w:t>
      </w:r>
      <w:r w:rsidR="003968FB">
        <w:rPr>
          <w:rFonts w:ascii="Times New Roman" w:hAnsi="Times New Roman" w:cs="Times New Roman"/>
          <w:bCs/>
          <w:sz w:val="28"/>
          <w:szCs w:val="28"/>
        </w:rPr>
        <w:t xml:space="preserve">to </w:t>
      </w:r>
      <w:r>
        <w:rPr>
          <w:rFonts w:ascii="Times New Roman" w:hAnsi="Times New Roman" w:cs="Times New Roman"/>
          <w:bCs/>
          <w:sz w:val="28"/>
          <w:szCs w:val="28"/>
        </w:rPr>
        <w:t xml:space="preserve">afford the </w:t>
      </w:r>
      <w:r w:rsidR="00A16EAE">
        <w:rPr>
          <w:rFonts w:ascii="Times New Roman" w:hAnsi="Times New Roman" w:cs="Times New Roman"/>
          <w:bCs/>
          <w:sz w:val="28"/>
          <w:szCs w:val="28"/>
        </w:rPr>
        <w:t xml:space="preserve">other party to the contract reasonable access to records relating to reimbursable costs. </w:t>
      </w:r>
      <w:r w:rsidR="00401DBF">
        <w:rPr>
          <w:rFonts w:ascii="Times New Roman" w:hAnsi="Times New Roman" w:cs="Times New Roman"/>
          <w:bCs/>
          <w:sz w:val="28"/>
          <w:szCs w:val="28"/>
        </w:rPr>
        <w:t xml:space="preserve">The </w:t>
      </w:r>
      <w:r w:rsidR="00645E87">
        <w:rPr>
          <w:rFonts w:ascii="Times New Roman" w:hAnsi="Times New Roman" w:cs="Times New Roman"/>
          <w:bCs/>
          <w:sz w:val="28"/>
          <w:szCs w:val="28"/>
        </w:rPr>
        <w:t xml:space="preserve">conflicting evidence on this issue is such that I cannot rule with confidence on the materials facts without </w:t>
      </w:r>
      <w:r w:rsidR="00645E87" w:rsidRPr="00BA587B">
        <w:rPr>
          <w:rFonts w:ascii="Times New Roman" w:hAnsi="Times New Roman" w:cs="Times New Roman"/>
          <w:bCs/>
          <w:sz w:val="28"/>
          <w:szCs w:val="28"/>
        </w:rPr>
        <w:t xml:space="preserve">hearing </w:t>
      </w:r>
      <w:r w:rsidR="00645E87" w:rsidRPr="00BA587B">
        <w:rPr>
          <w:rFonts w:ascii="Times New Roman" w:hAnsi="Times New Roman" w:cs="Times New Roman"/>
          <w:bCs/>
          <w:i/>
          <w:iCs/>
          <w:sz w:val="28"/>
          <w:szCs w:val="28"/>
        </w:rPr>
        <w:t>viva voce</w:t>
      </w:r>
      <w:r w:rsidR="00645E87" w:rsidRPr="00BA587B">
        <w:rPr>
          <w:rFonts w:ascii="Times New Roman" w:hAnsi="Times New Roman" w:cs="Times New Roman"/>
          <w:bCs/>
          <w:sz w:val="28"/>
          <w:szCs w:val="28"/>
        </w:rPr>
        <w:t xml:space="preserve"> evidence</w:t>
      </w:r>
      <w:r w:rsidR="00645E87">
        <w:rPr>
          <w:rFonts w:ascii="Times New Roman" w:hAnsi="Times New Roman" w:cs="Times New Roman"/>
          <w:bCs/>
          <w:sz w:val="28"/>
          <w:szCs w:val="28"/>
        </w:rPr>
        <w:t xml:space="preserve">. </w:t>
      </w:r>
    </w:p>
    <w:p w14:paraId="38F3D0A1" w14:textId="77777777" w:rsidR="00530259" w:rsidRPr="00530259" w:rsidRDefault="00530259" w:rsidP="00530259">
      <w:pPr>
        <w:pStyle w:val="ListParagraph"/>
        <w:spacing w:after="0" w:line="240" w:lineRule="auto"/>
        <w:ind w:left="0"/>
        <w:jc w:val="both"/>
        <w:rPr>
          <w:rFonts w:ascii="Times New Roman" w:hAnsi="Times New Roman" w:cs="Times New Roman"/>
          <w:bCs/>
          <w:sz w:val="28"/>
          <w:szCs w:val="28"/>
        </w:rPr>
      </w:pPr>
    </w:p>
    <w:p w14:paraId="21C778CD" w14:textId="5C2F1451" w:rsidR="00BC37A9" w:rsidRDefault="00E91AAB" w:rsidP="00E96F84">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Northland’s invoicing for </w:t>
      </w:r>
      <w:r w:rsidR="006C7858">
        <w:rPr>
          <w:rFonts w:ascii="Times New Roman" w:hAnsi="Times New Roman" w:cs="Times New Roman"/>
          <w:bCs/>
          <w:sz w:val="28"/>
          <w:szCs w:val="28"/>
        </w:rPr>
        <w:t xml:space="preserve">the cost of </w:t>
      </w:r>
      <w:r w:rsidR="0089596D">
        <w:rPr>
          <w:rFonts w:ascii="Times New Roman" w:hAnsi="Times New Roman" w:cs="Times New Roman"/>
          <w:bCs/>
          <w:sz w:val="28"/>
          <w:szCs w:val="28"/>
        </w:rPr>
        <w:t>labour</w:t>
      </w:r>
      <w:r w:rsidR="0026294A">
        <w:rPr>
          <w:rFonts w:ascii="Times New Roman" w:hAnsi="Times New Roman" w:cs="Times New Roman"/>
          <w:bCs/>
          <w:sz w:val="28"/>
          <w:szCs w:val="28"/>
        </w:rPr>
        <w:t xml:space="preserve"> is </w:t>
      </w:r>
      <w:r w:rsidR="00BD7050">
        <w:rPr>
          <w:rFonts w:ascii="Times New Roman" w:hAnsi="Times New Roman" w:cs="Times New Roman"/>
          <w:bCs/>
          <w:sz w:val="28"/>
          <w:szCs w:val="28"/>
        </w:rPr>
        <w:t xml:space="preserve">also </w:t>
      </w:r>
      <w:r w:rsidR="0026294A">
        <w:rPr>
          <w:rFonts w:ascii="Times New Roman" w:hAnsi="Times New Roman" w:cs="Times New Roman"/>
          <w:bCs/>
          <w:sz w:val="28"/>
          <w:szCs w:val="28"/>
        </w:rPr>
        <w:t xml:space="preserve">in dispute. </w:t>
      </w:r>
      <w:r w:rsidR="00721775">
        <w:rPr>
          <w:rFonts w:ascii="Times New Roman" w:hAnsi="Times New Roman" w:cs="Times New Roman"/>
          <w:bCs/>
          <w:sz w:val="28"/>
          <w:szCs w:val="28"/>
        </w:rPr>
        <w:t xml:space="preserve">For example, </w:t>
      </w:r>
      <w:r w:rsidR="009623FE">
        <w:rPr>
          <w:rFonts w:ascii="Times New Roman" w:hAnsi="Times New Roman" w:cs="Times New Roman"/>
          <w:bCs/>
          <w:sz w:val="28"/>
          <w:szCs w:val="28"/>
        </w:rPr>
        <w:t xml:space="preserve">Northland </w:t>
      </w:r>
      <w:r w:rsidR="00A6509C">
        <w:rPr>
          <w:rFonts w:ascii="Times New Roman" w:hAnsi="Times New Roman" w:cs="Times New Roman"/>
          <w:bCs/>
          <w:sz w:val="28"/>
          <w:szCs w:val="28"/>
        </w:rPr>
        <w:t>charged</w:t>
      </w:r>
      <w:r w:rsidR="0095467D">
        <w:rPr>
          <w:rFonts w:ascii="Times New Roman" w:hAnsi="Times New Roman" w:cs="Times New Roman"/>
          <w:bCs/>
          <w:sz w:val="28"/>
          <w:szCs w:val="28"/>
        </w:rPr>
        <w:t xml:space="preserve"> ONEC for </w:t>
      </w:r>
      <w:r w:rsidR="005F23E3">
        <w:rPr>
          <w:rFonts w:ascii="Times New Roman" w:hAnsi="Times New Roman" w:cs="Times New Roman"/>
          <w:bCs/>
          <w:sz w:val="28"/>
          <w:szCs w:val="28"/>
        </w:rPr>
        <w:t>work performed by Mr. Adams for 14 to 16 hours a day</w:t>
      </w:r>
      <w:r w:rsidR="00FA5462">
        <w:rPr>
          <w:rFonts w:ascii="Times New Roman" w:hAnsi="Times New Roman" w:cs="Times New Roman"/>
          <w:bCs/>
          <w:sz w:val="28"/>
          <w:szCs w:val="28"/>
        </w:rPr>
        <w:t xml:space="preserve">, every day from March 2022 to </w:t>
      </w:r>
      <w:r w:rsidR="0025136A">
        <w:rPr>
          <w:rFonts w:ascii="Times New Roman" w:hAnsi="Times New Roman" w:cs="Times New Roman"/>
          <w:bCs/>
          <w:sz w:val="28"/>
          <w:szCs w:val="28"/>
        </w:rPr>
        <w:t xml:space="preserve">some time in </w:t>
      </w:r>
      <w:r w:rsidR="001D47B6">
        <w:rPr>
          <w:rFonts w:ascii="Times New Roman" w:hAnsi="Times New Roman" w:cs="Times New Roman"/>
          <w:bCs/>
          <w:sz w:val="28"/>
          <w:szCs w:val="28"/>
        </w:rPr>
        <w:t>October</w:t>
      </w:r>
      <w:r w:rsidR="00FA5462">
        <w:rPr>
          <w:rFonts w:ascii="Times New Roman" w:hAnsi="Times New Roman" w:cs="Times New Roman"/>
          <w:bCs/>
          <w:sz w:val="28"/>
          <w:szCs w:val="28"/>
        </w:rPr>
        <w:t xml:space="preserve"> </w:t>
      </w:r>
      <w:r w:rsidR="008B4F71">
        <w:rPr>
          <w:rFonts w:ascii="Times New Roman" w:hAnsi="Times New Roman" w:cs="Times New Roman"/>
          <w:bCs/>
          <w:sz w:val="28"/>
          <w:szCs w:val="28"/>
        </w:rPr>
        <w:t>2022</w:t>
      </w:r>
      <w:r w:rsidR="001D47B6">
        <w:rPr>
          <w:rFonts w:ascii="Times New Roman" w:hAnsi="Times New Roman" w:cs="Times New Roman"/>
          <w:bCs/>
          <w:sz w:val="28"/>
          <w:szCs w:val="28"/>
        </w:rPr>
        <w:t>.</w:t>
      </w:r>
      <w:r w:rsidR="0025136A">
        <w:rPr>
          <w:rFonts w:ascii="Times New Roman" w:hAnsi="Times New Roman" w:cs="Times New Roman"/>
          <w:bCs/>
          <w:sz w:val="28"/>
          <w:szCs w:val="28"/>
        </w:rPr>
        <w:t xml:space="preserve"> </w:t>
      </w:r>
      <w:r w:rsidR="00721775">
        <w:rPr>
          <w:rFonts w:ascii="Times New Roman" w:hAnsi="Times New Roman" w:cs="Times New Roman"/>
          <w:bCs/>
          <w:sz w:val="28"/>
          <w:szCs w:val="28"/>
        </w:rPr>
        <w:t xml:space="preserve">In cross-examination, </w:t>
      </w:r>
      <w:r w:rsidR="00B104D8">
        <w:rPr>
          <w:rFonts w:ascii="Times New Roman" w:hAnsi="Times New Roman" w:cs="Times New Roman"/>
          <w:bCs/>
          <w:sz w:val="28"/>
          <w:szCs w:val="28"/>
        </w:rPr>
        <w:t xml:space="preserve">Mr. Adams was </w:t>
      </w:r>
      <w:r w:rsidR="00721775">
        <w:rPr>
          <w:rFonts w:ascii="Times New Roman" w:hAnsi="Times New Roman" w:cs="Times New Roman"/>
          <w:bCs/>
          <w:sz w:val="28"/>
          <w:szCs w:val="28"/>
        </w:rPr>
        <w:t xml:space="preserve">asked if he took </w:t>
      </w:r>
      <w:r w:rsidR="00B104D8">
        <w:rPr>
          <w:rFonts w:ascii="Times New Roman" w:hAnsi="Times New Roman" w:cs="Times New Roman"/>
          <w:bCs/>
          <w:sz w:val="28"/>
          <w:szCs w:val="28"/>
        </w:rPr>
        <w:t xml:space="preserve">any time off </w:t>
      </w:r>
      <w:r w:rsidR="007122CF">
        <w:rPr>
          <w:rFonts w:ascii="Times New Roman" w:hAnsi="Times New Roman" w:cs="Times New Roman"/>
          <w:bCs/>
          <w:sz w:val="28"/>
          <w:szCs w:val="28"/>
        </w:rPr>
        <w:t>from March 2022 until November 2022</w:t>
      </w:r>
      <w:r w:rsidR="00B104D8">
        <w:rPr>
          <w:rFonts w:ascii="Times New Roman" w:hAnsi="Times New Roman" w:cs="Times New Roman"/>
          <w:bCs/>
          <w:sz w:val="28"/>
          <w:szCs w:val="28"/>
        </w:rPr>
        <w:t xml:space="preserve">. </w:t>
      </w:r>
      <w:r w:rsidR="002E6563">
        <w:rPr>
          <w:rFonts w:ascii="Times New Roman" w:hAnsi="Times New Roman" w:cs="Times New Roman"/>
          <w:bCs/>
          <w:sz w:val="28"/>
          <w:szCs w:val="28"/>
        </w:rPr>
        <w:t>After a brief hesitation</w:t>
      </w:r>
      <w:r w:rsidR="00402488">
        <w:rPr>
          <w:rFonts w:ascii="Times New Roman" w:hAnsi="Times New Roman" w:cs="Times New Roman"/>
          <w:bCs/>
          <w:sz w:val="28"/>
          <w:szCs w:val="28"/>
        </w:rPr>
        <w:t>,</w:t>
      </w:r>
      <w:r w:rsidR="002E6563">
        <w:rPr>
          <w:rFonts w:ascii="Times New Roman" w:hAnsi="Times New Roman" w:cs="Times New Roman"/>
          <w:bCs/>
          <w:sz w:val="28"/>
          <w:szCs w:val="28"/>
        </w:rPr>
        <w:t xml:space="preserve"> when he said he was not sure if he took time off in November or October</w:t>
      </w:r>
      <w:r w:rsidR="00211BA1">
        <w:rPr>
          <w:rFonts w:ascii="Times New Roman" w:hAnsi="Times New Roman" w:cs="Times New Roman"/>
          <w:bCs/>
          <w:sz w:val="28"/>
          <w:szCs w:val="28"/>
        </w:rPr>
        <w:t xml:space="preserve">, he claimed that he did not take a day off during that period. The October invoice </w:t>
      </w:r>
      <w:r w:rsidR="00FE7F2F">
        <w:rPr>
          <w:rFonts w:ascii="Times New Roman" w:hAnsi="Times New Roman" w:cs="Times New Roman"/>
          <w:bCs/>
          <w:sz w:val="28"/>
          <w:szCs w:val="28"/>
        </w:rPr>
        <w:t>confirm</w:t>
      </w:r>
      <w:r w:rsidR="00402488">
        <w:rPr>
          <w:rFonts w:ascii="Times New Roman" w:hAnsi="Times New Roman" w:cs="Times New Roman"/>
          <w:bCs/>
          <w:sz w:val="28"/>
          <w:szCs w:val="28"/>
        </w:rPr>
        <w:t>s</w:t>
      </w:r>
      <w:r w:rsidR="00FE7F2F">
        <w:rPr>
          <w:rFonts w:ascii="Times New Roman" w:hAnsi="Times New Roman" w:cs="Times New Roman"/>
          <w:bCs/>
          <w:sz w:val="28"/>
          <w:szCs w:val="28"/>
        </w:rPr>
        <w:t xml:space="preserve"> that</w:t>
      </w:r>
      <w:r w:rsidR="00211BA1">
        <w:rPr>
          <w:rFonts w:ascii="Times New Roman" w:hAnsi="Times New Roman" w:cs="Times New Roman"/>
          <w:bCs/>
          <w:sz w:val="28"/>
          <w:szCs w:val="28"/>
        </w:rPr>
        <w:t xml:space="preserve"> he did take time off </w:t>
      </w:r>
      <w:r w:rsidR="00A82166">
        <w:rPr>
          <w:rFonts w:ascii="Times New Roman" w:hAnsi="Times New Roman" w:cs="Times New Roman"/>
          <w:bCs/>
          <w:sz w:val="28"/>
          <w:szCs w:val="28"/>
        </w:rPr>
        <w:t>in October</w:t>
      </w:r>
      <w:r w:rsidR="00FE7F2F">
        <w:rPr>
          <w:rFonts w:ascii="Times New Roman" w:hAnsi="Times New Roman" w:cs="Times New Roman"/>
          <w:bCs/>
          <w:sz w:val="28"/>
          <w:szCs w:val="28"/>
        </w:rPr>
        <w:t>, which is reflected on the invoice</w:t>
      </w:r>
      <w:r w:rsidR="00402488">
        <w:rPr>
          <w:rFonts w:ascii="Times New Roman" w:hAnsi="Times New Roman" w:cs="Times New Roman"/>
          <w:bCs/>
          <w:sz w:val="28"/>
          <w:szCs w:val="28"/>
        </w:rPr>
        <w:t>,</w:t>
      </w:r>
      <w:r w:rsidR="00FE7F2F">
        <w:rPr>
          <w:rFonts w:ascii="Times New Roman" w:hAnsi="Times New Roman" w:cs="Times New Roman"/>
          <w:bCs/>
          <w:sz w:val="28"/>
          <w:szCs w:val="28"/>
        </w:rPr>
        <w:t xml:space="preserve"> but otherwise Northland charged for Mr. Adams’ work on the project </w:t>
      </w:r>
      <w:r w:rsidR="00C85E7A">
        <w:rPr>
          <w:rFonts w:ascii="Times New Roman" w:hAnsi="Times New Roman" w:cs="Times New Roman"/>
          <w:bCs/>
          <w:sz w:val="28"/>
          <w:szCs w:val="28"/>
        </w:rPr>
        <w:t>7 days a week</w:t>
      </w:r>
      <w:r w:rsidR="00402488">
        <w:rPr>
          <w:rFonts w:ascii="Times New Roman" w:hAnsi="Times New Roman" w:cs="Times New Roman"/>
          <w:bCs/>
          <w:sz w:val="28"/>
          <w:szCs w:val="28"/>
        </w:rPr>
        <w:t xml:space="preserve">, 14 to 16 hours a day, </w:t>
      </w:r>
      <w:r w:rsidR="00C85E7A">
        <w:rPr>
          <w:rFonts w:ascii="Times New Roman" w:hAnsi="Times New Roman" w:cs="Times New Roman"/>
          <w:bCs/>
          <w:sz w:val="28"/>
          <w:szCs w:val="28"/>
        </w:rPr>
        <w:t>from March to October 2022</w:t>
      </w:r>
      <w:r w:rsidR="00B04F2C">
        <w:rPr>
          <w:rFonts w:ascii="Times New Roman" w:hAnsi="Times New Roman" w:cs="Times New Roman"/>
          <w:bCs/>
          <w:sz w:val="28"/>
          <w:szCs w:val="28"/>
        </w:rPr>
        <w:t xml:space="preserve">. </w:t>
      </w:r>
    </w:p>
    <w:p w14:paraId="0ED21115" w14:textId="49927197" w:rsidR="007122CF" w:rsidRDefault="00B04F2C" w:rsidP="005B3ADD">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ONEC and Liberty </w:t>
      </w:r>
      <w:r w:rsidR="00C806B3">
        <w:rPr>
          <w:rFonts w:ascii="Times New Roman" w:hAnsi="Times New Roman" w:cs="Times New Roman"/>
          <w:bCs/>
          <w:sz w:val="28"/>
          <w:szCs w:val="28"/>
        </w:rPr>
        <w:t xml:space="preserve">take issue with </w:t>
      </w:r>
      <w:r w:rsidR="00BC37A9">
        <w:rPr>
          <w:rFonts w:ascii="Times New Roman" w:hAnsi="Times New Roman" w:cs="Times New Roman"/>
          <w:bCs/>
          <w:sz w:val="28"/>
          <w:szCs w:val="28"/>
        </w:rPr>
        <w:t>Mr. Adams’</w:t>
      </w:r>
      <w:r w:rsidR="00C806B3">
        <w:rPr>
          <w:rFonts w:ascii="Times New Roman" w:hAnsi="Times New Roman" w:cs="Times New Roman"/>
          <w:bCs/>
          <w:sz w:val="28"/>
          <w:szCs w:val="28"/>
        </w:rPr>
        <w:t xml:space="preserve"> evidence. They say Mr. Adams’</w:t>
      </w:r>
      <w:r w:rsidR="00A82166">
        <w:rPr>
          <w:rFonts w:ascii="Times New Roman" w:hAnsi="Times New Roman" w:cs="Times New Roman"/>
          <w:bCs/>
          <w:sz w:val="28"/>
          <w:szCs w:val="28"/>
        </w:rPr>
        <w:t xml:space="preserve"> claim that he worked 14 to 16 hours a day </w:t>
      </w:r>
      <w:r>
        <w:rPr>
          <w:rFonts w:ascii="Times New Roman" w:hAnsi="Times New Roman" w:cs="Times New Roman"/>
          <w:bCs/>
          <w:sz w:val="28"/>
          <w:szCs w:val="28"/>
        </w:rPr>
        <w:t xml:space="preserve">every single day for </w:t>
      </w:r>
      <w:r w:rsidR="00C806B3">
        <w:rPr>
          <w:rFonts w:ascii="Times New Roman" w:hAnsi="Times New Roman" w:cs="Times New Roman"/>
          <w:bCs/>
          <w:sz w:val="28"/>
          <w:szCs w:val="28"/>
        </w:rPr>
        <w:t>over seven months is implausible.</w:t>
      </w:r>
      <w:r w:rsidR="000C2DA4">
        <w:rPr>
          <w:rFonts w:ascii="Times New Roman" w:hAnsi="Times New Roman" w:cs="Times New Roman"/>
          <w:bCs/>
          <w:sz w:val="28"/>
          <w:szCs w:val="28"/>
        </w:rPr>
        <w:t xml:space="preserve"> ONEC and Liberty also point out that the alleged timesheets </w:t>
      </w:r>
      <w:r w:rsidR="00C63D0C">
        <w:rPr>
          <w:rFonts w:ascii="Times New Roman" w:hAnsi="Times New Roman" w:cs="Times New Roman"/>
          <w:bCs/>
          <w:sz w:val="28"/>
          <w:szCs w:val="28"/>
        </w:rPr>
        <w:t>supporting</w:t>
      </w:r>
      <w:r w:rsidR="000C2DA4">
        <w:rPr>
          <w:rFonts w:ascii="Times New Roman" w:hAnsi="Times New Roman" w:cs="Times New Roman"/>
          <w:bCs/>
          <w:sz w:val="28"/>
          <w:szCs w:val="28"/>
        </w:rPr>
        <w:t xml:space="preserve"> Mr. Adams’</w:t>
      </w:r>
      <w:r w:rsidR="00C63D0C">
        <w:rPr>
          <w:rFonts w:ascii="Times New Roman" w:hAnsi="Times New Roman" w:cs="Times New Roman"/>
          <w:bCs/>
          <w:sz w:val="28"/>
          <w:szCs w:val="28"/>
        </w:rPr>
        <w:t xml:space="preserve"> hours provided by Northland in response to an </w:t>
      </w:r>
      <w:r w:rsidR="00C63D0C" w:rsidRPr="00BA587B">
        <w:rPr>
          <w:rFonts w:ascii="Times New Roman" w:hAnsi="Times New Roman" w:cs="Times New Roman"/>
          <w:bCs/>
          <w:sz w:val="28"/>
          <w:szCs w:val="28"/>
        </w:rPr>
        <w:t>undertaking</w:t>
      </w:r>
      <w:r w:rsidR="00C63D0C">
        <w:rPr>
          <w:rFonts w:ascii="Times New Roman" w:hAnsi="Times New Roman" w:cs="Times New Roman"/>
          <w:bCs/>
          <w:sz w:val="28"/>
          <w:szCs w:val="28"/>
        </w:rPr>
        <w:t xml:space="preserve"> are </w:t>
      </w:r>
      <w:r w:rsidR="00EC7340">
        <w:rPr>
          <w:rFonts w:ascii="Times New Roman" w:hAnsi="Times New Roman" w:cs="Times New Roman"/>
          <w:bCs/>
          <w:sz w:val="28"/>
          <w:szCs w:val="28"/>
        </w:rPr>
        <w:t>not timesheets but rather</w:t>
      </w:r>
      <w:r w:rsidR="001E25B8">
        <w:rPr>
          <w:rFonts w:ascii="Times New Roman" w:hAnsi="Times New Roman" w:cs="Times New Roman"/>
          <w:bCs/>
          <w:sz w:val="28"/>
          <w:szCs w:val="28"/>
        </w:rPr>
        <w:t xml:space="preserve"> </w:t>
      </w:r>
      <w:r w:rsidR="00EC7340">
        <w:rPr>
          <w:rFonts w:ascii="Times New Roman" w:hAnsi="Times New Roman" w:cs="Times New Roman"/>
          <w:bCs/>
          <w:sz w:val="28"/>
          <w:szCs w:val="28"/>
        </w:rPr>
        <w:t>invoice</w:t>
      </w:r>
      <w:r w:rsidR="00FE3892">
        <w:rPr>
          <w:rFonts w:ascii="Times New Roman" w:hAnsi="Times New Roman" w:cs="Times New Roman"/>
          <w:bCs/>
          <w:sz w:val="28"/>
          <w:szCs w:val="28"/>
        </w:rPr>
        <w:t>s</w:t>
      </w:r>
      <w:r w:rsidR="00EC7340">
        <w:rPr>
          <w:rFonts w:ascii="Times New Roman" w:hAnsi="Times New Roman" w:cs="Times New Roman"/>
          <w:bCs/>
          <w:sz w:val="28"/>
          <w:szCs w:val="28"/>
        </w:rPr>
        <w:t xml:space="preserve"> without any details of the actual dates and times Mr. Adams worked</w:t>
      </w:r>
      <w:r w:rsidR="00C806B3">
        <w:rPr>
          <w:rFonts w:ascii="Times New Roman" w:hAnsi="Times New Roman" w:cs="Times New Roman"/>
          <w:bCs/>
          <w:sz w:val="28"/>
          <w:szCs w:val="28"/>
        </w:rPr>
        <w:t xml:space="preserve"> </w:t>
      </w:r>
      <w:r w:rsidR="00EC7340">
        <w:rPr>
          <w:rFonts w:ascii="Times New Roman" w:hAnsi="Times New Roman" w:cs="Times New Roman"/>
          <w:bCs/>
          <w:sz w:val="28"/>
          <w:szCs w:val="28"/>
        </w:rPr>
        <w:t xml:space="preserve">on the project. </w:t>
      </w:r>
      <w:r w:rsidR="00C806B3" w:rsidRPr="005B3ADD">
        <w:rPr>
          <w:rFonts w:ascii="Times New Roman" w:hAnsi="Times New Roman" w:cs="Times New Roman"/>
          <w:bCs/>
          <w:sz w:val="28"/>
          <w:szCs w:val="28"/>
        </w:rPr>
        <w:t xml:space="preserve">In addition, Mr. Wiart deposed that </w:t>
      </w:r>
      <w:r w:rsidR="00A66EA3" w:rsidRPr="005B3ADD">
        <w:rPr>
          <w:rFonts w:ascii="Times New Roman" w:hAnsi="Times New Roman" w:cs="Times New Roman"/>
          <w:bCs/>
          <w:sz w:val="28"/>
          <w:szCs w:val="28"/>
        </w:rPr>
        <w:t xml:space="preserve">in July 2022, he travelled to </w:t>
      </w:r>
      <w:r w:rsidR="00EC7340" w:rsidRPr="005B3ADD">
        <w:rPr>
          <w:rFonts w:ascii="Times New Roman" w:hAnsi="Times New Roman" w:cs="Times New Roman"/>
          <w:bCs/>
          <w:sz w:val="28"/>
          <w:szCs w:val="28"/>
        </w:rPr>
        <w:t xml:space="preserve">Inuvik and that during his stay in the region, </w:t>
      </w:r>
      <w:r w:rsidR="009F031A" w:rsidRPr="005B3ADD">
        <w:rPr>
          <w:rFonts w:ascii="Times New Roman" w:hAnsi="Times New Roman" w:cs="Times New Roman"/>
          <w:bCs/>
          <w:sz w:val="28"/>
          <w:szCs w:val="28"/>
        </w:rPr>
        <w:t xml:space="preserve">he took a vacation day with Mr. Adams and his father to explore the Mackenzie River. Yet, Northland charged ONEC for Mr. Adams working </w:t>
      </w:r>
      <w:r w:rsidR="00133932" w:rsidRPr="005B3ADD">
        <w:rPr>
          <w:rFonts w:ascii="Times New Roman" w:hAnsi="Times New Roman" w:cs="Times New Roman"/>
          <w:bCs/>
          <w:sz w:val="28"/>
          <w:szCs w:val="28"/>
        </w:rPr>
        <w:t xml:space="preserve">14 hours on the Inuvik High Point Wind Project that day. </w:t>
      </w:r>
      <w:r w:rsidR="00B52159" w:rsidRPr="005B3ADD">
        <w:rPr>
          <w:rFonts w:ascii="Times New Roman" w:hAnsi="Times New Roman" w:cs="Times New Roman"/>
          <w:bCs/>
          <w:sz w:val="28"/>
          <w:szCs w:val="28"/>
        </w:rPr>
        <w:t>Northland argue</w:t>
      </w:r>
      <w:r w:rsidR="00D60FDF" w:rsidRPr="005B3ADD">
        <w:rPr>
          <w:rFonts w:ascii="Times New Roman" w:hAnsi="Times New Roman" w:cs="Times New Roman"/>
          <w:bCs/>
          <w:sz w:val="28"/>
          <w:szCs w:val="28"/>
        </w:rPr>
        <w:t>s</w:t>
      </w:r>
      <w:r w:rsidR="00B52159" w:rsidRPr="005B3ADD">
        <w:rPr>
          <w:rFonts w:ascii="Times New Roman" w:hAnsi="Times New Roman" w:cs="Times New Roman"/>
          <w:bCs/>
          <w:sz w:val="28"/>
          <w:szCs w:val="28"/>
        </w:rPr>
        <w:t xml:space="preserve"> that Mr. Wiart’s evidence is anecdotal and cannot cast doubt on Mr. Adams’ credibility. I disagree. </w:t>
      </w:r>
      <w:r w:rsidR="000A0801" w:rsidRPr="005B3ADD">
        <w:rPr>
          <w:rFonts w:ascii="Times New Roman" w:hAnsi="Times New Roman" w:cs="Times New Roman"/>
          <w:bCs/>
          <w:sz w:val="28"/>
          <w:szCs w:val="28"/>
        </w:rPr>
        <w:t xml:space="preserve">If the court accepts Mr. Wiart’s evidence that </w:t>
      </w:r>
      <w:r w:rsidR="00B52159" w:rsidRPr="005B3ADD">
        <w:rPr>
          <w:rFonts w:ascii="Times New Roman" w:hAnsi="Times New Roman" w:cs="Times New Roman"/>
          <w:bCs/>
          <w:sz w:val="28"/>
          <w:szCs w:val="28"/>
        </w:rPr>
        <w:t xml:space="preserve">Mr. Adams was not working on </w:t>
      </w:r>
      <w:r w:rsidR="00530259" w:rsidRPr="005B3ADD">
        <w:rPr>
          <w:rFonts w:ascii="Times New Roman" w:hAnsi="Times New Roman" w:cs="Times New Roman"/>
          <w:bCs/>
          <w:sz w:val="28"/>
          <w:szCs w:val="28"/>
        </w:rPr>
        <w:t xml:space="preserve">the project </w:t>
      </w:r>
      <w:r w:rsidR="00B52159" w:rsidRPr="005B3ADD">
        <w:rPr>
          <w:rFonts w:ascii="Times New Roman" w:hAnsi="Times New Roman" w:cs="Times New Roman"/>
          <w:bCs/>
          <w:sz w:val="28"/>
          <w:szCs w:val="28"/>
        </w:rPr>
        <w:t xml:space="preserve">that day, it means that the timesheets </w:t>
      </w:r>
      <w:r w:rsidR="00530259" w:rsidRPr="005B3ADD">
        <w:rPr>
          <w:rFonts w:ascii="Times New Roman" w:hAnsi="Times New Roman" w:cs="Times New Roman"/>
          <w:bCs/>
          <w:sz w:val="28"/>
          <w:szCs w:val="28"/>
        </w:rPr>
        <w:t>Northland</w:t>
      </w:r>
      <w:r w:rsidR="00B52159" w:rsidRPr="005B3ADD">
        <w:rPr>
          <w:rFonts w:ascii="Times New Roman" w:hAnsi="Times New Roman" w:cs="Times New Roman"/>
          <w:bCs/>
          <w:sz w:val="28"/>
          <w:szCs w:val="28"/>
        </w:rPr>
        <w:t xml:space="preserve"> presented </w:t>
      </w:r>
      <w:r w:rsidR="00E30DAF" w:rsidRPr="005B3ADD">
        <w:rPr>
          <w:rFonts w:ascii="Times New Roman" w:hAnsi="Times New Roman" w:cs="Times New Roman"/>
          <w:bCs/>
          <w:sz w:val="28"/>
          <w:szCs w:val="28"/>
        </w:rPr>
        <w:t>are</w:t>
      </w:r>
      <w:r w:rsidR="00B52159" w:rsidRPr="005B3ADD">
        <w:rPr>
          <w:rFonts w:ascii="Times New Roman" w:hAnsi="Times New Roman" w:cs="Times New Roman"/>
          <w:bCs/>
          <w:sz w:val="28"/>
          <w:szCs w:val="28"/>
        </w:rPr>
        <w:t xml:space="preserve"> not accurate and it could put into question </w:t>
      </w:r>
      <w:r w:rsidR="00530259" w:rsidRPr="005B3ADD">
        <w:rPr>
          <w:rFonts w:ascii="Times New Roman" w:hAnsi="Times New Roman" w:cs="Times New Roman"/>
          <w:bCs/>
          <w:sz w:val="28"/>
          <w:szCs w:val="28"/>
        </w:rPr>
        <w:t>Mr. Adams’</w:t>
      </w:r>
      <w:r w:rsidR="00B52159" w:rsidRPr="005B3ADD">
        <w:rPr>
          <w:rFonts w:ascii="Times New Roman" w:hAnsi="Times New Roman" w:cs="Times New Roman"/>
          <w:bCs/>
          <w:sz w:val="28"/>
          <w:szCs w:val="28"/>
        </w:rPr>
        <w:t xml:space="preserve"> credibility and the reliability of the documentary evidence Northland filed on this application to support the invoices. </w:t>
      </w:r>
    </w:p>
    <w:p w14:paraId="0BA887D9" w14:textId="77777777" w:rsidR="007A25BF" w:rsidRDefault="007A25BF" w:rsidP="007A25BF">
      <w:pPr>
        <w:pStyle w:val="ListParagraph"/>
        <w:spacing w:after="0" w:line="240" w:lineRule="auto"/>
        <w:ind w:left="0"/>
        <w:jc w:val="both"/>
        <w:rPr>
          <w:rFonts w:ascii="Times New Roman" w:hAnsi="Times New Roman" w:cs="Times New Roman"/>
          <w:bCs/>
          <w:sz w:val="28"/>
          <w:szCs w:val="28"/>
        </w:rPr>
      </w:pPr>
    </w:p>
    <w:p w14:paraId="4E32036B" w14:textId="7D44DBF8" w:rsidR="00FA73B4" w:rsidRPr="00522FFB" w:rsidRDefault="001E011F" w:rsidP="00522FFB">
      <w:pPr>
        <w:pStyle w:val="ListParagraph"/>
        <w:numPr>
          <w:ilvl w:val="0"/>
          <w:numId w:val="1"/>
        </w:numPr>
        <w:spacing w:after="0" w:line="240" w:lineRule="auto"/>
        <w:jc w:val="both"/>
        <w:rPr>
          <w:rFonts w:ascii="Times New Roman" w:hAnsi="Times New Roman" w:cs="Times New Roman"/>
          <w:bCs/>
          <w:sz w:val="28"/>
          <w:szCs w:val="28"/>
        </w:rPr>
      </w:pPr>
      <w:r w:rsidRPr="00522FFB">
        <w:rPr>
          <w:rFonts w:ascii="Times New Roman" w:hAnsi="Times New Roman" w:cs="Times New Roman"/>
          <w:bCs/>
          <w:sz w:val="28"/>
          <w:szCs w:val="28"/>
        </w:rPr>
        <w:t xml:space="preserve">The </w:t>
      </w:r>
      <w:r w:rsidR="001C51FA">
        <w:rPr>
          <w:rFonts w:ascii="Times New Roman" w:hAnsi="Times New Roman" w:cs="Times New Roman"/>
          <w:bCs/>
          <w:sz w:val="28"/>
          <w:szCs w:val="28"/>
        </w:rPr>
        <w:t xml:space="preserve">monthly </w:t>
      </w:r>
      <w:r w:rsidR="002227C5" w:rsidRPr="00522FFB">
        <w:rPr>
          <w:rFonts w:ascii="Times New Roman" w:hAnsi="Times New Roman" w:cs="Times New Roman"/>
          <w:bCs/>
          <w:sz w:val="28"/>
          <w:szCs w:val="28"/>
        </w:rPr>
        <w:t xml:space="preserve">flat rates charged for project support services and for shop and utility expenses </w:t>
      </w:r>
      <w:r w:rsidR="00502905">
        <w:rPr>
          <w:rFonts w:ascii="Times New Roman" w:hAnsi="Times New Roman" w:cs="Times New Roman"/>
          <w:bCs/>
          <w:sz w:val="28"/>
          <w:szCs w:val="28"/>
        </w:rPr>
        <w:t>and</w:t>
      </w:r>
      <w:r w:rsidR="002227C5" w:rsidRPr="00522FFB">
        <w:rPr>
          <w:rFonts w:ascii="Times New Roman" w:hAnsi="Times New Roman" w:cs="Times New Roman"/>
          <w:bCs/>
          <w:sz w:val="28"/>
          <w:szCs w:val="28"/>
        </w:rPr>
        <w:t xml:space="preserve"> the costs of labour are examples that show </w:t>
      </w:r>
      <w:r w:rsidR="00522FFB" w:rsidRPr="00CC5B16">
        <w:rPr>
          <w:rFonts w:ascii="Times New Roman" w:hAnsi="Times New Roman" w:cs="Times New Roman"/>
          <w:bCs/>
          <w:sz w:val="28"/>
          <w:szCs w:val="28"/>
        </w:rPr>
        <w:t xml:space="preserve">there is conflicting evidence </w:t>
      </w:r>
      <w:r w:rsidR="00522FFB">
        <w:rPr>
          <w:rFonts w:ascii="Times New Roman" w:hAnsi="Times New Roman" w:cs="Times New Roman"/>
          <w:bCs/>
          <w:sz w:val="28"/>
          <w:szCs w:val="28"/>
        </w:rPr>
        <w:t xml:space="preserve">related to Northland’s invoicing under the IPD Contract </w:t>
      </w:r>
      <w:r w:rsidR="00522FFB" w:rsidRPr="00CC5B16">
        <w:rPr>
          <w:rFonts w:ascii="Times New Roman" w:hAnsi="Times New Roman" w:cs="Times New Roman"/>
          <w:bCs/>
          <w:sz w:val="28"/>
          <w:szCs w:val="28"/>
        </w:rPr>
        <w:t xml:space="preserve">that requires credibility findings I cannot reach without the benefit of </w:t>
      </w:r>
      <w:r w:rsidR="00522FFB" w:rsidRPr="00CC5B16">
        <w:rPr>
          <w:rFonts w:ascii="Times New Roman" w:hAnsi="Times New Roman" w:cs="Times New Roman"/>
          <w:bCs/>
          <w:i/>
          <w:iCs/>
          <w:sz w:val="28"/>
          <w:szCs w:val="28"/>
        </w:rPr>
        <w:t>viva voce</w:t>
      </w:r>
      <w:r w:rsidR="00522FFB" w:rsidRPr="00CC5B16">
        <w:rPr>
          <w:rFonts w:ascii="Times New Roman" w:hAnsi="Times New Roman" w:cs="Times New Roman"/>
          <w:bCs/>
          <w:sz w:val="28"/>
          <w:szCs w:val="28"/>
        </w:rPr>
        <w:t xml:space="preserve"> evidence.</w:t>
      </w:r>
      <w:r w:rsidR="00522FFB">
        <w:rPr>
          <w:rFonts w:ascii="Times New Roman" w:hAnsi="Times New Roman" w:cs="Times New Roman"/>
          <w:bCs/>
          <w:sz w:val="28"/>
          <w:szCs w:val="28"/>
        </w:rPr>
        <w:t xml:space="preserve"> </w:t>
      </w:r>
      <w:r w:rsidR="00B24A24" w:rsidRPr="00522FFB">
        <w:rPr>
          <w:rFonts w:ascii="Times New Roman" w:hAnsi="Times New Roman" w:cs="Times New Roman"/>
          <w:bCs/>
          <w:sz w:val="28"/>
          <w:szCs w:val="28"/>
        </w:rPr>
        <w:t xml:space="preserve">I agree with ONEC and Liberty that there is a genuine issue that requires a trial </w:t>
      </w:r>
      <w:r w:rsidR="00062D78" w:rsidRPr="00522FFB">
        <w:rPr>
          <w:rFonts w:ascii="Times New Roman" w:hAnsi="Times New Roman" w:cs="Times New Roman"/>
          <w:bCs/>
          <w:sz w:val="28"/>
          <w:szCs w:val="28"/>
        </w:rPr>
        <w:t>on</w:t>
      </w:r>
      <w:r w:rsidR="00B24A24" w:rsidRPr="00522FFB">
        <w:rPr>
          <w:rFonts w:ascii="Times New Roman" w:hAnsi="Times New Roman" w:cs="Times New Roman"/>
          <w:bCs/>
          <w:sz w:val="28"/>
          <w:szCs w:val="28"/>
        </w:rPr>
        <w:t xml:space="preserve"> damages. </w:t>
      </w:r>
    </w:p>
    <w:p w14:paraId="22EBE0BC" w14:textId="77777777" w:rsidR="00465DD1" w:rsidRDefault="00465DD1" w:rsidP="00465DD1">
      <w:pPr>
        <w:pStyle w:val="ListParagraph"/>
        <w:spacing w:after="0" w:line="240" w:lineRule="auto"/>
        <w:ind w:left="0"/>
        <w:contextualSpacing w:val="0"/>
        <w:jc w:val="both"/>
        <w:rPr>
          <w:rFonts w:ascii="Times New Roman" w:hAnsi="Times New Roman" w:cs="Times New Roman"/>
          <w:bCs/>
          <w:sz w:val="28"/>
          <w:szCs w:val="28"/>
        </w:rPr>
      </w:pPr>
    </w:p>
    <w:p w14:paraId="54960726" w14:textId="42299688" w:rsidR="001112C2" w:rsidRPr="00CC00F2" w:rsidRDefault="004A0693" w:rsidP="00CC00F2">
      <w:pPr>
        <w:pStyle w:val="ListParagraph"/>
        <w:numPr>
          <w:ilvl w:val="0"/>
          <w:numId w:val="1"/>
        </w:numPr>
        <w:spacing w:after="0" w:line="240" w:lineRule="auto"/>
        <w:jc w:val="both"/>
        <w:rPr>
          <w:rFonts w:ascii="Times New Roman" w:hAnsi="Times New Roman" w:cs="Times New Roman"/>
          <w:bCs/>
          <w:i/>
          <w:iCs/>
          <w:sz w:val="28"/>
          <w:szCs w:val="28"/>
        </w:rPr>
      </w:pPr>
      <w:r w:rsidRPr="00BA2B31">
        <w:rPr>
          <w:rFonts w:ascii="Times New Roman" w:hAnsi="Times New Roman" w:cs="Times New Roman"/>
          <w:bCs/>
          <w:sz w:val="28"/>
          <w:szCs w:val="28"/>
        </w:rPr>
        <w:t xml:space="preserve">Northland </w:t>
      </w:r>
      <w:r w:rsidR="00033295" w:rsidRPr="009C43A4">
        <w:rPr>
          <w:rFonts w:ascii="Times New Roman" w:hAnsi="Times New Roman" w:cs="Times New Roman"/>
          <w:bCs/>
          <w:sz w:val="28"/>
          <w:szCs w:val="28"/>
        </w:rPr>
        <w:t>advanced</w:t>
      </w:r>
      <w:r w:rsidRPr="009C43A4">
        <w:rPr>
          <w:rFonts w:ascii="Times New Roman" w:hAnsi="Times New Roman" w:cs="Times New Roman"/>
          <w:bCs/>
          <w:sz w:val="28"/>
          <w:szCs w:val="28"/>
        </w:rPr>
        <w:t xml:space="preserve"> an argument in the alternative</w:t>
      </w:r>
      <w:r w:rsidR="00190CDB" w:rsidRPr="009C43A4">
        <w:rPr>
          <w:rFonts w:ascii="Times New Roman" w:hAnsi="Times New Roman" w:cs="Times New Roman"/>
          <w:bCs/>
          <w:sz w:val="28"/>
          <w:szCs w:val="28"/>
        </w:rPr>
        <w:t xml:space="preserve">. It relied on the doctrine of </w:t>
      </w:r>
      <w:r w:rsidR="009F1606" w:rsidRPr="009C43A4">
        <w:rPr>
          <w:rFonts w:ascii="Times New Roman" w:hAnsi="Times New Roman" w:cs="Times New Roman"/>
          <w:bCs/>
          <w:sz w:val="28"/>
          <w:szCs w:val="28"/>
        </w:rPr>
        <w:t xml:space="preserve">contractual </w:t>
      </w:r>
      <w:r w:rsidR="00190CDB" w:rsidRPr="009C43A4">
        <w:rPr>
          <w:rFonts w:ascii="Times New Roman" w:hAnsi="Times New Roman" w:cs="Times New Roman"/>
          <w:bCs/>
          <w:i/>
          <w:iCs/>
          <w:sz w:val="28"/>
          <w:szCs w:val="28"/>
        </w:rPr>
        <w:t>quantum meruit</w:t>
      </w:r>
      <w:r w:rsidRPr="009C43A4">
        <w:rPr>
          <w:rFonts w:ascii="Times New Roman" w:hAnsi="Times New Roman" w:cs="Times New Roman"/>
          <w:bCs/>
          <w:sz w:val="28"/>
          <w:szCs w:val="28"/>
        </w:rPr>
        <w:t xml:space="preserve"> </w:t>
      </w:r>
      <w:r w:rsidR="00A50B3E" w:rsidRPr="009C43A4">
        <w:rPr>
          <w:rFonts w:ascii="Times New Roman" w:hAnsi="Times New Roman" w:cs="Times New Roman"/>
          <w:bCs/>
          <w:sz w:val="28"/>
          <w:szCs w:val="28"/>
        </w:rPr>
        <w:t>in the event</w:t>
      </w:r>
      <w:r w:rsidR="00033295" w:rsidRPr="009C43A4">
        <w:rPr>
          <w:rFonts w:ascii="Times New Roman" w:hAnsi="Times New Roman" w:cs="Times New Roman"/>
          <w:bCs/>
          <w:sz w:val="28"/>
          <w:szCs w:val="28"/>
        </w:rPr>
        <w:t xml:space="preserve"> I f</w:t>
      </w:r>
      <w:r w:rsidR="00865DDA">
        <w:rPr>
          <w:rFonts w:ascii="Times New Roman" w:hAnsi="Times New Roman" w:cs="Times New Roman"/>
          <w:bCs/>
          <w:sz w:val="28"/>
          <w:szCs w:val="28"/>
        </w:rPr>
        <w:t>i</w:t>
      </w:r>
      <w:r w:rsidR="00033295" w:rsidRPr="009C43A4">
        <w:rPr>
          <w:rFonts w:ascii="Times New Roman" w:hAnsi="Times New Roman" w:cs="Times New Roman"/>
          <w:bCs/>
          <w:sz w:val="28"/>
          <w:szCs w:val="28"/>
        </w:rPr>
        <w:t xml:space="preserve">nd that the </w:t>
      </w:r>
      <w:r w:rsidR="001A79E5" w:rsidRPr="009C43A4">
        <w:rPr>
          <w:rFonts w:ascii="Times New Roman" w:hAnsi="Times New Roman" w:cs="Times New Roman"/>
          <w:bCs/>
          <w:sz w:val="28"/>
          <w:szCs w:val="28"/>
        </w:rPr>
        <w:t>parties did</w:t>
      </w:r>
      <w:r w:rsidR="00190CDB" w:rsidRPr="009C43A4">
        <w:rPr>
          <w:rFonts w:ascii="Times New Roman" w:hAnsi="Times New Roman" w:cs="Times New Roman"/>
          <w:bCs/>
          <w:sz w:val="28"/>
          <w:szCs w:val="28"/>
        </w:rPr>
        <w:t xml:space="preserve"> not</w:t>
      </w:r>
      <w:r w:rsidR="001A79E5" w:rsidRPr="009C43A4">
        <w:rPr>
          <w:rFonts w:ascii="Times New Roman" w:hAnsi="Times New Roman" w:cs="Times New Roman"/>
          <w:bCs/>
          <w:sz w:val="28"/>
          <w:szCs w:val="28"/>
        </w:rPr>
        <w:t xml:space="preserve"> reach an agreement on the specific </w:t>
      </w:r>
      <w:proofErr w:type="gramStart"/>
      <w:r w:rsidR="00795750" w:rsidRPr="009C43A4">
        <w:rPr>
          <w:rFonts w:ascii="Times New Roman" w:hAnsi="Times New Roman" w:cs="Times New Roman"/>
          <w:bCs/>
          <w:sz w:val="28"/>
          <w:szCs w:val="28"/>
        </w:rPr>
        <w:t>costs</w:t>
      </w:r>
      <w:proofErr w:type="gramEnd"/>
      <w:r w:rsidR="001A79E5" w:rsidRPr="009C43A4">
        <w:rPr>
          <w:rFonts w:ascii="Times New Roman" w:hAnsi="Times New Roman" w:cs="Times New Roman"/>
          <w:bCs/>
          <w:sz w:val="28"/>
          <w:szCs w:val="28"/>
        </w:rPr>
        <w:t xml:space="preserve"> items</w:t>
      </w:r>
      <w:r w:rsidR="00190CDB" w:rsidRPr="009C43A4">
        <w:rPr>
          <w:rFonts w:ascii="Times New Roman" w:hAnsi="Times New Roman" w:cs="Times New Roman"/>
          <w:bCs/>
          <w:sz w:val="28"/>
          <w:szCs w:val="28"/>
        </w:rPr>
        <w:t xml:space="preserve"> under the IPD</w:t>
      </w:r>
      <w:r w:rsidR="00A50B3E" w:rsidRPr="009C43A4">
        <w:rPr>
          <w:rFonts w:ascii="Times New Roman" w:hAnsi="Times New Roman" w:cs="Times New Roman"/>
          <w:bCs/>
          <w:sz w:val="28"/>
          <w:szCs w:val="28"/>
        </w:rPr>
        <w:t xml:space="preserve"> Contract</w:t>
      </w:r>
      <w:r w:rsidR="00190CDB" w:rsidRPr="009C43A4">
        <w:rPr>
          <w:rFonts w:ascii="Times New Roman" w:hAnsi="Times New Roman" w:cs="Times New Roman"/>
          <w:bCs/>
          <w:sz w:val="28"/>
          <w:szCs w:val="28"/>
        </w:rPr>
        <w:t xml:space="preserve">. </w:t>
      </w:r>
      <w:r w:rsidR="001112C2" w:rsidRPr="009C43A4">
        <w:rPr>
          <w:rFonts w:ascii="Times New Roman" w:hAnsi="Times New Roman" w:cs="Times New Roman"/>
          <w:bCs/>
          <w:sz w:val="28"/>
          <w:szCs w:val="28"/>
        </w:rPr>
        <w:t xml:space="preserve">This doctrine applies when the parties to a valid contract for the provision of good or services intended </w:t>
      </w:r>
      <w:r w:rsidR="00BB6ABB">
        <w:rPr>
          <w:rFonts w:ascii="Times New Roman" w:hAnsi="Times New Roman" w:cs="Times New Roman"/>
          <w:bCs/>
          <w:sz w:val="28"/>
          <w:szCs w:val="28"/>
        </w:rPr>
        <w:t>to be</w:t>
      </w:r>
      <w:r w:rsidR="001112C2" w:rsidRPr="009C43A4">
        <w:rPr>
          <w:rFonts w:ascii="Times New Roman" w:hAnsi="Times New Roman" w:cs="Times New Roman"/>
          <w:bCs/>
          <w:sz w:val="28"/>
          <w:szCs w:val="28"/>
        </w:rPr>
        <w:t xml:space="preserve"> remunerat</w:t>
      </w:r>
      <w:r w:rsidR="00BB6ABB">
        <w:rPr>
          <w:rFonts w:ascii="Times New Roman" w:hAnsi="Times New Roman" w:cs="Times New Roman"/>
          <w:bCs/>
          <w:sz w:val="28"/>
          <w:szCs w:val="28"/>
        </w:rPr>
        <w:t>ed</w:t>
      </w:r>
      <w:r w:rsidR="00865DDA">
        <w:rPr>
          <w:rFonts w:ascii="Times New Roman" w:hAnsi="Times New Roman" w:cs="Times New Roman"/>
          <w:bCs/>
          <w:sz w:val="28"/>
          <w:szCs w:val="28"/>
        </w:rPr>
        <w:t xml:space="preserve"> for</w:t>
      </w:r>
      <w:r w:rsidR="00EF31A1">
        <w:rPr>
          <w:rFonts w:ascii="Times New Roman" w:hAnsi="Times New Roman" w:cs="Times New Roman"/>
          <w:bCs/>
          <w:sz w:val="28"/>
          <w:szCs w:val="28"/>
        </w:rPr>
        <w:t xml:space="preserve"> </w:t>
      </w:r>
      <w:r w:rsidR="001112C2" w:rsidRPr="009C43A4">
        <w:rPr>
          <w:rFonts w:ascii="Times New Roman" w:hAnsi="Times New Roman" w:cs="Times New Roman"/>
          <w:bCs/>
          <w:sz w:val="28"/>
          <w:szCs w:val="28"/>
        </w:rPr>
        <w:t>but failed to provide for the terms of such remuneration</w:t>
      </w:r>
      <w:r w:rsidR="00131275" w:rsidRPr="009C43A4">
        <w:rPr>
          <w:rFonts w:ascii="Times New Roman" w:hAnsi="Times New Roman" w:cs="Times New Roman"/>
          <w:bCs/>
          <w:sz w:val="28"/>
          <w:szCs w:val="28"/>
        </w:rPr>
        <w:t>.</w:t>
      </w:r>
      <w:r w:rsidR="001112C2" w:rsidRPr="009C43A4">
        <w:rPr>
          <w:rFonts w:ascii="Times New Roman" w:hAnsi="Times New Roman" w:cs="Times New Roman"/>
          <w:bCs/>
          <w:sz w:val="28"/>
          <w:szCs w:val="28"/>
        </w:rPr>
        <w:t xml:space="preserve"> </w:t>
      </w:r>
      <w:r w:rsidR="00356515" w:rsidRPr="009C43A4">
        <w:rPr>
          <w:rFonts w:ascii="Times New Roman" w:hAnsi="Times New Roman" w:cs="Times New Roman"/>
          <w:bCs/>
          <w:sz w:val="28"/>
          <w:szCs w:val="28"/>
        </w:rPr>
        <w:t>In such circumstances, they</w:t>
      </w:r>
      <w:r w:rsidR="00131275" w:rsidRPr="009C43A4">
        <w:rPr>
          <w:rFonts w:ascii="Times New Roman" w:hAnsi="Times New Roman" w:cs="Times New Roman"/>
          <w:bCs/>
          <w:sz w:val="28"/>
          <w:szCs w:val="28"/>
        </w:rPr>
        <w:t xml:space="preserve"> </w:t>
      </w:r>
      <w:r w:rsidR="001112C2" w:rsidRPr="009C43A4">
        <w:rPr>
          <w:rFonts w:ascii="Times New Roman" w:hAnsi="Times New Roman" w:cs="Times New Roman"/>
          <w:bCs/>
          <w:sz w:val="28"/>
          <w:szCs w:val="28"/>
        </w:rPr>
        <w:t xml:space="preserve">are presumed to have agreed </w:t>
      </w:r>
      <w:r w:rsidR="00FD1AFE" w:rsidRPr="009C43A4">
        <w:rPr>
          <w:rFonts w:ascii="Times New Roman" w:hAnsi="Times New Roman" w:cs="Times New Roman"/>
          <w:bCs/>
          <w:sz w:val="28"/>
          <w:szCs w:val="28"/>
        </w:rPr>
        <w:t xml:space="preserve">that </w:t>
      </w:r>
      <w:r w:rsidR="001112C2" w:rsidRPr="009C43A4">
        <w:rPr>
          <w:rFonts w:ascii="Times New Roman" w:hAnsi="Times New Roman" w:cs="Times New Roman"/>
          <w:bCs/>
          <w:sz w:val="28"/>
          <w:szCs w:val="28"/>
        </w:rPr>
        <w:t>a reasonable price be paid. Considering there is a contract between the parties that provides</w:t>
      </w:r>
      <w:r w:rsidR="001112C2" w:rsidRPr="00356515">
        <w:rPr>
          <w:rFonts w:ascii="Times New Roman" w:hAnsi="Times New Roman" w:cs="Times New Roman"/>
          <w:bCs/>
          <w:sz w:val="28"/>
          <w:szCs w:val="28"/>
        </w:rPr>
        <w:t xml:space="preserve"> for</w:t>
      </w:r>
      <w:r w:rsidR="001112C2" w:rsidRPr="00BA2B31">
        <w:rPr>
          <w:rFonts w:ascii="Times New Roman" w:hAnsi="Times New Roman" w:cs="Times New Roman"/>
          <w:bCs/>
          <w:sz w:val="28"/>
          <w:szCs w:val="28"/>
        </w:rPr>
        <w:t xml:space="preserve"> the terms of the remuneration, this doctrine is not engaged</w:t>
      </w:r>
      <w:r w:rsidR="00BB6ABB">
        <w:rPr>
          <w:rFonts w:ascii="Times New Roman" w:hAnsi="Times New Roman" w:cs="Times New Roman"/>
          <w:bCs/>
          <w:sz w:val="28"/>
          <w:szCs w:val="28"/>
        </w:rPr>
        <w:t>.</w:t>
      </w:r>
      <w:r w:rsidR="001112C2" w:rsidRPr="00BA2B31">
        <w:rPr>
          <w:rFonts w:ascii="Times New Roman" w:hAnsi="Times New Roman" w:cs="Times New Roman"/>
          <w:bCs/>
          <w:sz w:val="28"/>
          <w:szCs w:val="28"/>
        </w:rPr>
        <w:t xml:space="preserve"> (</w:t>
      </w:r>
      <w:proofErr w:type="spellStart"/>
      <w:r w:rsidR="00E37B69" w:rsidRPr="00E37B69">
        <w:rPr>
          <w:rFonts w:ascii="Times New Roman" w:hAnsi="Times New Roman" w:cs="Times New Roman"/>
          <w:bCs/>
          <w:i/>
          <w:iCs/>
          <w:sz w:val="28"/>
          <w:szCs w:val="28"/>
        </w:rPr>
        <w:t>McElheran</w:t>
      </w:r>
      <w:proofErr w:type="spellEnd"/>
      <w:r w:rsidR="00E37B69" w:rsidRPr="00E37B69">
        <w:rPr>
          <w:rFonts w:ascii="Times New Roman" w:hAnsi="Times New Roman" w:cs="Times New Roman"/>
          <w:bCs/>
          <w:sz w:val="28"/>
          <w:szCs w:val="28"/>
        </w:rPr>
        <w:t xml:space="preserve"> </w:t>
      </w:r>
      <w:r w:rsidR="00E37B69" w:rsidRPr="00CE5271">
        <w:rPr>
          <w:rFonts w:ascii="Times New Roman" w:hAnsi="Times New Roman" w:cs="Times New Roman"/>
          <w:bCs/>
          <w:i/>
          <w:iCs/>
          <w:sz w:val="28"/>
          <w:szCs w:val="28"/>
        </w:rPr>
        <w:t>v</w:t>
      </w:r>
      <w:r w:rsidR="00E37B69" w:rsidRPr="00E37B69">
        <w:rPr>
          <w:rFonts w:ascii="Times New Roman" w:hAnsi="Times New Roman" w:cs="Times New Roman"/>
          <w:bCs/>
          <w:sz w:val="28"/>
          <w:szCs w:val="28"/>
        </w:rPr>
        <w:t xml:space="preserve"> </w:t>
      </w:r>
      <w:r w:rsidR="00E37B69" w:rsidRPr="00E37B69">
        <w:rPr>
          <w:rFonts w:ascii="Times New Roman" w:hAnsi="Times New Roman" w:cs="Times New Roman"/>
          <w:bCs/>
          <w:i/>
          <w:iCs/>
          <w:sz w:val="28"/>
          <w:szCs w:val="28"/>
        </w:rPr>
        <w:t>Great Northwest Insulation Ltd.</w:t>
      </w:r>
      <w:r w:rsidR="00E37B69" w:rsidRPr="00E37B69">
        <w:rPr>
          <w:rFonts w:ascii="Times New Roman" w:hAnsi="Times New Roman" w:cs="Times New Roman"/>
          <w:bCs/>
          <w:sz w:val="28"/>
          <w:szCs w:val="28"/>
        </w:rPr>
        <w:t>, 1994 CanLII 18492 (NWT CA)</w:t>
      </w:r>
      <w:r w:rsidR="00CC00F2">
        <w:rPr>
          <w:rFonts w:ascii="Times New Roman" w:hAnsi="Times New Roman" w:cs="Times New Roman"/>
          <w:bCs/>
          <w:sz w:val="28"/>
          <w:szCs w:val="28"/>
        </w:rPr>
        <w:t>;</w:t>
      </w:r>
      <w:r w:rsidR="00E37B69">
        <w:rPr>
          <w:rFonts w:ascii="Times New Roman" w:hAnsi="Times New Roman" w:cs="Times New Roman"/>
          <w:bCs/>
          <w:sz w:val="28"/>
          <w:szCs w:val="28"/>
        </w:rPr>
        <w:t xml:space="preserve"> </w:t>
      </w:r>
      <w:r w:rsidR="001112C2" w:rsidRPr="00BA2B31">
        <w:rPr>
          <w:rFonts w:ascii="Times New Roman" w:hAnsi="Times New Roman" w:cs="Times New Roman"/>
          <w:bCs/>
          <w:i/>
          <w:iCs/>
          <w:sz w:val="28"/>
          <w:szCs w:val="28"/>
        </w:rPr>
        <w:t>CH2M Hill Energy</w:t>
      </w:r>
      <w:r w:rsidR="00B55FC1">
        <w:rPr>
          <w:rFonts w:ascii="Times New Roman" w:hAnsi="Times New Roman" w:cs="Times New Roman"/>
          <w:bCs/>
          <w:i/>
          <w:iCs/>
          <w:sz w:val="28"/>
          <w:szCs w:val="28"/>
        </w:rPr>
        <w:t xml:space="preserve"> v </w:t>
      </w:r>
      <w:r w:rsidR="00CC00F2" w:rsidRPr="00CC00F2">
        <w:rPr>
          <w:rFonts w:ascii="Times New Roman" w:hAnsi="Times New Roman" w:cs="Times New Roman"/>
          <w:bCs/>
          <w:i/>
          <w:iCs/>
          <w:sz w:val="28"/>
          <w:szCs w:val="28"/>
        </w:rPr>
        <w:t xml:space="preserve">Consumers' Co-operative Refineries Ltd., </w:t>
      </w:r>
      <w:r w:rsidR="00CC00F2" w:rsidRPr="00EF31A1">
        <w:rPr>
          <w:rFonts w:ascii="Times New Roman" w:hAnsi="Times New Roman" w:cs="Times New Roman"/>
          <w:bCs/>
          <w:sz w:val="28"/>
          <w:szCs w:val="28"/>
        </w:rPr>
        <w:t>2010 SKCA 75</w:t>
      </w:r>
      <w:r w:rsidR="001112C2" w:rsidRPr="00CC00F2">
        <w:rPr>
          <w:rFonts w:ascii="Times New Roman" w:hAnsi="Times New Roman" w:cs="Times New Roman"/>
          <w:bCs/>
          <w:sz w:val="28"/>
          <w:szCs w:val="28"/>
        </w:rPr>
        <w:t xml:space="preserve">, para </w:t>
      </w:r>
      <w:r w:rsidR="00D221AA" w:rsidRPr="00CC00F2">
        <w:rPr>
          <w:rFonts w:ascii="Times New Roman" w:hAnsi="Times New Roman" w:cs="Times New Roman"/>
          <w:bCs/>
          <w:sz w:val="28"/>
          <w:szCs w:val="28"/>
        </w:rPr>
        <w:t>24</w:t>
      </w:r>
      <w:r w:rsidR="001112C2" w:rsidRPr="00CC00F2">
        <w:rPr>
          <w:rFonts w:ascii="Times New Roman" w:hAnsi="Times New Roman" w:cs="Times New Roman"/>
          <w:bCs/>
          <w:sz w:val="28"/>
          <w:szCs w:val="28"/>
        </w:rPr>
        <w:t xml:space="preserve">) </w:t>
      </w:r>
    </w:p>
    <w:p w14:paraId="68D5C259" w14:textId="77777777" w:rsidR="002A5F2C" w:rsidRDefault="002A5F2C" w:rsidP="002A5F2C">
      <w:pPr>
        <w:spacing w:after="0" w:line="240" w:lineRule="auto"/>
        <w:jc w:val="both"/>
        <w:rPr>
          <w:rFonts w:ascii="Times New Roman" w:hAnsi="Times New Roman" w:cs="Times New Roman"/>
          <w:bCs/>
          <w:sz w:val="28"/>
          <w:szCs w:val="28"/>
        </w:rPr>
      </w:pPr>
    </w:p>
    <w:p w14:paraId="103F15FA" w14:textId="7190FAB1" w:rsidR="00A648B8" w:rsidRPr="00FA45EC" w:rsidRDefault="00A648B8" w:rsidP="00A648B8">
      <w:pPr>
        <w:spacing w:after="0" w:line="240" w:lineRule="auto"/>
        <w:jc w:val="both"/>
        <w:rPr>
          <w:rFonts w:ascii="Times New Roman" w:hAnsi="Times New Roman" w:cs="Times New Roman"/>
          <w:b/>
          <w:i/>
          <w:iCs/>
          <w:sz w:val="28"/>
          <w:szCs w:val="28"/>
        </w:rPr>
      </w:pPr>
      <w:r w:rsidRPr="00FA45EC">
        <w:rPr>
          <w:rFonts w:ascii="Times New Roman" w:hAnsi="Times New Roman" w:cs="Times New Roman"/>
          <w:b/>
          <w:i/>
          <w:iCs/>
          <w:sz w:val="28"/>
          <w:szCs w:val="28"/>
        </w:rPr>
        <w:t>Costs</w:t>
      </w:r>
    </w:p>
    <w:p w14:paraId="7AD0D118" w14:textId="77777777" w:rsidR="00A648B8" w:rsidRDefault="00A648B8" w:rsidP="00A648B8">
      <w:pPr>
        <w:spacing w:after="0" w:line="240" w:lineRule="auto"/>
        <w:jc w:val="both"/>
        <w:rPr>
          <w:rFonts w:ascii="Times New Roman" w:hAnsi="Times New Roman" w:cs="Times New Roman"/>
          <w:bCs/>
          <w:sz w:val="28"/>
          <w:szCs w:val="28"/>
        </w:rPr>
      </w:pPr>
    </w:p>
    <w:p w14:paraId="10946A03" w14:textId="55E3151C" w:rsidR="00F31ED1" w:rsidRPr="00093579" w:rsidRDefault="00AF4FBC" w:rsidP="00A648B8">
      <w:pPr>
        <w:spacing w:after="0" w:line="240" w:lineRule="auto"/>
        <w:jc w:val="both"/>
        <w:rPr>
          <w:rFonts w:ascii="Times New Roman" w:hAnsi="Times New Roman" w:cs="Times New Roman"/>
          <w:bCs/>
          <w:sz w:val="28"/>
          <w:szCs w:val="28"/>
          <w:u w:val="single"/>
        </w:rPr>
      </w:pPr>
      <w:r w:rsidRPr="00093579">
        <w:rPr>
          <w:rFonts w:ascii="Times New Roman" w:hAnsi="Times New Roman" w:cs="Times New Roman"/>
          <w:bCs/>
          <w:sz w:val="28"/>
          <w:szCs w:val="28"/>
          <w:u w:val="single"/>
        </w:rPr>
        <w:t>Northland, ONEC and Liberty</w:t>
      </w:r>
    </w:p>
    <w:p w14:paraId="6D365E4B" w14:textId="77777777" w:rsidR="00F31ED1" w:rsidRPr="00FA45EC" w:rsidRDefault="00F31ED1" w:rsidP="00A648B8">
      <w:pPr>
        <w:spacing w:after="0" w:line="240" w:lineRule="auto"/>
        <w:jc w:val="both"/>
        <w:rPr>
          <w:rFonts w:ascii="Times New Roman" w:hAnsi="Times New Roman" w:cs="Times New Roman"/>
          <w:bCs/>
          <w:sz w:val="28"/>
          <w:szCs w:val="28"/>
        </w:rPr>
      </w:pPr>
    </w:p>
    <w:p w14:paraId="4AC43742" w14:textId="6DC6D3C9" w:rsidR="00FF733F" w:rsidRPr="009C43A4" w:rsidRDefault="007C700A" w:rsidP="00444AB1">
      <w:pPr>
        <w:pStyle w:val="ListParagraph"/>
        <w:numPr>
          <w:ilvl w:val="0"/>
          <w:numId w:val="1"/>
        </w:numPr>
        <w:spacing w:after="0" w:line="240" w:lineRule="auto"/>
        <w:jc w:val="both"/>
        <w:rPr>
          <w:rFonts w:ascii="Times New Roman" w:hAnsi="Times New Roman" w:cs="Times New Roman"/>
          <w:bCs/>
          <w:sz w:val="28"/>
          <w:szCs w:val="28"/>
        </w:rPr>
      </w:pPr>
      <w:r w:rsidRPr="00FA45EC">
        <w:rPr>
          <w:rFonts w:ascii="Times New Roman" w:hAnsi="Times New Roman" w:cs="Times New Roman"/>
          <w:bCs/>
          <w:sz w:val="28"/>
          <w:szCs w:val="28"/>
        </w:rPr>
        <w:t>Nor</w:t>
      </w:r>
      <w:r w:rsidR="00655145" w:rsidRPr="00FA45EC">
        <w:rPr>
          <w:rFonts w:ascii="Times New Roman" w:hAnsi="Times New Roman" w:cs="Times New Roman"/>
          <w:bCs/>
          <w:sz w:val="28"/>
          <w:szCs w:val="28"/>
        </w:rPr>
        <w:t xml:space="preserve">thland </w:t>
      </w:r>
      <w:r w:rsidR="00B5227B">
        <w:rPr>
          <w:rFonts w:ascii="Times New Roman" w:hAnsi="Times New Roman" w:cs="Times New Roman"/>
          <w:bCs/>
          <w:sz w:val="28"/>
          <w:szCs w:val="28"/>
        </w:rPr>
        <w:t xml:space="preserve">is </w:t>
      </w:r>
      <w:r w:rsidR="00655145" w:rsidRPr="00FA45EC">
        <w:rPr>
          <w:rFonts w:ascii="Times New Roman" w:hAnsi="Times New Roman" w:cs="Times New Roman"/>
          <w:bCs/>
          <w:sz w:val="28"/>
          <w:szCs w:val="28"/>
        </w:rPr>
        <w:t>seeking solicitor</w:t>
      </w:r>
      <w:r w:rsidR="002C7CF2">
        <w:rPr>
          <w:rFonts w:ascii="Times New Roman" w:hAnsi="Times New Roman" w:cs="Times New Roman"/>
          <w:bCs/>
          <w:sz w:val="28"/>
          <w:szCs w:val="28"/>
        </w:rPr>
        <w:t xml:space="preserve"> and </w:t>
      </w:r>
      <w:r w:rsidR="00655145" w:rsidRPr="00FA45EC">
        <w:rPr>
          <w:rFonts w:ascii="Times New Roman" w:hAnsi="Times New Roman" w:cs="Times New Roman"/>
          <w:bCs/>
          <w:sz w:val="28"/>
          <w:szCs w:val="28"/>
        </w:rPr>
        <w:t>client costs against ONEC</w:t>
      </w:r>
      <w:r w:rsidR="00E13DED">
        <w:rPr>
          <w:rFonts w:ascii="Times New Roman" w:hAnsi="Times New Roman" w:cs="Times New Roman"/>
          <w:bCs/>
          <w:sz w:val="28"/>
          <w:szCs w:val="28"/>
        </w:rPr>
        <w:t xml:space="preserve">, or in </w:t>
      </w:r>
      <w:r w:rsidR="004E3E77">
        <w:rPr>
          <w:rFonts w:ascii="Times New Roman" w:hAnsi="Times New Roman" w:cs="Times New Roman"/>
          <w:bCs/>
          <w:sz w:val="28"/>
          <w:szCs w:val="28"/>
        </w:rPr>
        <w:t xml:space="preserve">the </w:t>
      </w:r>
      <w:r w:rsidR="004E3E77" w:rsidRPr="009C43A4">
        <w:rPr>
          <w:rFonts w:ascii="Times New Roman" w:hAnsi="Times New Roman" w:cs="Times New Roman"/>
          <w:bCs/>
          <w:sz w:val="28"/>
          <w:szCs w:val="28"/>
        </w:rPr>
        <w:t>alternative,</w:t>
      </w:r>
      <w:r w:rsidR="00E13DED" w:rsidRPr="009C43A4">
        <w:rPr>
          <w:rFonts w:ascii="Times New Roman" w:hAnsi="Times New Roman" w:cs="Times New Roman"/>
          <w:bCs/>
          <w:sz w:val="28"/>
          <w:szCs w:val="28"/>
        </w:rPr>
        <w:t xml:space="preserve"> enhanced costs,</w:t>
      </w:r>
      <w:r w:rsidR="00B5227B" w:rsidRPr="009C43A4">
        <w:rPr>
          <w:rFonts w:ascii="Times New Roman" w:hAnsi="Times New Roman" w:cs="Times New Roman"/>
          <w:bCs/>
          <w:sz w:val="28"/>
          <w:szCs w:val="28"/>
        </w:rPr>
        <w:t xml:space="preserve"> </w:t>
      </w:r>
      <w:r w:rsidR="00B165F4" w:rsidRPr="009C43A4">
        <w:rPr>
          <w:rFonts w:ascii="Times New Roman" w:hAnsi="Times New Roman" w:cs="Times New Roman"/>
          <w:bCs/>
          <w:sz w:val="28"/>
          <w:szCs w:val="28"/>
        </w:rPr>
        <w:t>claiming</w:t>
      </w:r>
      <w:r w:rsidR="00B5227B" w:rsidRPr="009C43A4">
        <w:rPr>
          <w:rFonts w:ascii="Times New Roman" w:hAnsi="Times New Roman" w:cs="Times New Roman"/>
          <w:bCs/>
          <w:sz w:val="28"/>
          <w:szCs w:val="28"/>
        </w:rPr>
        <w:t xml:space="preserve"> that ONEC’s claim against Northland was </w:t>
      </w:r>
      <w:r w:rsidR="00B5227B" w:rsidRPr="009C43A4">
        <w:rPr>
          <w:rFonts w:ascii="Times New Roman" w:hAnsi="Times New Roman" w:cs="Times New Roman"/>
          <w:bCs/>
          <w:sz w:val="28"/>
          <w:szCs w:val="28"/>
        </w:rPr>
        <w:lastRenderedPageBreak/>
        <w:t xml:space="preserve">baseless and </w:t>
      </w:r>
      <w:r w:rsidR="00FF733F" w:rsidRPr="009C43A4">
        <w:rPr>
          <w:rFonts w:ascii="Times New Roman" w:hAnsi="Times New Roman" w:cs="Times New Roman"/>
          <w:bCs/>
          <w:sz w:val="28"/>
          <w:szCs w:val="28"/>
        </w:rPr>
        <w:t>brought in bad faith to pre-emptively offset the amounts owed to Northland by ONEC</w:t>
      </w:r>
      <w:r w:rsidR="00A7492C" w:rsidRPr="009C43A4">
        <w:rPr>
          <w:rFonts w:ascii="Times New Roman" w:hAnsi="Times New Roman" w:cs="Times New Roman"/>
          <w:bCs/>
          <w:sz w:val="28"/>
          <w:szCs w:val="28"/>
        </w:rPr>
        <w:t>.</w:t>
      </w:r>
      <w:r w:rsidR="00C11F1F" w:rsidRPr="009C43A4">
        <w:rPr>
          <w:rFonts w:ascii="Times New Roman" w:hAnsi="Times New Roman" w:cs="Times New Roman"/>
          <w:bCs/>
          <w:sz w:val="28"/>
          <w:szCs w:val="28"/>
        </w:rPr>
        <w:t xml:space="preserve"> Northland also </w:t>
      </w:r>
      <w:r w:rsidR="00B165F4" w:rsidRPr="009C43A4">
        <w:rPr>
          <w:rFonts w:ascii="Times New Roman" w:hAnsi="Times New Roman" w:cs="Times New Roman"/>
          <w:bCs/>
          <w:sz w:val="28"/>
          <w:szCs w:val="28"/>
        </w:rPr>
        <w:t>argue</w:t>
      </w:r>
      <w:r w:rsidR="00C11F1F" w:rsidRPr="009C43A4">
        <w:rPr>
          <w:rFonts w:ascii="Times New Roman" w:hAnsi="Times New Roman" w:cs="Times New Roman"/>
          <w:bCs/>
          <w:sz w:val="28"/>
          <w:szCs w:val="28"/>
        </w:rPr>
        <w:t xml:space="preserve"> that ONEC and Liberty acted in bad faith in denying </w:t>
      </w:r>
      <w:r w:rsidR="008C2786" w:rsidRPr="009C43A4">
        <w:rPr>
          <w:rFonts w:ascii="Times New Roman" w:hAnsi="Times New Roman" w:cs="Times New Roman"/>
          <w:bCs/>
          <w:sz w:val="28"/>
          <w:szCs w:val="28"/>
        </w:rPr>
        <w:t>Northland’s claim under the IPD Contract and the Bond.</w:t>
      </w:r>
      <w:r w:rsidR="00221606" w:rsidRPr="009C43A4">
        <w:rPr>
          <w:rFonts w:ascii="Times New Roman" w:hAnsi="Times New Roman" w:cs="Times New Roman"/>
          <w:bCs/>
          <w:sz w:val="28"/>
          <w:szCs w:val="28"/>
        </w:rPr>
        <w:t xml:space="preserve"> </w:t>
      </w:r>
      <w:r w:rsidR="00BB1C29" w:rsidRPr="009C43A4">
        <w:rPr>
          <w:rFonts w:ascii="Times New Roman" w:hAnsi="Times New Roman" w:cs="Times New Roman"/>
          <w:bCs/>
          <w:sz w:val="28"/>
          <w:szCs w:val="28"/>
        </w:rPr>
        <w:t>ONEC</w:t>
      </w:r>
      <w:r w:rsidR="00C11F1F" w:rsidRPr="009C43A4">
        <w:rPr>
          <w:rFonts w:ascii="Times New Roman" w:hAnsi="Times New Roman" w:cs="Times New Roman"/>
          <w:bCs/>
          <w:sz w:val="28"/>
          <w:szCs w:val="28"/>
        </w:rPr>
        <w:t xml:space="preserve"> and Liberty</w:t>
      </w:r>
      <w:r w:rsidR="00594E82" w:rsidRPr="009C43A4">
        <w:rPr>
          <w:rFonts w:ascii="Times New Roman" w:hAnsi="Times New Roman" w:cs="Times New Roman"/>
          <w:bCs/>
          <w:sz w:val="28"/>
          <w:szCs w:val="28"/>
        </w:rPr>
        <w:t xml:space="preserve"> </w:t>
      </w:r>
      <w:r w:rsidR="0032419D" w:rsidRPr="009C43A4">
        <w:rPr>
          <w:rFonts w:ascii="Times New Roman" w:hAnsi="Times New Roman" w:cs="Times New Roman"/>
          <w:bCs/>
          <w:sz w:val="28"/>
          <w:szCs w:val="28"/>
        </w:rPr>
        <w:t xml:space="preserve">submit that there is no valid reason to order elevated costs in this case and that if </w:t>
      </w:r>
      <w:r w:rsidR="00BB1C29" w:rsidRPr="009C43A4">
        <w:rPr>
          <w:rFonts w:ascii="Times New Roman" w:hAnsi="Times New Roman" w:cs="Times New Roman"/>
          <w:bCs/>
          <w:sz w:val="28"/>
          <w:szCs w:val="28"/>
        </w:rPr>
        <w:t xml:space="preserve">any costs are ordered, it should </w:t>
      </w:r>
      <w:r w:rsidR="00CD6055" w:rsidRPr="009C43A4">
        <w:rPr>
          <w:rFonts w:ascii="Times New Roman" w:hAnsi="Times New Roman" w:cs="Times New Roman"/>
          <w:bCs/>
          <w:sz w:val="28"/>
          <w:szCs w:val="28"/>
        </w:rPr>
        <w:t>be on a party</w:t>
      </w:r>
      <w:r w:rsidR="009C43A4" w:rsidRPr="009C43A4">
        <w:rPr>
          <w:rFonts w:ascii="Times New Roman" w:hAnsi="Times New Roman" w:cs="Times New Roman"/>
          <w:bCs/>
          <w:sz w:val="28"/>
          <w:szCs w:val="28"/>
        </w:rPr>
        <w:t xml:space="preserve"> and </w:t>
      </w:r>
      <w:r w:rsidR="00CD6055" w:rsidRPr="009C43A4">
        <w:rPr>
          <w:rFonts w:ascii="Times New Roman" w:hAnsi="Times New Roman" w:cs="Times New Roman"/>
          <w:bCs/>
          <w:sz w:val="28"/>
          <w:szCs w:val="28"/>
        </w:rPr>
        <w:t xml:space="preserve">party scale. </w:t>
      </w:r>
    </w:p>
    <w:p w14:paraId="34284300" w14:textId="77777777" w:rsidR="0032419D" w:rsidRDefault="0032419D" w:rsidP="00A648B8">
      <w:pPr>
        <w:spacing w:after="0" w:line="240" w:lineRule="auto"/>
        <w:jc w:val="both"/>
        <w:rPr>
          <w:rFonts w:ascii="Times New Roman" w:hAnsi="Times New Roman" w:cs="Times New Roman"/>
          <w:bCs/>
          <w:sz w:val="28"/>
          <w:szCs w:val="28"/>
        </w:rPr>
      </w:pPr>
    </w:p>
    <w:p w14:paraId="2E9B9BF1" w14:textId="13E8D6B4" w:rsidR="00731F8D" w:rsidRPr="00E65A8D" w:rsidRDefault="0032419D" w:rsidP="00444AB1">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Considering that Northland is successful on some</w:t>
      </w:r>
      <w:r w:rsidR="004E3E77">
        <w:rPr>
          <w:rFonts w:ascii="Times New Roman" w:hAnsi="Times New Roman" w:cs="Times New Roman"/>
          <w:bCs/>
          <w:sz w:val="28"/>
          <w:szCs w:val="28"/>
        </w:rPr>
        <w:t>,</w:t>
      </w:r>
      <w:r>
        <w:rPr>
          <w:rFonts w:ascii="Times New Roman" w:hAnsi="Times New Roman" w:cs="Times New Roman"/>
          <w:bCs/>
          <w:sz w:val="28"/>
          <w:szCs w:val="28"/>
        </w:rPr>
        <w:t xml:space="preserve"> but not all</w:t>
      </w:r>
      <w:r w:rsidR="004E3E77">
        <w:rPr>
          <w:rFonts w:ascii="Times New Roman" w:hAnsi="Times New Roman" w:cs="Times New Roman"/>
          <w:bCs/>
          <w:sz w:val="28"/>
          <w:szCs w:val="28"/>
        </w:rPr>
        <w:t>,</w:t>
      </w:r>
      <w:r>
        <w:rPr>
          <w:rFonts w:ascii="Times New Roman" w:hAnsi="Times New Roman" w:cs="Times New Roman"/>
          <w:bCs/>
          <w:sz w:val="28"/>
          <w:szCs w:val="28"/>
        </w:rPr>
        <w:t xml:space="preserve"> aspects of the summary judgment application, I must first decide which party, if any</w:t>
      </w:r>
      <w:r w:rsidR="00E65A8D">
        <w:rPr>
          <w:rFonts w:ascii="Times New Roman" w:hAnsi="Times New Roman" w:cs="Times New Roman"/>
          <w:bCs/>
          <w:sz w:val="28"/>
          <w:szCs w:val="28"/>
        </w:rPr>
        <w:t>,</w:t>
      </w:r>
      <w:r>
        <w:rPr>
          <w:rFonts w:ascii="Times New Roman" w:hAnsi="Times New Roman" w:cs="Times New Roman"/>
          <w:bCs/>
          <w:sz w:val="28"/>
          <w:szCs w:val="28"/>
        </w:rPr>
        <w:t xml:space="preserve"> is entitled to costs. </w:t>
      </w:r>
    </w:p>
    <w:p w14:paraId="5FB255EC" w14:textId="77777777" w:rsidR="00731F8D" w:rsidRPr="009C43A4" w:rsidRDefault="00731F8D" w:rsidP="00A648B8">
      <w:pPr>
        <w:spacing w:after="0" w:line="240" w:lineRule="auto"/>
        <w:jc w:val="both"/>
        <w:rPr>
          <w:rFonts w:ascii="Times New Roman" w:hAnsi="Times New Roman" w:cs="Times New Roman"/>
          <w:bCs/>
          <w:sz w:val="28"/>
          <w:szCs w:val="28"/>
        </w:rPr>
      </w:pPr>
    </w:p>
    <w:p w14:paraId="0D1DEEBF" w14:textId="4F8F71FC" w:rsidR="00731F8D" w:rsidRPr="009C43A4" w:rsidRDefault="00731F8D" w:rsidP="00444AB1">
      <w:pPr>
        <w:pStyle w:val="ListParagraph"/>
        <w:numPr>
          <w:ilvl w:val="0"/>
          <w:numId w:val="1"/>
        </w:numPr>
        <w:spacing w:after="0" w:line="240" w:lineRule="auto"/>
        <w:jc w:val="both"/>
        <w:rPr>
          <w:rFonts w:ascii="Times New Roman" w:hAnsi="Times New Roman" w:cs="Times New Roman"/>
          <w:bCs/>
          <w:sz w:val="28"/>
          <w:szCs w:val="28"/>
        </w:rPr>
      </w:pPr>
      <w:r w:rsidRPr="009C43A4">
        <w:rPr>
          <w:rFonts w:ascii="Times New Roman" w:hAnsi="Times New Roman" w:cs="Times New Roman"/>
          <w:bCs/>
          <w:sz w:val="28"/>
          <w:szCs w:val="28"/>
        </w:rPr>
        <w:t xml:space="preserve">In </w:t>
      </w:r>
      <w:r w:rsidRPr="009C43A4">
        <w:rPr>
          <w:rFonts w:ascii="Times New Roman" w:hAnsi="Times New Roman" w:cs="Times New Roman"/>
          <w:bCs/>
          <w:i/>
          <w:iCs/>
          <w:sz w:val="28"/>
          <w:szCs w:val="28"/>
        </w:rPr>
        <w:t>Carter v Northwest Territories Power Corp.</w:t>
      </w:r>
      <w:r w:rsidRPr="009C43A4">
        <w:rPr>
          <w:rFonts w:ascii="Times New Roman" w:hAnsi="Times New Roman" w:cs="Times New Roman"/>
          <w:bCs/>
          <w:sz w:val="28"/>
          <w:szCs w:val="28"/>
        </w:rPr>
        <w:t xml:space="preserve">, 2014 NWTSC 72, Shaner </w:t>
      </w:r>
      <w:r w:rsidR="00FF24F2" w:rsidRPr="009C43A4">
        <w:rPr>
          <w:rFonts w:ascii="Times New Roman" w:hAnsi="Times New Roman" w:cs="Times New Roman"/>
          <w:bCs/>
          <w:sz w:val="28"/>
          <w:szCs w:val="28"/>
        </w:rPr>
        <w:t>J.</w:t>
      </w:r>
      <w:r w:rsidR="00D037AF" w:rsidRPr="009C43A4">
        <w:rPr>
          <w:rFonts w:ascii="Times New Roman" w:hAnsi="Times New Roman" w:cs="Times New Roman"/>
          <w:bCs/>
          <w:sz w:val="28"/>
          <w:szCs w:val="28"/>
        </w:rPr>
        <w:t xml:space="preserve"> (</w:t>
      </w:r>
      <w:r w:rsidR="00FF24F2" w:rsidRPr="009C43A4">
        <w:rPr>
          <w:rFonts w:ascii="Times New Roman" w:hAnsi="Times New Roman" w:cs="Times New Roman"/>
          <w:bCs/>
          <w:sz w:val="28"/>
          <w:szCs w:val="28"/>
        </w:rPr>
        <w:t>as she was then</w:t>
      </w:r>
      <w:r w:rsidR="00D037AF" w:rsidRPr="009C43A4">
        <w:rPr>
          <w:rFonts w:ascii="Times New Roman" w:hAnsi="Times New Roman" w:cs="Times New Roman"/>
          <w:bCs/>
          <w:sz w:val="28"/>
          <w:szCs w:val="28"/>
        </w:rPr>
        <w:t>)</w:t>
      </w:r>
      <w:r w:rsidR="00FF24F2" w:rsidRPr="009C43A4">
        <w:rPr>
          <w:rFonts w:ascii="Times New Roman" w:hAnsi="Times New Roman" w:cs="Times New Roman"/>
          <w:bCs/>
          <w:sz w:val="28"/>
          <w:szCs w:val="28"/>
        </w:rPr>
        <w:t xml:space="preserve"> </w:t>
      </w:r>
      <w:r w:rsidRPr="009C43A4">
        <w:rPr>
          <w:rFonts w:ascii="Times New Roman" w:hAnsi="Times New Roman" w:cs="Times New Roman"/>
          <w:bCs/>
          <w:sz w:val="28"/>
          <w:szCs w:val="28"/>
        </w:rPr>
        <w:t>examine</w:t>
      </w:r>
      <w:r w:rsidR="00D037AF" w:rsidRPr="009C43A4">
        <w:rPr>
          <w:rFonts w:ascii="Times New Roman" w:hAnsi="Times New Roman" w:cs="Times New Roman"/>
          <w:bCs/>
          <w:sz w:val="28"/>
          <w:szCs w:val="28"/>
        </w:rPr>
        <w:t>d</w:t>
      </w:r>
      <w:r w:rsidRPr="009C43A4">
        <w:rPr>
          <w:rFonts w:ascii="Times New Roman" w:hAnsi="Times New Roman" w:cs="Times New Roman"/>
          <w:bCs/>
          <w:sz w:val="28"/>
          <w:szCs w:val="28"/>
        </w:rPr>
        <w:t xml:space="preserve"> how to determine who was the successful party in a litigation. She recognize</w:t>
      </w:r>
      <w:r w:rsidR="00D037AF" w:rsidRPr="009C43A4">
        <w:rPr>
          <w:rFonts w:ascii="Times New Roman" w:hAnsi="Times New Roman" w:cs="Times New Roman"/>
          <w:bCs/>
          <w:sz w:val="28"/>
          <w:szCs w:val="28"/>
        </w:rPr>
        <w:t>d</w:t>
      </w:r>
      <w:r w:rsidRPr="009C43A4">
        <w:rPr>
          <w:rFonts w:ascii="Times New Roman" w:hAnsi="Times New Roman" w:cs="Times New Roman"/>
          <w:bCs/>
          <w:sz w:val="28"/>
          <w:szCs w:val="28"/>
        </w:rPr>
        <w:t xml:space="preserve"> that </w:t>
      </w:r>
      <w:r w:rsidR="009B49F2" w:rsidRPr="009C43A4">
        <w:rPr>
          <w:rFonts w:ascii="Times New Roman" w:hAnsi="Times New Roman" w:cs="Times New Roman"/>
          <w:bCs/>
          <w:sz w:val="28"/>
          <w:szCs w:val="28"/>
        </w:rPr>
        <w:t>it can be a challenging exercise</w:t>
      </w:r>
      <w:r w:rsidRPr="009C43A4">
        <w:rPr>
          <w:rFonts w:ascii="Times New Roman" w:hAnsi="Times New Roman" w:cs="Times New Roman"/>
          <w:bCs/>
          <w:sz w:val="28"/>
          <w:szCs w:val="28"/>
        </w:rPr>
        <w:t xml:space="preserve">. At paragraph 21, she </w:t>
      </w:r>
      <w:r w:rsidR="009B49F2" w:rsidRPr="009C43A4">
        <w:rPr>
          <w:rFonts w:ascii="Times New Roman" w:hAnsi="Times New Roman" w:cs="Times New Roman"/>
          <w:bCs/>
          <w:sz w:val="28"/>
          <w:szCs w:val="28"/>
        </w:rPr>
        <w:t>wr</w:t>
      </w:r>
      <w:r w:rsidR="00D037AF" w:rsidRPr="009C43A4">
        <w:rPr>
          <w:rFonts w:ascii="Times New Roman" w:hAnsi="Times New Roman" w:cs="Times New Roman"/>
          <w:bCs/>
          <w:sz w:val="28"/>
          <w:szCs w:val="28"/>
        </w:rPr>
        <w:t>ote</w:t>
      </w:r>
      <w:r w:rsidRPr="009C43A4">
        <w:rPr>
          <w:rFonts w:ascii="Times New Roman" w:hAnsi="Times New Roman" w:cs="Times New Roman"/>
          <w:bCs/>
          <w:sz w:val="28"/>
          <w:szCs w:val="28"/>
        </w:rPr>
        <w:t xml:space="preserve">: </w:t>
      </w:r>
    </w:p>
    <w:p w14:paraId="505CCA10" w14:textId="77777777" w:rsidR="00731F8D" w:rsidRPr="00731F8D" w:rsidRDefault="00731F8D" w:rsidP="00731F8D">
      <w:pPr>
        <w:spacing w:after="0" w:line="240" w:lineRule="auto"/>
        <w:jc w:val="both"/>
        <w:rPr>
          <w:rFonts w:ascii="Times New Roman" w:hAnsi="Times New Roman" w:cs="Times New Roman"/>
          <w:bCs/>
          <w:sz w:val="28"/>
          <w:szCs w:val="28"/>
        </w:rPr>
      </w:pPr>
    </w:p>
    <w:p w14:paraId="12C095E4" w14:textId="7266E7D8" w:rsidR="00731F8D" w:rsidRPr="00263368" w:rsidRDefault="00A14056" w:rsidP="00A14056">
      <w:pPr>
        <w:spacing w:after="0" w:line="240" w:lineRule="auto"/>
        <w:ind w:left="720" w:right="855"/>
        <w:jc w:val="both"/>
        <w:rPr>
          <w:rFonts w:ascii="Times New Roman" w:hAnsi="Times New Roman" w:cs="Times New Roman"/>
          <w:bCs/>
          <w:sz w:val="24"/>
          <w:szCs w:val="24"/>
        </w:rPr>
      </w:pPr>
      <w:r>
        <w:rPr>
          <w:rFonts w:ascii="Times New Roman" w:hAnsi="Times New Roman" w:cs="Times New Roman"/>
          <w:bCs/>
          <w:sz w:val="24"/>
          <w:szCs w:val="24"/>
        </w:rPr>
        <w:t>[T]</w:t>
      </w:r>
      <w:r w:rsidR="00731F8D" w:rsidRPr="00263368">
        <w:rPr>
          <w:rFonts w:ascii="Times New Roman" w:hAnsi="Times New Roman" w:cs="Times New Roman"/>
          <w:bCs/>
          <w:sz w:val="24"/>
          <w:szCs w:val="24"/>
        </w:rPr>
        <w:t xml:space="preserve">hat a party is not successful on </w:t>
      </w:r>
      <w:proofErr w:type="gramStart"/>
      <w:r w:rsidR="00731F8D" w:rsidRPr="00263368">
        <w:rPr>
          <w:rFonts w:ascii="Times New Roman" w:hAnsi="Times New Roman" w:cs="Times New Roman"/>
          <w:bCs/>
          <w:sz w:val="24"/>
          <w:szCs w:val="24"/>
        </w:rPr>
        <w:t>all of</w:t>
      </w:r>
      <w:proofErr w:type="gramEnd"/>
      <w:r w:rsidR="00731F8D" w:rsidRPr="00263368">
        <w:rPr>
          <w:rFonts w:ascii="Times New Roman" w:hAnsi="Times New Roman" w:cs="Times New Roman"/>
          <w:bCs/>
          <w:sz w:val="24"/>
          <w:szCs w:val="24"/>
        </w:rPr>
        <w:t xml:space="preserve"> the issues it brings before the court does not necessarily equate to divided success.  A party that succeeds on only some issues may nevertheless be considered “successful”. The Court must determine which, if any, party prevailed by examining the entire event. </w:t>
      </w:r>
    </w:p>
    <w:p w14:paraId="014309A6" w14:textId="77777777" w:rsidR="00731F8D" w:rsidRPr="00731F8D" w:rsidRDefault="00731F8D" w:rsidP="00731F8D">
      <w:pPr>
        <w:spacing w:after="0" w:line="240" w:lineRule="auto"/>
        <w:jc w:val="both"/>
        <w:rPr>
          <w:rFonts w:ascii="Times New Roman" w:hAnsi="Times New Roman" w:cs="Times New Roman"/>
          <w:bCs/>
          <w:sz w:val="28"/>
          <w:szCs w:val="28"/>
        </w:rPr>
      </w:pPr>
    </w:p>
    <w:p w14:paraId="3D12AC07" w14:textId="7383763D" w:rsidR="00731F8D" w:rsidRPr="00731F8D" w:rsidRDefault="00731F8D" w:rsidP="00FE14C2">
      <w:pPr>
        <w:pStyle w:val="ListParagraph"/>
        <w:spacing w:after="0" w:line="240" w:lineRule="auto"/>
        <w:ind w:left="0"/>
        <w:jc w:val="both"/>
        <w:rPr>
          <w:rFonts w:ascii="Times New Roman" w:hAnsi="Times New Roman" w:cs="Times New Roman"/>
          <w:bCs/>
          <w:sz w:val="28"/>
          <w:szCs w:val="28"/>
        </w:rPr>
      </w:pPr>
      <w:r w:rsidRPr="00731F8D">
        <w:rPr>
          <w:rFonts w:ascii="Times New Roman" w:hAnsi="Times New Roman" w:cs="Times New Roman"/>
          <w:bCs/>
          <w:sz w:val="28"/>
          <w:szCs w:val="28"/>
        </w:rPr>
        <w:t xml:space="preserve">Quoting with approval </w:t>
      </w:r>
      <w:r w:rsidRPr="00EE06B0">
        <w:rPr>
          <w:rFonts w:ascii="Times New Roman" w:hAnsi="Times New Roman" w:cs="Times New Roman"/>
          <w:bCs/>
          <w:i/>
          <w:iCs/>
          <w:sz w:val="28"/>
          <w:szCs w:val="28"/>
        </w:rPr>
        <w:t>Fotheringham v Fotheringham</w:t>
      </w:r>
      <w:r w:rsidRPr="00731F8D">
        <w:rPr>
          <w:rFonts w:ascii="Times New Roman" w:hAnsi="Times New Roman" w:cs="Times New Roman"/>
          <w:bCs/>
          <w:sz w:val="28"/>
          <w:szCs w:val="28"/>
        </w:rPr>
        <w:t>, 2001 BCSC 1321, she adopted an approach focused on substantial success when looking at all the disputed matters globally.</w:t>
      </w:r>
      <w:r w:rsidR="00EE06B0">
        <w:rPr>
          <w:rFonts w:ascii="Times New Roman" w:hAnsi="Times New Roman" w:cs="Times New Roman"/>
          <w:bCs/>
          <w:sz w:val="28"/>
          <w:szCs w:val="28"/>
        </w:rPr>
        <w:t xml:space="preserve"> </w:t>
      </w:r>
      <w:r w:rsidRPr="00731F8D">
        <w:rPr>
          <w:rFonts w:ascii="Times New Roman" w:hAnsi="Times New Roman" w:cs="Times New Roman"/>
          <w:bCs/>
          <w:sz w:val="28"/>
          <w:szCs w:val="28"/>
        </w:rPr>
        <w:t>The question is</w:t>
      </w:r>
      <w:r w:rsidR="00FE14C2">
        <w:rPr>
          <w:rFonts w:ascii="Times New Roman" w:hAnsi="Times New Roman" w:cs="Times New Roman"/>
          <w:bCs/>
          <w:sz w:val="28"/>
          <w:szCs w:val="28"/>
        </w:rPr>
        <w:t xml:space="preserve"> </w:t>
      </w:r>
      <w:r w:rsidRPr="00731F8D">
        <w:rPr>
          <w:rFonts w:ascii="Times New Roman" w:hAnsi="Times New Roman" w:cs="Times New Roman"/>
          <w:bCs/>
          <w:sz w:val="28"/>
          <w:szCs w:val="28"/>
        </w:rPr>
        <w:t>who was substantially successful</w:t>
      </w:r>
      <w:r w:rsidR="00FE14C2">
        <w:rPr>
          <w:rFonts w:ascii="Times New Roman" w:hAnsi="Times New Roman" w:cs="Times New Roman"/>
          <w:bCs/>
          <w:sz w:val="28"/>
          <w:szCs w:val="28"/>
        </w:rPr>
        <w:t xml:space="preserve"> l</w:t>
      </w:r>
      <w:r w:rsidR="00FE14C2" w:rsidRPr="00731F8D">
        <w:rPr>
          <w:rFonts w:ascii="Times New Roman" w:hAnsi="Times New Roman" w:cs="Times New Roman"/>
          <w:bCs/>
          <w:sz w:val="28"/>
          <w:szCs w:val="28"/>
        </w:rPr>
        <w:t>ooking at the entire event</w:t>
      </w:r>
      <w:r w:rsidR="00EE06B0">
        <w:rPr>
          <w:rFonts w:ascii="Times New Roman" w:hAnsi="Times New Roman" w:cs="Times New Roman"/>
          <w:bCs/>
          <w:sz w:val="28"/>
          <w:szCs w:val="28"/>
        </w:rPr>
        <w:t xml:space="preserve">. </w:t>
      </w:r>
    </w:p>
    <w:p w14:paraId="105E6F9B" w14:textId="77777777" w:rsidR="00731F8D" w:rsidRPr="00731F8D" w:rsidRDefault="00731F8D" w:rsidP="00731F8D">
      <w:pPr>
        <w:spacing w:after="0" w:line="240" w:lineRule="auto"/>
        <w:jc w:val="both"/>
        <w:rPr>
          <w:rFonts w:ascii="Times New Roman" w:hAnsi="Times New Roman" w:cs="Times New Roman"/>
          <w:bCs/>
          <w:sz w:val="28"/>
          <w:szCs w:val="28"/>
        </w:rPr>
      </w:pPr>
    </w:p>
    <w:p w14:paraId="40453778" w14:textId="5794DF91" w:rsidR="00F25BA3" w:rsidRPr="003876C1" w:rsidRDefault="00731F8D" w:rsidP="00444AB1">
      <w:pPr>
        <w:pStyle w:val="ListParagraph"/>
        <w:numPr>
          <w:ilvl w:val="0"/>
          <w:numId w:val="1"/>
        </w:numPr>
        <w:spacing w:after="0" w:line="240" w:lineRule="auto"/>
        <w:jc w:val="both"/>
        <w:rPr>
          <w:rFonts w:ascii="Times New Roman" w:hAnsi="Times New Roman" w:cs="Times New Roman"/>
          <w:bCs/>
          <w:sz w:val="28"/>
          <w:szCs w:val="28"/>
        </w:rPr>
      </w:pPr>
      <w:r w:rsidRPr="003876C1">
        <w:rPr>
          <w:rFonts w:ascii="Times New Roman" w:hAnsi="Times New Roman" w:cs="Times New Roman"/>
          <w:bCs/>
          <w:sz w:val="28"/>
          <w:szCs w:val="28"/>
        </w:rPr>
        <w:t>Guided by this framework,</w:t>
      </w:r>
      <w:r w:rsidR="00F25BA3" w:rsidRPr="003876C1">
        <w:rPr>
          <w:rFonts w:ascii="Times New Roman" w:hAnsi="Times New Roman" w:cs="Times New Roman"/>
          <w:bCs/>
          <w:sz w:val="28"/>
          <w:szCs w:val="28"/>
        </w:rPr>
        <w:t xml:space="preserve"> </w:t>
      </w:r>
      <w:r w:rsidR="00E65A8D" w:rsidRPr="003876C1">
        <w:rPr>
          <w:rFonts w:ascii="Times New Roman" w:hAnsi="Times New Roman" w:cs="Times New Roman"/>
          <w:bCs/>
          <w:sz w:val="28"/>
          <w:szCs w:val="28"/>
        </w:rPr>
        <w:t>I find that</w:t>
      </w:r>
      <w:r w:rsidR="00830772" w:rsidRPr="003876C1">
        <w:rPr>
          <w:rFonts w:ascii="Times New Roman" w:hAnsi="Times New Roman" w:cs="Times New Roman"/>
          <w:bCs/>
          <w:sz w:val="28"/>
          <w:szCs w:val="28"/>
        </w:rPr>
        <w:t>,</w:t>
      </w:r>
      <w:r w:rsidR="00E65A8D" w:rsidRPr="003876C1">
        <w:rPr>
          <w:rFonts w:ascii="Times New Roman" w:hAnsi="Times New Roman" w:cs="Times New Roman"/>
          <w:bCs/>
          <w:sz w:val="28"/>
          <w:szCs w:val="28"/>
        </w:rPr>
        <w:t xml:space="preserve"> </w:t>
      </w:r>
      <w:r w:rsidR="006A1F32" w:rsidRPr="003876C1">
        <w:rPr>
          <w:rFonts w:ascii="Times New Roman" w:hAnsi="Times New Roman" w:cs="Times New Roman"/>
          <w:bCs/>
          <w:sz w:val="28"/>
          <w:szCs w:val="28"/>
        </w:rPr>
        <w:t>vis-à-vis ONEC and Liberty</w:t>
      </w:r>
      <w:r w:rsidR="003C59D0" w:rsidRPr="003876C1">
        <w:rPr>
          <w:rFonts w:ascii="Times New Roman" w:hAnsi="Times New Roman" w:cs="Times New Roman"/>
          <w:bCs/>
          <w:sz w:val="28"/>
          <w:szCs w:val="28"/>
        </w:rPr>
        <w:t>,</w:t>
      </w:r>
      <w:r w:rsidR="006A1F32" w:rsidRPr="003876C1">
        <w:rPr>
          <w:rFonts w:ascii="Times New Roman" w:hAnsi="Times New Roman" w:cs="Times New Roman"/>
          <w:bCs/>
          <w:sz w:val="28"/>
          <w:szCs w:val="28"/>
        </w:rPr>
        <w:t xml:space="preserve"> </w:t>
      </w:r>
      <w:r w:rsidR="00E65A8D" w:rsidRPr="003876C1">
        <w:rPr>
          <w:rFonts w:ascii="Times New Roman" w:hAnsi="Times New Roman" w:cs="Times New Roman"/>
          <w:bCs/>
          <w:sz w:val="28"/>
          <w:szCs w:val="28"/>
        </w:rPr>
        <w:t xml:space="preserve">Northland was </w:t>
      </w:r>
      <w:r w:rsidR="00F25BA3" w:rsidRPr="003876C1">
        <w:rPr>
          <w:rFonts w:ascii="Times New Roman" w:hAnsi="Times New Roman" w:cs="Times New Roman"/>
          <w:bCs/>
          <w:sz w:val="28"/>
          <w:szCs w:val="28"/>
        </w:rPr>
        <w:t>substantially</w:t>
      </w:r>
      <w:r w:rsidR="00E65A8D" w:rsidRPr="003876C1">
        <w:rPr>
          <w:rFonts w:ascii="Times New Roman" w:hAnsi="Times New Roman" w:cs="Times New Roman"/>
          <w:bCs/>
          <w:sz w:val="28"/>
          <w:szCs w:val="28"/>
        </w:rPr>
        <w:t xml:space="preserve"> successful</w:t>
      </w:r>
      <w:r w:rsidR="00F25BA3" w:rsidRPr="003876C1">
        <w:rPr>
          <w:rFonts w:ascii="Times New Roman" w:hAnsi="Times New Roman" w:cs="Times New Roman"/>
          <w:bCs/>
          <w:sz w:val="28"/>
          <w:szCs w:val="28"/>
        </w:rPr>
        <w:t xml:space="preserve"> on this application</w:t>
      </w:r>
      <w:r w:rsidR="00E65A8D" w:rsidRPr="003876C1">
        <w:rPr>
          <w:rFonts w:ascii="Times New Roman" w:hAnsi="Times New Roman" w:cs="Times New Roman"/>
          <w:bCs/>
          <w:sz w:val="28"/>
          <w:szCs w:val="28"/>
        </w:rPr>
        <w:t xml:space="preserve">. </w:t>
      </w:r>
      <w:r w:rsidR="0030543F" w:rsidRPr="003876C1">
        <w:rPr>
          <w:rFonts w:ascii="Times New Roman" w:hAnsi="Times New Roman" w:cs="Times New Roman"/>
          <w:bCs/>
          <w:sz w:val="28"/>
          <w:szCs w:val="28"/>
        </w:rPr>
        <w:t>Northland</w:t>
      </w:r>
      <w:r w:rsidR="003C59D0" w:rsidRPr="003876C1">
        <w:rPr>
          <w:rFonts w:ascii="Times New Roman" w:hAnsi="Times New Roman" w:cs="Times New Roman"/>
          <w:bCs/>
          <w:sz w:val="28"/>
          <w:szCs w:val="28"/>
        </w:rPr>
        <w:t>’s position prevail</w:t>
      </w:r>
      <w:r w:rsidR="00830772" w:rsidRPr="003876C1">
        <w:rPr>
          <w:rFonts w:ascii="Times New Roman" w:hAnsi="Times New Roman" w:cs="Times New Roman"/>
          <w:bCs/>
          <w:sz w:val="28"/>
          <w:szCs w:val="28"/>
        </w:rPr>
        <w:t>s</w:t>
      </w:r>
      <w:r w:rsidR="003C59D0" w:rsidRPr="003876C1">
        <w:rPr>
          <w:rFonts w:ascii="Times New Roman" w:hAnsi="Times New Roman" w:cs="Times New Roman"/>
          <w:bCs/>
          <w:sz w:val="28"/>
          <w:szCs w:val="28"/>
        </w:rPr>
        <w:t xml:space="preserve"> </w:t>
      </w:r>
      <w:r w:rsidR="006A1F32" w:rsidRPr="003876C1">
        <w:rPr>
          <w:rFonts w:ascii="Times New Roman" w:hAnsi="Times New Roman" w:cs="Times New Roman"/>
          <w:bCs/>
          <w:sz w:val="28"/>
          <w:szCs w:val="28"/>
        </w:rPr>
        <w:t>with respect to ONEC’s claim and</w:t>
      </w:r>
      <w:r w:rsidR="004F7C3A" w:rsidRPr="003876C1">
        <w:rPr>
          <w:rFonts w:ascii="Times New Roman" w:hAnsi="Times New Roman" w:cs="Times New Roman"/>
          <w:bCs/>
          <w:sz w:val="28"/>
          <w:szCs w:val="28"/>
        </w:rPr>
        <w:t xml:space="preserve"> </w:t>
      </w:r>
      <w:r w:rsidR="003C394E" w:rsidRPr="003876C1">
        <w:rPr>
          <w:rFonts w:ascii="Times New Roman" w:hAnsi="Times New Roman" w:cs="Times New Roman"/>
          <w:bCs/>
          <w:sz w:val="28"/>
          <w:szCs w:val="28"/>
        </w:rPr>
        <w:t>with respect to</w:t>
      </w:r>
      <w:r w:rsidR="004F7C3A" w:rsidRPr="003876C1">
        <w:rPr>
          <w:rFonts w:ascii="Times New Roman" w:hAnsi="Times New Roman" w:cs="Times New Roman"/>
          <w:bCs/>
          <w:sz w:val="28"/>
          <w:szCs w:val="28"/>
        </w:rPr>
        <w:t xml:space="preserve"> the </w:t>
      </w:r>
      <w:r w:rsidR="0009271E" w:rsidRPr="003876C1">
        <w:rPr>
          <w:rFonts w:ascii="Times New Roman" w:hAnsi="Times New Roman" w:cs="Times New Roman"/>
          <w:bCs/>
          <w:sz w:val="28"/>
          <w:szCs w:val="28"/>
        </w:rPr>
        <w:t>c</w:t>
      </w:r>
      <w:r w:rsidR="004D7CFA" w:rsidRPr="003876C1">
        <w:rPr>
          <w:rFonts w:ascii="Times New Roman" w:hAnsi="Times New Roman" w:cs="Times New Roman"/>
          <w:bCs/>
          <w:sz w:val="28"/>
          <w:szCs w:val="28"/>
        </w:rPr>
        <w:t>ounterclaim</w:t>
      </w:r>
      <w:r w:rsidR="00854632" w:rsidRPr="003876C1">
        <w:rPr>
          <w:rFonts w:ascii="Times New Roman" w:hAnsi="Times New Roman" w:cs="Times New Roman"/>
          <w:bCs/>
          <w:sz w:val="28"/>
          <w:szCs w:val="28"/>
        </w:rPr>
        <w:t>,</w:t>
      </w:r>
      <w:r w:rsidR="006A1F32" w:rsidRPr="003876C1">
        <w:rPr>
          <w:rFonts w:ascii="Times New Roman" w:hAnsi="Times New Roman" w:cs="Times New Roman"/>
          <w:bCs/>
          <w:sz w:val="28"/>
          <w:szCs w:val="28"/>
        </w:rPr>
        <w:t xml:space="preserve"> </w:t>
      </w:r>
      <w:r w:rsidR="004F7C3A" w:rsidRPr="003876C1">
        <w:rPr>
          <w:rFonts w:ascii="Times New Roman" w:hAnsi="Times New Roman" w:cs="Times New Roman"/>
          <w:bCs/>
          <w:sz w:val="28"/>
          <w:szCs w:val="28"/>
        </w:rPr>
        <w:t>on the</w:t>
      </w:r>
      <w:r w:rsidR="000F1A3A" w:rsidRPr="003876C1">
        <w:rPr>
          <w:rFonts w:ascii="Times New Roman" w:hAnsi="Times New Roman" w:cs="Times New Roman"/>
          <w:bCs/>
          <w:sz w:val="28"/>
          <w:szCs w:val="28"/>
        </w:rPr>
        <w:t xml:space="preserve"> liability of both ONEC and Liberty. The only issue that I </w:t>
      </w:r>
      <w:r w:rsidR="00830772" w:rsidRPr="003876C1">
        <w:rPr>
          <w:rFonts w:ascii="Times New Roman" w:hAnsi="Times New Roman" w:cs="Times New Roman"/>
          <w:bCs/>
          <w:sz w:val="28"/>
          <w:szCs w:val="28"/>
        </w:rPr>
        <w:t>find</w:t>
      </w:r>
      <w:r w:rsidR="000F1A3A" w:rsidRPr="003876C1">
        <w:rPr>
          <w:rFonts w:ascii="Times New Roman" w:hAnsi="Times New Roman" w:cs="Times New Roman"/>
          <w:bCs/>
          <w:sz w:val="28"/>
          <w:szCs w:val="28"/>
        </w:rPr>
        <w:t xml:space="preserve"> require</w:t>
      </w:r>
      <w:r w:rsidR="00C4189B" w:rsidRPr="003876C1">
        <w:rPr>
          <w:rFonts w:ascii="Times New Roman" w:hAnsi="Times New Roman" w:cs="Times New Roman"/>
          <w:bCs/>
          <w:sz w:val="28"/>
          <w:szCs w:val="28"/>
        </w:rPr>
        <w:t>s</w:t>
      </w:r>
      <w:r w:rsidR="000F1A3A" w:rsidRPr="003876C1">
        <w:rPr>
          <w:rFonts w:ascii="Times New Roman" w:hAnsi="Times New Roman" w:cs="Times New Roman"/>
          <w:bCs/>
          <w:sz w:val="28"/>
          <w:szCs w:val="28"/>
        </w:rPr>
        <w:t xml:space="preserve"> a trial </w:t>
      </w:r>
      <w:r w:rsidR="00C4189B" w:rsidRPr="003876C1">
        <w:rPr>
          <w:rFonts w:ascii="Times New Roman" w:hAnsi="Times New Roman" w:cs="Times New Roman"/>
          <w:bCs/>
          <w:sz w:val="28"/>
          <w:szCs w:val="28"/>
        </w:rPr>
        <w:t>is</w:t>
      </w:r>
      <w:r w:rsidR="000F1A3A" w:rsidRPr="003876C1">
        <w:rPr>
          <w:rFonts w:ascii="Times New Roman" w:hAnsi="Times New Roman" w:cs="Times New Roman"/>
          <w:bCs/>
          <w:sz w:val="28"/>
          <w:szCs w:val="28"/>
        </w:rPr>
        <w:t xml:space="preserve"> the scale of damages. Accordingly, Northland is entitled to costs. </w:t>
      </w:r>
    </w:p>
    <w:p w14:paraId="228E7C3D" w14:textId="77777777" w:rsidR="00F25BA3" w:rsidRDefault="00F25BA3" w:rsidP="00E65A8D">
      <w:pPr>
        <w:spacing w:after="0" w:line="240" w:lineRule="auto"/>
        <w:jc w:val="both"/>
        <w:rPr>
          <w:rFonts w:ascii="Times New Roman" w:hAnsi="Times New Roman" w:cs="Times New Roman"/>
          <w:bCs/>
          <w:sz w:val="28"/>
          <w:szCs w:val="28"/>
        </w:rPr>
      </w:pPr>
    </w:p>
    <w:p w14:paraId="0A88D1F0" w14:textId="129BC571" w:rsidR="00F25BA3" w:rsidRPr="005B1957" w:rsidRDefault="00F25BA3" w:rsidP="00444AB1">
      <w:pPr>
        <w:pStyle w:val="ListParagraph"/>
        <w:numPr>
          <w:ilvl w:val="0"/>
          <w:numId w:val="1"/>
        </w:numPr>
        <w:spacing w:after="0" w:line="240" w:lineRule="auto"/>
        <w:jc w:val="both"/>
        <w:rPr>
          <w:rFonts w:ascii="Times New Roman" w:hAnsi="Times New Roman" w:cs="Times New Roman"/>
          <w:bCs/>
          <w:sz w:val="28"/>
          <w:szCs w:val="28"/>
        </w:rPr>
      </w:pPr>
      <w:r w:rsidRPr="005B1957">
        <w:rPr>
          <w:rFonts w:ascii="Times New Roman" w:hAnsi="Times New Roman" w:cs="Times New Roman"/>
          <w:bCs/>
          <w:sz w:val="28"/>
          <w:szCs w:val="28"/>
        </w:rPr>
        <w:t xml:space="preserve">The next question is </w:t>
      </w:r>
      <w:r w:rsidR="00DE7221" w:rsidRPr="005B1957">
        <w:rPr>
          <w:rFonts w:ascii="Times New Roman" w:hAnsi="Times New Roman" w:cs="Times New Roman"/>
          <w:bCs/>
          <w:sz w:val="28"/>
          <w:szCs w:val="28"/>
        </w:rPr>
        <w:t xml:space="preserve">what </w:t>
      </w:r>
      <w:r w:rsidR="000505B8" w:rsidRPr="005B1957">
        <w:rPr>
          <w:rFonts w:ascii="Times New Roman" w:hAnsi="Times New Roman" w:cs="Times New Roman"/>
          <w:bCs/>
          <w:sz w:val="28"/>
          <w:szCs w:val="28"/>
        </w:rPr>
        <w:t>the appropriate scale of costs in this case is:</w:t>
      </w:r>
      <w:r w:rsidR="000F1A3A" w:rsidRPr="005B1957">
        <w:rPr>
          <w:rFonts w:ascii="Times New Roman" w:hAnsi="Times New Roman" w:cs="Times New Roman"/>
          <w:bCs/>
          <w:sz w:val="28"/>
          <w:szCs w:val="28"/>
        </w:rPr>
        <w:t xml:space="preserve"> solicitor</w:t>
      </w:r>
      <w:r w:rsidR="004C0A5F" w:rsidRPr="005B1957">
        <w:rPr>
          <w:rFonts w:ascii="Times New Roman" w:hAnsi="Times New Roman" w:cs="Times New Roman"/>
          <w:bCs/>
          <w:sz w:val="28"/>
          <w:szCs w:val="28"/>
        </w:rPr>
        <w:t xml:space="preserve"> and </w:t>
      </w:r>
      <w:r w:rsidR="000F1A3A" w:rsidRPr="005B1957">
        <w:rPr>
          <w:rFonts w:ascii="Times New Roman" w:hAnsi="Times New Roman" w:cs="Times New Roman"/>
          <w:bCs/>
          <w:sz w:val="28"/>
          <w:szCs w:val="28"/>
        </w:rPr>
        <w:t xml:space="preserve">client costs or enhanced costs, as argued by </w:t>
      </w:r>
      <w:r w:rsidR="000505B8" w:rsidRPr="005B1957">
        <w:rPr>
          <w:rFonts w:ascii="Times New Roman" w:hAnsi="Times New Roman" w:cs="Times New Roman"/>
          <w:bCs/>
          <w:sz w:val="28"/>
          <w:szCs w:val="28"/>
        </w:rPr>
        <w:t xml:space="preserve">Northland, or </w:t>
      </w:r>
      <w:r w:rsidR="00594E82" w:rsidRPr="005B1957">
        <w:rPr>
          <w:rFonts w:ascii="Times New Roman" w:hAnsi="Times New Roman" w:cs="Times New Roman"/>
          <w:bCs/>
          <w:sz w:val="28"/>
          <w:szCs w:val="28"/>
        </w:rPr>
        <w:t xml:space="preserve">as suggested by ONEC and Liberty, </w:t>
      </w:r>
      <w:r w:rsidR="000505B8" w:rsidRPr="005B1957">
        <w:rPr>
          <w:rFonts w:ascii="Times New Roman" w:hAnsi="Times New Roman" w:cs="Times New Roman"/>
          <w:bCs/>
          <w:sz w:val="28"/>
          <w:szCs w:val="28"/>
        </w:rPr>
        <w:t>party</w:t>
      </w:r>
      <w:r w:rsidR="005B1957" w:rsidRPr="005B1957">
        <w:rPr>
          <w:rFonts w:ascii="Times New Roman" w:hAnsi="Times New Roman" w:cs="Times New Roman"/>
          <w:bCs/>
          <w:sz w:val="28"/>
          <w:szCs w:val="28"/>
        </w:rPr>
        <w:t xml:space="preserve"> and </w:t>
      </w:r>
      <w:r w:rsidR="000505B8" w:rsidRPr="005B1957">
        <w:rPr>
          <w:rFonts w:ascii="Times New Roman" w:hAnsi="Times New Roman" w:cs="Times New Roman"/>
          <w:bCs/>
          <w:sz w:val="28"/>
          <w:szCs w:val="28"/>
        </w:rPr>
        <w:t>party costs</w:t>
      </w:r>
      <w:r w:rsidR="00594E82" w:rsidRPr="005B1957">
        <w:rPr>
          <w:rFonts w:ascii="Times New Roman" w:hAnsi="Times New Roman" w:cs="Times New Roman"/>
          <w:bCs/>
          <w:sz w:val="28"/>
          <w:szCs w:val="28"/>
        </w:rPr>
        <w:t xml:space="preserve">. </w:t>
      </w:r>
    </w:p>
    <w:p w14:paraId="2A5BEAD8" w14:textId="77777777" w:rsidR="000505B8" w:rsidRDefault="000505B8" w:rsidP="00E65A8D">
      <w:pPr>
        <w:spacing w:after="0" w:line="240" w:lineRule="auto"/>
        <w:jc w:val="both"/>
        <w:rPr>
          <w:rFonts w:ascii="Times New Roman" w:hAnsi="Times New Roman" w:cs="Times New Roman"/>
          <w:bCs/>
          <w:sz w:val="28"/>
          <w:szCs w:val="28"/>
        </w:rPr>
      </w:pPr>
    </w:p>
    <w:p w14:paraId="7F69C508" w14:textId="06034E67" w:rsidR="00AA51AF" w:rsidRPr="007350FD" w:rsidRDefault="00892A24" w:rsidP="00BB4C3A">
      <w:pPr>
        <w:pStyle w:val="ListParagraph"/>
        <w:numPr>
          <w:ilvl w:val="0"/>
          <w:numId w:val="1"/>
        </w:numPr>
        <w:spacing w:after="0" w:line="240" w:lineRule="auto"/>
        <w:jc w:val="both"/>
        <w:rPr>
          <w:rFonts w:ascii="Times New Roman" w:hAnsi="Times New Roman" w:cs="Times New Roman"/>
          <w:bCs/>
          <w:sz w:val="28"/>
          <w:szCs w:val="28"/>
        </w:rPr>
      </w:pPr>
      <w:r w:rsidRPr="007350FD">
        <w:rPr>
          <w:rFonts w:ascii="Times New Roman" w:hAnsi="Times New Roman" w:cs="Times New Roman"/>
          <w:bCs/>
          <w:sz w:val="28"/>
          <w:szCs w:val="28"/>
        </w:rPr>
        <w:t>Solicitor</w:t>
      </w:r>
      <w:r w:rsidR="002C7CF2" w:rsidRPr="007350FD">
        <w:rPr>
          <w:rFonts w:ascii="Times New Roman" w:hAnsi="Times New Roman" w:cs="Times New Roman"/>
          <w:bCs/>
          <w:sz w:val="28"/>
          <w:szCs w:val="28"/>
        </w:rPr>
        <w:t xml:space="preserve"> and </w:t>
      </w:r>
      <w:r w:rsidR="00140C90" w:rsidRPr="007350FD">
        <w:rPr>
          <w:rFonts w:ascii="Times New Roman" w:hAnsi="Times New Roman" w:cs="Times New Roman"/>
          <w:bCs/>
          <w:sz w:val="28"/>
          <w:szCs w:val="28"/>
        </w:rPr>
        <w:t>client costs</w:t>
      </w:r>
      <w:r w:rsidR="00444AB1" w:rsidRPr="007350FD">
        <w:rPr>
          <w:rFonts w:ascii="Times New Roman" w:hAnsi="Times New Roman" w:cs="Times New Roman"/>
          <w:bCs/>
          <w:sz w:val="28"/>
          <w:szCs w:val="28"/>
        </w:rPr>
        <w:t xml:space="preserve"> awards </w:t>
      </w:r>
      <w:r w:rsidR="00140C90" w:rsidRPr="007350FD">
        <w:rPr>
          <w:rFonts w:ascii="Times New Roman" w:hAnsi="Times New Roman" w:cs="Times New Roman"/>
          <w:bCs/>
          <w:sz w:val="28"/>
          <w:szCs w:val="28"/>
        </w:rPr>
        <w:t>are exceptional</w:t>
      </w:r>
      <w:r w:rsidR="004C0A5F" w:rsidRPr="007350FD">
        <w:rPr>
          <w:rFonts w:ascii="Times New Roman" w:hAnsi="Times New Roman" w:cs="Times New Roman"/>
          <w:bCs/>
          <w:sz w:val="28"/>
          <w:szCs w:val="28"/>
        </w:rPr>
        <w:t xml:space="preserve">. They are </w:t>
      </w:r>
      <w:r w:rsidR="00444AB1" w:rsidRPr="007350FD">
        <w:rPr>
          <w:rFonts w:ascii="Times New Roman" w:hAnsi="Times New Roman" w:cs="Times New Roman"/>
          <w:bCs/>
          <w:sz w:val="28"/>
          <w:szCs w:val="28"/>
        </w:rPr>
        <w:t>ordered</w:t>
      </w:r>
      <w:r w:rsidR="004C0A5F" w:rsidRPr="007350FD">
        <w:rPr>
          <w:rFonts w:ascii="Times New Roman" w:hAnsi="Times New Roman" w:cs="Times New Roman"/>
          <w:bCs/>
          <w:sz w:val="28"/>
          <w:szCs w:val="28"/>
        </w:rPr>
        <w:t xml:space="preserve"> </w:t>
      </w:r>
      <w:r w:rsidR="00140C90" w:rsidRPr="007350FD">
        <w:rPr>
          <w:rFonts w:ascii="Times New Roman" w:hAnsi="Times New Roman" w:cs="Times New Roman"/>
          <w:bCs/>
          <w:sz w:val="28"/>
          <w:szCs w:val="28"/>
        </w:rPr>
        <w:t>as a punitive measure</w:t>
      </w:r>
      <w:r w:rsidR="003C2CC1" w:rsidRPr="007350FD">
        <w:rPr>
          <w:rFonts w:ascii="Times New Roman" w:hAnsi="Times New Roman" w:cs="Times New Roman"/>
          <w:bCs/>
          <w:sz w:val="28"/>
          <w:szCs w:val="28"/>
        </w:rPr>
        <w:t xml:space="preserve"> only i</w:t>
      </w:r>
      <w:r w:rsidR="00B32713" w:rsidRPr="007350FD">
        <w:rPr>
          <w:rFonts w:ascii="Times New Roman" w:hAnsi="Times New Roman" w:cs="Times New Roman"/>
          <w:bCs/>
          <w:sz w:val="28"/>
          <w:szCs w:val="28"/>
        </w:rPr>
        <w:t>n</w:t>
      </w:r>
      <w:r w:rsidR="003C2CC1" w:rsidRPr="007350FD">
        <w:rPr>
          <w:rFonts w:ascii="Times New Roman" w:hAnsi="Times New Roman" w:cs="Times New Roman"/>
          <w:bCs/>
          <w:sz w:val="28"/>
          <w:szCs w:val="28"/>
        </w:rPr>
        <w:t xml:space="preserve"> cases </w:t>
      </w:r>
      <w:r w:rsidR="00140C90" w:rsidRPr="007350FD">
        <w:rPr>
          <w:rFonts w:ascii="Times New Roman" w:hAnsi="Times New Roman" w:cs="Times New Roman"/>
          <w:bCs/>
          <w:sz w:val="28"/>
          <w:szCs w:val="28"/>
        </w:rPr>
        <w:t>of reprehensible, scandalous or outrageous conduct on the part of one of the parties</w:t>
      </w:r>
      <w:r w:rsidR="003C2CC1" w:rsidRPr="007350FD">
        <w:rPr>
          <w:rFonts w:ascii="Times New Roman" w:hAnsi="Times New Roman" w:cs="Times New Roman"/>
          <w:bCs/>
          <w:sz w:val="28"/>
          <w:szCs w:val="28"/>
        </w:rPr>
        <w:t xml:space="preserve"> (</w:t>
      </w:r>
      <w:r w:rsidR="003A00FB" w:rsidRPr="007350FD">
        <w:rPr>
          <w:rFonts w:ascii="Times New Roman" w:hAnsi="Times New Roman" w:cs="Times New Roman"/>
          <w:bCs/>
          <w:i/>
          <w:iCs/>
          <w:sz w:val="28"/>
          <w:szCs w:val="28"/>
        </w:rPr>
        <w:t>Northwest Territories (Commissioner) v 923115 NWT Limited</w:t>
      </w:r>
      <w:r w:rsidR="003A00FB" w:rsidRPr="007350FD">
        <w:rPr>
          <w:rFonts w:ascii="Times New Roman" w:hAnsi="Times New Roman" w:cs="Times New Roman"/>
          <w:bCs/>
          <w:sz w:val="28"/>
          <w:szCs w:val="28"/>
        </w:rPr>
        <w:t xml:space="preserve">, 2019 NWTSC 13, para 35; </w:t>
      </w:r>
      <w:r w:rsidR="006F520F" w:rsidRPr="007350FD">
        <w:rPr>
          <w:rFonts w:ascii="Times New Roman" w:hAnsi="Times New Roman" w:cs="Times New Roman"/>
          <w:bCs/>
          <w:i/>
          <w:iCs/>
          <w:sz w:val="28"/>
          <w:szCs w:val="28"/>
        </w:rPr>
        <w:t>Marlowe et al v Barlas et al</w:t>
      </w:r>
      <w:r w:rsidR="006F520F" w:rsidRPr="007350FD">
        <w:rPr>
          <w:rFonts w:ascii="Times New Roman" w:hAnsi="Times New Roman" w:cs="Times New Roman"/>
          <w:bCs/>
          <w:sz w:val="28"/>
          <w:szCs w:val="28"/>
        </w:rPr>
        <w:t xml:space="preserve">, 2025 NWTSC 12, para </w:t>
      </w:r>
      <w:r w:rsidR="00136F96" w:rsidRPr="007350FD">
        <w:rPr>
          <w:rFonts w:ascii="Times New Roman" w:hAnsi="Times New Roman" w:cs="Times New Roman"/>
          <w:bCs/>
          <w:sz w:val="28"/>
          <w:szCs w:val="28"/>
        </w:rPr>
        <w:t>50</w:t>
      </w:r>
      <w:r w:rsidR="000A6D82" w:rsidRPr="007350FD">
        <w:rPr>
          <w:rFonts w:ascii="Times New Roman" w:hAnsi="Times New Roman" w:cs="Times New Roman"/>
          <w:bCs/>
          <w:sz w:val="28"/>
          <w:szCs w:val="28"/>
        </w:rPr>
        <w:t xml:space="preserve"> [</w:t>
      </w:r>
      <w:r w:rsidR="000A6D82" w:rsidRPr="007350FD">
        <w:rPr>
          <w:rFonts w:ascii="Times New Roman" w:hAnsi="Times New Roman" w:cs="Times New Roman"/>
          <w:bCs/>
          <w:i/>
          <w:iCs/>
          <w:sz w:val="28"/>
          <w:szCs w:val="28"/>
        </w:rPr>
        <w:t>Marlowe</w:t>
      </w:r>
      <w:r w:rsidR="000A6D82" w:rsidRPr="007350FD">
        <w:rPr>
          <w:rFonts w:ascii="Times New Roman" w:hAnsi="Times New Roman" w:cs="Times New Roman"/>
          <w:bCs/>
          <w:sz w:val="28"/>
          <w:szCs w:val="28"/>
        </w:rPr>
        <w:t>]</w:t>
      </w:r>
      <w:r w:rsidR="003A00FB" w:rsidRPr="007350FD">
        <w:rPr>
          <w:rFonts w:ascii="Times New Roman" w:hAnsi="Times New Roman" w:cs="Times New Roman"/>
          <w:bCs/>
          <w:sz w:val="28"/>
          <w:szCs w:val="28"/>
        </w:rPr>
        <w:t>)</w:t>
      </w:r>
      <w:r w:rsidR="00136F96" w:rsidRPr="007350FD">
        <w:rPr>
          <w:rFonts w:ascii="Times New Roman" w:hAnsi="Times New Roman" w:cs="Times New Roman"/>
          <w:bCs/>
          <w:sz w:val="28"/>
          <w:szCs w:val="28"/>
        </w:rPr>
        <w:t xml:space="preserve">. Enhanced costs, </w:t>
      </w:r>
      <w:r w:rsidR="00055A42" w:rsidRPr="007350FD">
        <w:rPr>
          <w:rFonts w:ascii="Times New Roman" w:hAnsi="Times New Roman" w:cs="Times New Roman"/>
          <w:bCs/>
          <w:sz w:val="28"/>
          <w:szCs w:val="28"/>
        </w:rPr>
        <w:t xml:space="preserve">a lower scale of costs </w:t>
      </w:r>
      <w:r w:rsidR="00136F96" w:rsidRPr="007350FD">
        <w:rPr>
          <w:rFonts w:ascii="Times New Roman" w:hAnsi="Times New Roman" w:cs="Times New Roman"/>
          <w:bCs/>
          <w:sz w:val="28"/>
          <w:szCs w:val="28"/>
        </w:rPr>
        <w:t xml:space="preserve">based on a </w:t>
      </w:r>
      <w:r w:rsidR="007966CF" w:rsidRPr="007350FD">
        <w:rPr>
          <w:rFonts w:ascii="Times New Roman" w:hAnsi="Times New Roman" w:cs="Times New Roman"/>
          <w:bCs/>
          <w:sz w:val="28"/>
          <w:szCs w:val="28"/>
        </w:rPr>
        <w:t xml:space="preserve">multiple </w:t>
      </w:r>
      <w:r w:rsidR="007966CF" w:rsidRPr="007350FD">
        <w:rPr>
          <w:rFonts w:ascii="Times New Roman" w:hAnsi="Times New Roman" w:cs="Times New Roman"/>
          <w:bCs/>
          <w:sz w:val="28"/>
          <w:szCs w:val="28"/>
        </w:rPr>
        <w:lastRenderedPageBreak/>
        <w:t xml:space="preserve">of </w:t>
      </w:r>
      <w:r w:rsidR="00B32713" w:rsidRPr="007350FD">
        <w:rPr>
          <w:rFonts w:ascii="Times New Roman" w:hAnsi="Times New Roman" w:cs="Times New Roman"/>
          <w:bCs/>
          <w:sz w:val="28"/>
          <w:szCs w:val="28"/>
        </w:rPr>
        <w:t xml:space="preserve">the </w:t>
      </w:r>
      <w:r w:rsidR="007966CF" w:rsidRPr="007350FD">
        <w:rPr>
          <w:rFonts w:ascii="Times New Roman" w:hAnsi="Times New Roman" w:cs="Times New Roman"/>
          <w:bCs/>
          <w:sz w:val="28"/>
          <w:szCs w:val="28"/>
        </w:rPr>
        <w:t>tariff costs</w:t>
      </w:r>
      <w:r w:rsidR="00B32713" w:rsidRPr="007350FD">
        <w:rPr>
          <w:rFonts w:ascii="Times New Roman" w:hAnsi="Times New Roman" w:cs="Times New Roman"/>
          <w:bCs/>
          <w:sz w:val="28"/>
          <w:szCs w:val="28"/>
        </w:rPr>
        <w:t xml:space="preserve">, </w:t>
      </w:r>
      <w:r w:rsidR="00FA6810" w:rsidRPr="007350FD">
        <w:rPr>
          <w:rFonts w:ascii="Times New Roman" w:hAnsi="Times New Roman" w:cs="Times New Roman"/>
          <w:bCs/>
          <w:sz w:val="28"/>
          <w:szCs w:val="28"/>
        </w:rPr>
        <w:t xml:space="preserve">can </w:t>
      </w:r>
      <w:r w:rsidR="00055A42" w:rsidRPr="007350FD">
        <w:rPr>
          <w:rFonts w:ascii="Times New Roman" w:hAnsi="Times New Roman" w:cs="Times New Roman"/>
          <w:bCs/>
          <w:sz w:val="28"/>
          <w:szCs w:val="28"/>
        </w:rPr>
        <w:t xml:space="preserve">also </w:t>
      </w:r>
      <w:r w:rsidR="00FA6810" w:rsidRPr="007350FD">
        <w:rPr>
          <w:rFonts w:ascii="Times New Roman" w:hAnsi="Times New Roman" w:cs="Times New Roman"/>
          <w:bCs/>
          <w:sz w:val="28"/>
          <w:szCs w:val="28"/>
        </w:rPr>
        <w:t xml:space="preserve">be ordered </w:t>
      </w:r>
      <w:r w:rsidR="005010C3" w:rsidRPr="007350FD">
        <w:rPr>
          <w:rFonts w:ascii="Times New Roman" w:hAnsi="Times New Roman" w:cs="Times New Roman"/>
          <w:bCs/>
          <w:sz w:val="28"/>
          <w:szCs w:val="28"/>
        </w:rPr>
        <w:t xml:space="preserve">against a party </w:t>
      </w:r>
      <w:r w:rsidR="001D7489" w:rsidRPr="007350FD">
        <w:rPr>
          <w:rFonts w:ascii="Times New Roman" w:hAnsi="Times New Roman" w:cs="Times New Roman"/>
          <w:bCs/>
          <w:sz w:val="28"/>
          <w:szCs w:val="28"/>
        </w:rPr>
        <w:t>who</w:t>
      </w:r>
      <w:r w:rsidR="005010C3" w:rsidRPr="007350FD">
        <w:rPr>
          <w:rFonts w:ascii="Times New Roman" w:hAnsi="Times New Roman" w:cs="Times New Roman"/>
          <w:bCs/>
          <w:sz w:val="28"/>
          <w:szCs w:val="28"/>
        </w:rPr>
        <w:t xml:space="preserve"> engages in blame</w:t>
      </w:r>
      <w:r w:rsidR="0056022A" w:rsidRPr="007350FD">
        <w:rPr>
          <w:rFonts w:ascii="Times New Roman" w:hAnsi="Times New Roman" w:cs="Times New Roman"/>
          <w:bCs/>
          <w:sz w:val="28"/>
          <w:szCs w:val="28"/>
        </w:rPr>
        <w:t xml:space="preserve">worthy conduct </w:t>
      </w:r>
      <w:r w:rsidR="001D7489" w:rsidRPr="007350FD">
        <w:rPr>
          <w:rFonts w:ascii="Times New Roman" w:hAnsi="Times New Roman" w:cs="Times New Roman"/>
          <w:bCs/>
          <w:sz w:val="28"/>
          <w:szCs w:val="28"/>
        </w:rPr>
        <w:t>during</w:t>
      </w:r>
      <w:r w:rsidR="0056022A" w:rsidRPr="007350FD">
        <w:rPr>
          <w:rFonts w:ascii="Times New Roman" w:hAnsi="Times New Roman" w:cs="Times New Roman"/>
          <w:bCs/>
          <w:sz w:val="28"/>
          <w:szCs w:val="28"/>
        </w:rPr>
        <w:t xml:space="preserve"> the litigation</w:t>
      </w:r>
      <w:r w:rsidR="004B07C2" w:rsidRPr="007350FD">
        <w:rPr>
          <w:rFonts w:ascii="Times New Roman" w:hAnsi="Times New Roman" w:cs="Times New Roman"/>
          <w:bCs/>
          <w:sz w:val="28"/>
          <w:szCs w:val="28"/>
        </w:rPr>
        <w:t>,</w:t>
      </w:r>
      <w:r w:rsidR="00B528B3" w:rsidRPr="007350FD">
        <w:rPr>
          <w:rFonts w:ascii="Times New Roman" w:hAnsi="Times New Roman" w:cs="Times New Roman"/>
          <w:bCs/>
          <w:sz w:val="28"/>
          <w:szCs w:val="28"/>
        </w:rPr>
        <w:t xml:space="preserve"> including a party</w:t>
      </w:r>
      <w:r w:rsidR="004B07C2" w:rsidRPr="007350FD">
        <w:rPr>
          <w:rFonts w:ascii="Times New Roman" w:hAnsi="Times New Roman" w:cs="Times New Roman"/>
          <w:bCs/>
          <w:sz w:val="28"/>
          <w:szCs w:val="28"/>
        </w:rPr>
        <w:t xml:space="preserve"> </w:t>
      </w:r>
      <w:r w:rsidR="001D7489" w:rsidRPr="007350FD">
        <w:rPr>
          <w:rFonts w:ascii="Times New Roman" w:hAnsi="Times New Roman" w:cs="Times New Roman"/>
          <w:bCs/>
          <w:sz w:val="28"/>
          <w:szCs w:val="28"/>
        </w:rPr>
        <w:t xml:space="preserve">who </w:t>
      </w:r>
      <w:r w:rsidR="00830366" w:rsidRPr="007350FD">
        <w:rPr>
          <w:rFonts w:ascii="Times New Roman" w:hAnsi="Times New Roman" w:cs="Times New Roman"/>
          <w:bCs/>
          <w:sz w:val="28"/>
          <w:szCs w:val="28"/>
        </w:rPr>
        <w:t xml:space="preserve">unduly </w:t>
      </w:r>
      <w:r w:rsidR="001D7489" w:rsidRPr="007350FD">
        <w:rPr>
          <w:rFonts w:ascii="Times New Roman" w:hAnsi="Times New Roman" w:cs="Times New Roman"/>
          <w:bCs/>
          <w:sz w:val="28"/>
          <w:szCs w:val="28"/>
        </w:rPr>
        <w:t>delays, hinders or confuses the litigation</w:t>
      </w:r>
      <w:r w:rsidR="004B07C2" w:rsidRPr="007350FD">
        <w:rPr>
          <w:rFonts w:ascii="Times New Roman" w:hAnsi="Times New Roman" w:cs="Times New Roman"/>
          <w:bCs/>
          <w:sz w:val="28"/>
          <w:szCs w:val="28"/>
        </w:rPr>
        <w:t xml:space="preserve"> or wh</w:t>
      </w:r>
      <w:r w:rsidR="004573CA" w:rsidRPr="007350FD">
        <w:rPr>
          <w:rFonts w:ascii="Times New Roman" w:hAnsi="Times New Roman" w:cs="Times New Roman"/>
          <w:bCs/>
          <w:sz w:val="28"/>
          <w:szCs w:val="28"/>
        </w:rPr>
        <w:t xml:space="preserve">o forces litigation where </w:t>
      </w:r>
      <w:r w:rsidR="004B07C2" w:rsidRPr="007350FD">
        <w:rPr>
          <w:rFonts w:ascii="Times New Roman" w:hAnsi="Times New Roman" w:cs="Times New Roman"/>
          <w:bCs/>
          <w:sz w:val="28"/>
          <w:szCs w:val="28"/>
        </w:rPr>
        <w:t xml:space="preserve">there is no serious issue of fact or law </w:t>
      </w:r>
      <w:r w:rsidR="004573CA" w:rsidRPr="007350FD">
        <w:rPr>
          <w:rFonts w:ascii="Times New Roman" w:hAnsi="Times New Roman" w:cs="Times New Roman"/>
          <w:bCs/>
          <w:sz w:val="28"/>
          <w:szCs w:val="28"/>
        </w:rPr>
        <w:t xml:space="preserve">that requires </w:t>
      </w:r>
      <w:r w:rsidR="004B07C2" w:rsidRPr="007350FD">
        <w:rPr>
          <w:rFonts w:ascii="Times New Roman" w:hAnsi="Times New Roman" w:cs="Times New Roman"/>
          <w:bCs/>
          <w:sz w:val="28"/>
          <w:szCs w:val="28"/>
        </w:rPr>
        <w:t>lengthy</w:t>
      </w:r>
      <w:r w:rsidR="004573CA" w:rsidRPr="007350FD">
        <w:rPr>
          <w:rFonts w:ascii="Times New Roman" w:hAnsi="Times New Roman" w:cs="Times New Roman"/>
          <w:bCs/>
          <w:sz w:val="28"/>
          <w:szCs w:val="28"/>
        </w:rPr>
        <w:t xml:space="preserve"> and</w:t>
      </w:r>
      <w:r w:rsidR="004B07C2" w:rsidRPr="007350FD">
        <w:rPr>
          <w:rFonts w:ascii="Times New Roman" w:hAnsi="Times New Roman" w:cs="Times New Roman"/>
          <w:bCs/>
          <w:sz w:val="28"/>
          <w:szCs w:val="28"/>
        </w:rPr>
        <w:t xml:space="preserve"> expensive proceedings</w:t>
      </w:r>
      <w:r w:rsidR="000A6D82" w:rsidRPr="007350FD">
        <w:rPr>
          <w:rFonts w:ascii="Times New Roman" w:hAnsi="Times New Roman" w:cs="Times New Roman"/>
          <w:bCs/>
          <w:sz w:val="28"/>
          <w:szCs w:val="28"/>
        </w:rPr>
        <w:t xml:space="preserve"> (</w:t>
      </w:r>
      <w:r w:rsidR="000A6D82" w:rsidRPr="007350FD">
        <w:rPr>
          <w:rFonts w:ascii="Times New Roman" w:hAnsi="Times New Roman" w:cs="Times New Roman"/>
          <w:bCs/>
          <w:i/>
          <w:iCs/>
          <w:sz w:val="28"/>
          <w:szCs w:val="28"/>
        </w:rPr>
        <w:t>Marlowe</w:t>
      </w:r>
      <w:r w:rsidR="000A6D82" w:rsidRPr="007350FD">
        <w:rPr>
          <w:rFonts w:ascii="Times New Roman" w:hAnsi="Times New Roman" w:cs="Times New Roman"/>
          <w:bCs/>
          <w:sz w:val="28"/>
          <w:szCs w:val="28"/>
        </w:rPr>
        <w:t>, para</w:t>
      </w:r>
      <w:r w:rsidR="00B528B3" w:rsidRPr="007350FD">
        <w:rPr>
          <w:rFonts w:ascii="Times New Roman" w:hAnsi="Times New Roman" w:cs="Times New Roman"/>
          <w:bCs/>
          <w:sz w:val="28"/>
          <w:szCs w:val="28"/>
        </w:rPr>
        <w:t xml:space="preserve"> 49).</w:t>
      </w:r>
    </w:p>
    <w:p w14:paraId="0BA1C490" w14:textId="77777777" w:rsidR="00BB4C3A" w:rsidRDefault="00BB4C3A" w:rsidP="00BB4C3A">
      <w:pPr>
        <w:pStyle w:val="ListParagraph"/>
        <w:spacing w:after="0" w:line="240" w:lineRule="auto"/>
        <w:ind w:left="0"/>
        <w:jc w:val="both"/>
        <w:rPr>
          <w:rFonts w:ascii="Times New Roman" w:hAnsi="Times New Roman" w:cs="Times New Roman"/>
          <w:bCs/>
          <w:sz w:val="28"/>
          <w:szCs w:val="28"/>
        </w:rPr>
      </w:pPr>
    </w:p>
    <w:p w14:paraId="6BF9E68A" w14:textId="27EED462" w:rsidR="006E27BE" w:rsidRDefault="0092330F" w:rsidP="006E27BE">
      <w:pPr>
        <w:pStyle w:val="ListParagraph"/>
        <w:numPr>
          <w:ilvl w:val="0"/>
          <w:numId w:val="1"/>
        </w:numPr>
        <w:spacing w:after="0" w:line="240" w:lineRule="auto"/>
        <w:jc w:val="both"/>
        <w:rPr>
          <w:rFonts w:ascii="Times New Roman" w:hAnsi="Times New Roman" w:cs="Times New Roman"/>
          <w:bCs/>
          <w:sz w:val="28"/>
          <w:szCs w:val="28"/>
        </w:rPr>
      </w:pPr>
      <w:r w:rsidRPr="006E27BE">
        <w:rPr>
          <w:rFonts w:ascii="Times New Roman" w:hAnsi="Times New Roman" w:cs="Times New Roman"/>
          <w:bCs/>
          <w:sz w:val="28"/>
          <w:szCs w:val="28"/>
        </w:rPr>
        <w:t xml:space="preserve">In this case, </w:t>
      </w:r>
      <w:r w:rsidR="00BC6144" w:rsidRPr="006E27BE">
        <w:rPr>
          <w:rFonts w:ascii="Times New Roman" w:hAnsi="Times New Roman" w:cs="Times New Roman"/>
          <w:bCs/>
          <w:sz w:val="28"/>
          <w:szCs w:val="28"/>
        </w:rPr>
        <w:t xml:space="preserve">I did find that </w:t>
      </w:r>
      <w:r w:rsidR="00522A42" w:rsidRPr="006E27BE">
        <w:rPr>
          <w:rFonts w:ascii="Times New Roman" w:hAnsi="Times New Roman" w:cs="Times New Roman"/>
          <w:bCs/>
          <w:sz w:val="28"/>
          <w:szCs w:val="28"/>
        </w:rPr>
        <w:t>Northland met its burden to establish that ONEC’s claim was without merit</w:t>
      </w:r>
      <w:r w:rsidR="00AA0937" w:rsidRPr="006E27BE">
        <w:rPr>
          <w:rFonts w:ascii="Times New Roman" w:hAnsi="Times New Roman" w:cs="Times New Roman"/>
          <w:bCs/>
          <w:sz w:val="28"/>
          <w:szCs w:val="28"/>
        </w:rPr>
        <w:t>. However,</w:t>
      </w:r>
      <w:r w:rsidR="00522A42" w:rsidRPr="006E27BE">
        <w:rPr>
          <w:rFonts w:ascii="Times New Roman" w:hAnsi="Times New Roman" w:cs="Times New Roman"/>
          <w:bCs/>
          <w:sz w:val="28"/>
          <w:szCs w:val="28"/>
        </w:rPr>
        <w:t xml:space="preserve"> I am not prepared to draw the further inference </w:t>
      </w:r>
      <w:r w:rsidR="009C5871" w:rsidRPr="006E27BE">
        <w:rPr>
          <w:rFonts w:ascii="Times New Roman" w:hAnsi="Times New Roman" w:cs="Times New Roman"/>
          <w:bCs/>
          <w:sz w:val="28"/>
          <w:szCs w:val="28"/>
        </w:rPr>
        <w:t xml:space="preserve">that ONEC </w:t>
      </w:r>
      <w:r w:rsidR="00AA0937" w:rsidRPr="006E27BE">
        <w:rPr>
          <w:rFonts w:ascii="Times New Roman" w:hAnsi="Times New Roman" w:cs="Times New Roman"/>
          <w:bCs/>
          <w:sz w:val="28"/>
          <w:szCs w:val="28"/>
        </w:rPr>
        <w:t>filed its claim</w:t>
      </w:r>
      <w:r w:rsidR="009C5871" w:rsidRPr="006E27BE">
        <w:rPr>
          <w:rFonts w:ascii="Times New Roman" w:hAnsi="Times New Roman" w:cs="Times New Roman"/>
          <w:bCs/>
          <w:sz w:val="28"/>
          <w:szCs w:val="28"/>
        </w:rPr>
        <w:t xml:space="preserve"> </w:t>
      </w:r>
      <w:r w:rsidR="00522A42" w:rsidRPr="006E27BE">
        <w:rPr>
          <w:rFonts w:ascii="Times New Roman" w:hAnsi="Times New Roman" w:cs="Times New Roman"/>
          <w:bCs/>
          <w:sz w:val="28"/>
          <w:szCs w:val="28"/>
        </w:rPr>
        <w:t xml:space="preserve">knowing </w:t>
      </w:r>
      <w:r w:rsidR="00AA0937" w:rsidRPr="006E27BE">
        <w:rPr>
          <w:rFonts w:ascii="Times New Roman" w:hAnsi="Times New Roman" w:cs="Times New Roman"/>
          <w:bCs/>
          <w:sz w:val="28"/>
          <w:szCs w:val="28"/>
        </w:rPr>
        <w:t xml:space="preserve">it </w:t>
      </w:r>
      <w:r w:rsidR="00522A42" w:rsidRPr="006E27BE">
        <w:rPr>
          <w:rFonts w:ascii="Times New Roman" w:hAnsi="Times New Roman" w:cs="Times New Roman"/>
          <w:bCs/>
          <w:sz w:val="28"/>
          <w:szCs w:val="28"/>
        </w:rPr>
        <w:t>was meritless</w:t>
      </w:r>
      <w:r w:rsidR="009D04E3" w:rsidRPr="006E27BE">
        <w:rPr>
          <w:rFonts w:ascii="Times New Roman" w:hAnsi="Times New Roman" w:cs="Times New Roman"/>
          <w:bCs/>
          <w:sz w:val="28"/>
          <w:szCs w:val="28"/>
        </w:rPr>
        <w:t>,</w:t>
      </w:r>
      <w:r w:rsidR="00522A42" w:rsidRPr="006E27BE">
        <w:rPr>
          <w:rFonts w:ascii="Times New Roman" w:hAnsi="Times New Roman" w:cs="Times New Roman"/>
          <w:bCs/>
          <w:sz w:val="28"/>
          <w:szCs w:val="28"/>
        </w:rPr>
        <w:t xml:space="preserve"> therefore abusing the court process.</w:t>
      </w:r>
      <w:r w:rsidR="005B0599" w:rsidRPr="006E27BE">
        <w:rPr>
          <w:rFonts w:ascii="Times New Roman" w:hAnsi="Times New Roman" w:cs="Times New Roman"/>
          <w:bCs/>
          <w:sz w:val="28"/>
          <w:szCs w:val="28"/>
        </w:rPr>
        <w:t xml:space="preserve"> </w:t>
      </w:r>
      <w:r w:rsidR="003B63C1" w:rsidRPr="006E27BE">
        <w:rPr>
          <w:rFonts w:ascii="Times New Roman" w:hAnsi="Times New Roman" w:cs="Times New Roman"/>
          <w:bCs/>
          <w:sz w:val="28"/>
          <w:szCs w:val="28"/>
        </w:rPr>
        <w:t xml:space="preserve">Also, I </w:t>
      </w:r>
      <w:r w:rsidR="00406919" w:rsidRPr="006E27BE">
        <w:rPr>
          <w:rFonts w:ascii="Times New Roman" w:hAnsi="Times New Roman" w:cs="Times New Roman"/>
          <w:bCs/>
          <w:sz w:val="28"/>
          <w:szCs w:val="28"/>
        </w:rPr>
        <w:t>do not accept</w:t>
      </w:r>
      <w:r w:rsidR="00D91658" w:rsidRPr="006E27BE">
        <w:rPr>
          <w:rFonts w:ascii="Times New Roman" w:hAnsi="Times New Roman" w:cs="Times New Roman"/>
          <w:bCs/>
          <w:sz w:val="28"/>
          <w:szCs w:val="28"/>
        </w:rPr>
        <w:t xml:space="preserve"> </w:t>
      </w:r>
      <w:r w:rsidR="00683FCE" w:rsidRPr="006E27BE">
        <w:rPr>
          <w:rFonts w:ascii="Times New Roman" w:hAnsi="Times New Roman" w:cs="Times New Roman"/>
          <w:bCs/>
          <w:sz w:val="28"/>
          <w:szCs w:val="28"/>
        </w:rPr>
        <w:t xml:space="preserve">Northland’s argument that ONEC and Liberty acted in bad faith in </w:t>
      </w:r>
      <w:r w:rsidR="00912C95" w:rsidRPr="006E27BE">
        <w:rPr>
          <w:rFonts w:ascii="Times New Roman" w:hAnsi="Times New Roman" w:cs="Times New Roman"/>
          <w:bCs/>
          <w:sz w:val="28"/>
          <w:szCs w:val="28"/>
        </w:rPr>
        <w:t>refusing to make payment to Northland</w:t>
      </w:r>
      <w:r w:rsidR="00D91658" w:rsidRPr="006E27BE">
        <w:rPr>
          <w:rFonts w:ascii="Times New Roman" w:hAnsi="Times New Roman" w:cs="Times New Roman"/>
          <w:bCs/>
          <w:sz w:val="28"/>
          <w:szCs w:val="28"/>
        </w:rPr>
        <w:t>.</w:t>
      </w:r>
      <w:r w:rsidR="00912C95" w:rsidRPr="006E27BE">
        <w:rPr>
          <w:rFonts w:ascii="Times New Roman" w:hAnsi="Times New Roman" w:cs="Times New Roman"/>
          <w:bCs/>
          <w:sz w:val="28"/>
          <w:szCs w:val="28"/>
        </w:rPr>
        <w:t xml:space="preserve"> I </w:t>
      </w:r>
      <w:r w:rsidR="00C21CE1" w:rsidRPr="006E27BE">
        <w:rPr>
          <w:rFonts w:ascii="Times New Roman" w:hAnsi="Times New Roman" w:cs="Times New Roman"/>
          <w:bCs/>
          <w:sz w:val="28"/>
          <w:szCs w:val="28"/>
        </w:rPr>
        <w:t xml:space="preserve">am finding </w:t>
      </w:r>
      <w:r w:rsidR="00912C95" w:rsidRPr="006E27BE">
        <w:rPr>
          <w:rFonts w:ascii="Times New Roman" w:hAnsi="Times New Roman" w:cs="Times New Roman"/>
          <w:bCs/>
          <w:sz w:val="28"/>
          <w:szCs w:val="28"/>
        </w:rPr>
        <w:t>against ONEC and Liberty on the issue of liability</w:t>
      </w:r>
      <w:r w:rsidR="000C6732" w:rsidRPr="006E27BE">
        <w:rPr>
          <w:rFonts w:ascii="Times New Roman" w:hAnsi="Times New Roman" w:cs="Times New Roman"/>
          <w:bCs/>
          <w:sz w:val="28"/>
          <w:szCs w:val="28"/>
        </w:rPr>
        <w:t xml:space="preserve"> on the counterclaim</w:t>
      </w:r>
      <w:r w:rsidR="00D74479" w:rsidRPr="006E27BE">
        <w:rPr>
          <w:rFonts w:ascii="Times New Roman" w:hAnsi="Times New Roman" w:cs="Times New Roman"/>
          <w:bCs/>
          <w:sz w:val="28"/>
          <w:szCs w:val="28"/>
        </w:rPr>
        <w:t>,</w:t>
      </w:r>
      <w:r w:rsidR="00912C95" w:rsidRPr="006E27BE">
        <w:rPr>
          <w:rFonts w:ascii="Times New Roman" w:hAnsi="Times New Roman" w:cs="Times New Roman"/>
          <w:bCs/>
          <w:sz w:val="28"/>
          <w:szCs w:val="28"/>
        </w:rPr>
        <w:t xml:space="preserve"> but </w:t>
      </w:r>
      <w:r w:rsidR="009A741E" w:rsidRPr="006E27BE">
        <w:rPr>
          <w:rFonts w:ascii="Times New Roman" w:hAnsi="Times New Roman" w:cs="Times New Roman"/>
          <w:bCs/>
          <w:sz w:val="28"/>
          <w:szCs w:val="28"/>
        </w:rPr>
        <w:t>the position</w:t>
      </w:r>
      <w:r w:rsidR="001B1D00" w:rsidRPr="006E27BE">
        <w:rPr>
          <w:rFonts w:ascii="Times New Roman" w:hAnsi="Times New Roman" w:cs="Times New Roman"/>
          <w:bCs/>
          <w:sz w:val="28"/>
          <w:szCs w:val="28"/>
        </w:rPr>
        <w:t>s</w:t>
      </w:r>
      <w:r w:rsidR="009A741E" w:rsidRPr="006E27BE">
        <w:rPr>
          <w:rFonts w:ascii="Times New Roman" w:hAnsi="Times New Roman" w:cs="Times New Roman"/>
          <w:bCs/>
          <w:sz w:val="28"/>
          <w:szCs w:val="28"/>
        </w:rPr>
        <w:t xml:space="preserve"> they advanced were reasonable</w:t>
      </w:r>
      <w:r w:rsidR="00D74479" w:rsidRPr="006E27BE">
        <w:rPr>
          <w:rFonts w:ascii="Times New Roman" w:hAnsi="Times New Roman" w:cs="Times New Roman"/>
          <w:bCs/>
          <w:sz w:val="28"/>
          <w:szCs w:val="28"/>
        </w:rPr>
        <w:t>.</w:t>
      </w:r>
      <w:r w:rsidR="00A42A62" w:rsidRPr="006E27BE">
        <w:rPr>
          <w:rFonts w:ascii="Times New Roman" w:hAnsi="Times New Roman" w:cs="Times New Roman"/>
          <w:bCs/>
          <w:sz w:val="28"/>
          <w:szCs w:val="28"/>
        </w:rPr>
        <w:t xml:space="preserve"> In addition</w:t>
      </w:r>
      <w:r w:rsidR="00C6301B" w:rsidRPr="006E27BE">
        <w:rPr>
          <w:rFonts w:ascii="Times New Roman" w:hAnsi="Times New Roman" w:cs="Times New Roman"/>
          <w:bCs/>
          <w:sz w:val="28"/>
          <w:szCs w:val="28"/>
        </w:rPr>
        <w:t>, their</w:t>
      </w:r>
      <w:r w:rsidR="00C5258F" w:rsidRPr="006E27BE">
        <w:rPr>
          <w:rFonts w:ascii="Times New Roman" w:hAnsi="Times New Roman" w:cs="Times New Roman"/>
          <w:bCs/>
          <w:sz w:val="28"/>
          <w:szCs w:val="28"/>
        </w:rPr>
        <w:t xml:space="preserve"> </w:t>
      </w:r>
      <w:r w:rsidR="00F64EA3" w:rsidRPr="006E27BE">
        <w:rPr>
          <w:rFonts w:ascii="Times New Roman" w:hAnsi="Times New Roman" w:cs="Times New Roman"/>
          <w:bCs/>
          <w:sz w:val="28"/>
          <w:szCs w:val="28"/>
        </w:rPr>
        <w:t xml:space="preserve">arguments </w:t>
      </w:r>
      <w:r w:rsidR="00C5258F" w:rsidRPr="006E27BE">
        <w:rPr>
          <w:rFonts w:ascii="Times New Roman" w:hAnsi="Times New Roman" w:cs="Times New Roman"/>
          <w:bCs/>
          <w:sz w:val="28"/>
          <w:szCs w:val="28"/>
        </w:rPr>
        <w:t>w</w:t>
      </w:r>
      <w:r w:rsidR="00F64EA3" w:rsidRPr="006E27BE">
        <w:rPr>
          <w:rFonts w:ascii="Times New Roman" w:hAnsi="Times New Roman" w:cs="Times New Roman"/>
          <w:bCs/>
          <w:sz w:val="28"/>
          <w:szCs w:val="28"/>
        </w:rPr>
        <w:t>ere</w:t>
      </w:r>
      <w:r w:rsidR="00C5258F" w:rsidRPr="006E27BE">
        <w:rPr>
          <w:rFonts w:ascii="Times New Roman" w:hAnsi="Times New Roman" w:cs="Times New Roman"/>
          <w:bCs/>
          <w:sz w:val="28"/>
          <w:szCs w:val="28"/>
        </w:rPr>
        <w:t xml:space="preserve"> well founded regarding the issue of damages.</w:t>
      </w:r>
      <w:r w:rsidR="00912C95" w:rsidRPr="006E27BE">
        <w:rPr>
          <w:rFonts w:ascii="Times New Roman" w:hAnsi="Times New Roman" w:cs="Times New Roman"/>
          <w:bCs/>
          <w:sz w:val="28"/>
          <w:szCs w:val="28"/>
        </w:rPr>
        <w:t xml:space="preserve"> </w:t>
      </w:r>
      <w:r w:rsidR="00D91658" w:rsidRPr="006E27BE">
        <w:rPr>
          <w:rFonts w:ascii="Times New Roman" w:hAnsi="Times New Roman" w:cs="Times New Roman"/>
          <w:bCs/>
          <w:sz w:val="28"/>
          <w:szCs w:val="28"/>
        </w:rPr>
        <w:t xml:space="preserve">There are no other allegations of </w:t>
      </w:r>
      <w:r w:rsidR="00AD4763" w:rsidRPr="006E27BE">
        <w:rPr>
          <w:rFonts w:ascii="Times New Roman" w:hAnsi="Times New Roman" w:cs="Times New Roman"/>
          <w:bCs/>
          <w:sz w:val="28"/>
          <w:szCs w:val="28"/>
        </w:rPr>
        <w:t>blameworthy</w:t>
      </w:r>
      <w:r w:rsidR="00D91658" w:rsidRPr="006E27BE">
        <w:rPr>
          <w:rFonts w:ascii="Times New Roman" w:hAnsi="Times New Roman" w:cs="Times New Roman"/>
          <w:bCs/>
          <w:sz w:val="28"/>
          <w:szCs w:val="28"/>
        </w:rPr>
        <w:t xml:space="preserve"> conduct by ONEC and Liberty</w:t>
      </w:r>
      <w:r w:rsidR="00D74479" w:rsidRPr="006E27BE">
        <w:rPr>
          <w:rFonts w:ascii="Times New Roman" w:hAnsi="Times New Roman" w:cs="Times New Roman"/>
          <w:bCs/>
          <w:sz w:val="28"/>
          <w:szCs w:val="28"/>
        </w:rPr>
        <w:t xml:space="preserve"> </w:t>
      </w:r>
      <w:r w:rsidR="00554095" w:rsidRPr="006E27BE">
        <w:rPr>
          <w:rFonts w:ascii="Times New Roman" w:hAnsi="Times New Roman" w:cs="Times New Roman"/>
          <w:bCs/>
          <w:sz w:val="28"/>
          <w:szCs w:val="28"/>
        </w:rPr>
        <w:t>that would justify enhanced costs.</w:t>
      </w:r>
      <w:r w:rsidR="00AD4763" w:rsidRPr="006E27BE">
        <w:rPr>
          <w:rFonts w:ascii="Times New Roman" w:hAnsi="Times New Roman" w:cs="Times New Roman"/>
          <w:bCs/>
          <w:sz w:val="28"/>
          <w:szCs w:val="28"/>
        </w:rPr>
        <w:t xml:space="preserve"> </w:t>
      </w:r>
      <w:r w:rsidR="00554095" w:rsidRPr="006E27BE">
        <w:rPr>
          <w:rFonts w:ascii="Times New Roman" w:hAnsi="Times New Roman" w:cs="Times New Roman"/>
          <w:bCs/>
          <w:sz w:val="28"/>
          <w:szCs w:val="28"/>
        </w:rPr>
        <w:t>ONEC and Liberty will</w:t>
      </w:r>
      <w:r w:rsidR="005434C8" w:rsidRPr="006E27BE">
        <w:rPr>
          <w:rFonts w:ascii="Times New Roman" w:hAnsi="Times New Roman" w:cs="Times New Roman"/>
          <w:bCs/>
          <w:sz w:val="28"/>
          <w:szCs w:val="28"/>
        </w:rPr>
        <w:t xml:space="preserve"> </w:t>
      </w:r>
      <w:r w:rsidR="00554095" w:rsidRPr="006E27BE">
        <w:rPr>
          <w:rFonts w:ascii="Times New Roman" w:hAnsi="Times New Roman" w:cs="Times New Roman"/>
          <w:bCs/>
          <w:sz w:val="28"/>
          <w:szCs w:val="28"/>
        </w:rPr>
        <w:t xml:space="preserve">pay </w:t>
      </w:r>
      <w:r w:rsidR="00444AB1" w:rsidRPr="006E27BE">
        <w:rPr>
          <w:rFonts w:ascii="Times New Roman" w:hAnsi="Times New Roman" w:cs="Times New Roman"/>
          <w:bCs/>
          <w:sz w:val="28"/>
          <w:szCs w:val="28"/>
        </w:rPr>
        <w:t>Northland party</w:t>
      </w:r>
      <w:r w:rsidR="006E27BE" w:rsidRPr="006E27BE">
        <w:rPr>
          <w:rFonts w:ascii="Times New Roman" w:hAnsi="Times New Roman" w:cs="Times New Roman"/>
          <w:bCs/>
          <w:sz w:val="28"/>
          <w:szCs w:val="28"/>
        </w:rPr>
        <w:t xml:space="preserve"> and </w:t>
      </w:r>
      <w:r w:rsidR="00444AB1" w:rsidRPr="006E27BE">
        <w:rPr>
          <w:rFonts w:ascii="Times New Roman" w:hAnsi="Times New Roman" w:cs="Times New Roman"/>
          <w:bCs/>
          <w:sz w:val="28"/>
          <w:szCs w:val="28"/>
        </w:rPr>
        <w:t>party costs.</w:t>
      </w:r>
    </w:p>
    <w:p w14:paraId="354EBD47" w14:textId="77777777" w:rsidR="00BD3F23" w:rsidRDefault="00BD3F23" w:rsidP="00A648B8">
      <w:pPr>
        <w:spacing w:after="0" w:line="240" w:lineRule="auto"/>
        <w:jc w:val="both"/>
        <w:rPr>
          <w:rFonts w:ascii="Times New Roman" w:hAnsi="Times New Roman" w:cs="Times New Roman"/>
          <w:bCs/>
          <w:sz w:val="28"/>
          <w:szCs w:val="28"/>
          <w:u w:val="single"/>
        </w:rPr>
      </w:pPr>
    </w:p>
    <w:p w14:paraId="298756BB" w14:textId="18BD6815" w:rsidR="00E65A8D" w:rsidRPr="00093579" w:rsidRDefault="00AF4FBC" w:rsidP="00A648B8">
      <w:pPr>
        <w:spacing w:after="0" w:line="240" w:lineRule="auto"/>
        <w:jc w:val="both"/>
        <w:rPr>
          <w:rFonts w:ascii="Times New Roman" w:hAnsi="Times New Roman" w:cs="Times New Roman"/>
          <w:bCs/>
          <w:sz w:val="28"/>
          <w:szCs w:val="28"/>
          <w:u w:val="single"/>
        </w:rPr>
      </w:pPr>
      <w:r w:rsidRPr="00093579">
        <w:rPr>
          <w:rFonts w:ascii="Times New Roman" w:hAnsi="Times New Roman" w:cs="Times New Roman"/>
          <w:bCs/>
          <w:sz w:val="28"/>
          <w:szCs w:val="28"/>
          <w:u w:val="single"/>
        </w:rPr>
        <w:t>Northland and NTE</w:t>
      </w:r>
    </w:p>
    <w:p w14:paraId="4E355BF7" w14:textId="77777777" w:rsidR="0080357F" w:rsidRDefault="0080357F" w:rsidP="0080357F">
      <w:pPr>
        <w:pStyle w:val="ListParagraph"/>
        <w:spacing w:after="0" w:line="240" w:lineRule="auto"/>
        <w:ind w:left="0"/>
        <w:contextualSpacing w:val="0"/>
        <w:jc w:val="both"/>
        <w:rPr>
          <w:rFonts w:ascii="Times New Roman" w:hAnsi="Times New Roman" w:cs="Times New Roman"/>
          <w:bCs/>
          <w:sz w:val="28"/>
          <w:szCs w:val="28"/>
          <w:lang w:val="en-US"/>
        </w:rPr>
      </w:pPr>
    </w:p>
    <w:p w14:paraId="1688930A" w14:textId="68464DDB" w:rsidR="0080357F" w:rsidRDefault="00605179" w:rsidP="0076232E">
      <w:pPr>
        <w:pStyle w:val="ListParagraph"/>
        <w:numPr>
          <w:ilvl w:val="0"/>
          <w:numId w:val="1"/>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Relying on Rule 180</w:t>
      </w:r>
      <w:r w:rsidR="006F68F6">
        <w:rPr>
          <w:rFonts w:ascii="Times New Roman" w:hAnsi="Times New Roman" w:cs="Times New Roman"/>
          <w:bCs/>
          <w:sz w:val="28"/>
          <w:szCs w:val="28"/>
          <w:lang w:val="en-US"/>
        </w:rPr>
        <w:t xml:space="preserve"> (1)</w:t>
      </w:r>
      <w:r w:rsidR="001B1D00">
        <w:rPr>
          <w:rFonts w:ascii="Times New Roman" w:hAnsi="Times New Roman" w:cs="Times New Roman"/>
          <w:bCs/>
          <w:sz w:val="28"/>
          <w:szCs w:val="28"/>
          <w:lang w:val="en-US"/>
        </w:rPr>
        <w:t xml:space="preserve"> of the </w:t>
      </w:r>
      <w:r w:rsidR="001B1D00" w:rsidRPr="001B1D00">
        <w:rPr>
          <w:rFonts w:ascii="Times New Roman" w:hAnsi="Times New Roman" w:cs="Times New Roman"/>
          <w:bCs/>
          <w:i/>
          <w:iCs/>
          <w:sz w:val="28"/>
          <w:szCs w:val="28"/>
          <w:lang w:val="en-US"/>
        </w:rPr>
        <w:t>Rules</w:t>
      </w:r>
      <w:r>
        <w:rPr>
          <w:rFonts w:ascii="Times New Roman" w:hAnsi="Times New Roman" w:cs="Times New Roman"/>
          <w:bCs/>
          <w:sz w:val="28"/>
          <w:szCs w:val="28"/>
          <w:lang w:val="en-US"/>
        </w:rPr>
        <w:t xml:space="preserve">, NTE is seeking solicitor and client costs against Northland. </w:t>
      </w:r>
    </w:p>
    <w:p w14:paraId="2D8CE968" w14:textId="77777777" w:rsidR="00605179" w:rsidRDefault="00605179" w:rsidP="00605179">
      <w:pPr>
        <w:pStyle w:val="ListParagraph"/>
        <w:spacing w:after="0" w:line="240" w:lineRule="auto"/>
        <w:ind w:left="0"/>
        <w:contextualSpacing w:val="0"/>
        <w:jc w:val="both"/>
        <w:rPr>
          <w:rFonts w:ascii="Times New Roman" w:hAnsi="Times New Roman" w:cs="Times New Roman"/>
          <w:bCs/>
          <w:sz w:val="28"/>
          <w:szCs w:val="28"/>
          <w:lang w:val="en-US"/>
        </w:rPr>
      </w:pPr>
    </w:p>
    <w:p w14:paraId="367CD615" w14:textId="6DB74142" w:rsidR="0076232E" w:rsidRDefault="0076232E" w:rsidP="0076232E">
      <w:pPr>
        <w:pStyle w:val="ListParagraph"/>
        <w:numPr>
          <w:ilvl w:val="0"/>
          <w:numId w:val="1"/>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Rule 180 </w:t>
      </w:r>
      <w:r w:rsidR="004371D6">
        <w:rPr>
          <w:rFonts w:ascii="Times New Roman" w:hAnsi="Times New Roman" w:cs="Times New Roman"/>
          <w:bCs/>
          <w:sz w:val="28"/>
          <w:szCs w:val="28"/>
          <w:lang w:val="en-US"/>
        </w:rPr>
        <w:t>states</w:t>
      </w:r>
      <w:r>
        <w:rPr>
          <w:rFonts w:ascii="Times New Roman" w:hAnsi="Times New Roman" w:cs="Times New Roman"/>
          <w:bCs/>
          <w:sz w:val="28"/>
          <w:szCs w:val="28"/>
          <w:lang w:val="en-US"/>
        </w:rPr>
        <w:t>:</w:t>
      </w:r>
    </w:p>
    <w:p w14:paraId="6E2DC33C" w14:textId="77777777" w:rsidR="0076232E" w:rsidRPr="00271399" w:rsidRDefault="0076232E" w:rsidP="0076232E">
      <w:pPr>
        <w:pStyle w:val="ListParagraph"/>
        <w:spacing w:after="0" w:line="240" w:lineRule="auto"/>
        <w:ind w:left="0"/>
        <w:contextualSpacing w:val="0"/>
        <w:jc w:val="both"/>
        <w:rPr>
          <w:rFonts w:ascii="Times New Roman" w:hAnsi="Times New Roman" w:cs="Times New Roman"/>
          <w:bCs/>
          <w:sz w:val="28"/>
          <w:szCs w:val="28"/>
          <w:lang w:val="en-US"/>
        </w:rPr>
      </w:pPr>
    </w:p>
    <w:p w14:paraId="6CA7CC4E" w14:textId="77777777" w:rsidR="0076232E" w:rsidRDefault="0076232E" w:rsidP="00D8211F">
      <w:pPr>
        <w:spacing w:after="0" w:line="240" w:lineRule="auto"/>
        <w:ind w:left="720" w:right="571"/>
        <w:jc w:val="both"/>
        <w:rPr>
          <w:rFonts w:ascii="Times New Roman" w:hAnsi="Times New Roman" w:cs="Times New Roman"/>
          <w:bCs/>
          <w:sz w:val="24"/>
          <w:szCs w:val="24"/>
        </w:rPr>
      </w:pPr>
      <w:r w:rsidRPr="00C018BA">
        <w:rPr>
          <w:rFonts w:ascii="Times New Roman" w:hAnsi="Times New Roman" w:cs="Times New Roman"/>
          <w:bCs/>
          <w:sz w:val="24"/>
          <w:szCs w:val="24"/>
        </w:rPr>
        <w:t xml:space="preserve">180. (1) Subject to subrule (2), where the applicant obtains no relief on an application for summary judgment, the Court may fix the </w:t>
      </w:r>
      <w:proofErr w:type="spellStart"/>
      <w:r w:rsidRPr="00C018BA">
        <w:rPr>
          <w:rFonts w:ascii="Times New Roman" w:hAnsi="Times New Roman" w:cs="Times New Roman"/>
          <w:bCs/>
          <w:sz w:val="24"/>
          <w:szCs w:val="24"/>
        </w:rPr>
        <w:t>respondant’s</w:t>
      </w:r>
      <w:proofErr w:type="spellEnd"/>
      <w:r w:rsidRPr="00C018BA">
        <w:rPr>
          <w:rFonts w:ascii="Times New Roman" w:hAnsi="Times New Roman" w:cs="Times New Roman"/>
          <w:bCs/>
          <w:sz w:val="24"/>
          <w:szCs w:val="24"/>
        </w:rPr>
        <w:t xml:space="preserve"> costs on the application on a solicitor and client basis and order the applicant to pay the costs without delay. </w:t>
      </w:r>
    </w:p>
    <w:p w14:paraId="7C55C1BF" w14:textId="77777777" w:rsidR="0076232E" w:rsidRDefault="0076232E" w:rsidP="00D8211F">
      <w:pPr>
        <w:spacing w:after="0" w:line="240" w:lineRule="auto"/>
        <w:ind w:left="720" w:right="571"/>
        <w:jc w:val="both"/>
        <w:rPr>
          <w:rFonts w:ascii="Times New Roman" w:hAnsi="Times New Roman" w:cs="Times New Roman"/>
          <w:bCs/>
          <w:sz w:val="24"/>
          <w:szCs w:val="24"/>
        </w:rPr>
      </w:pPr>
    </w:p>
    <w:p w14:paraId="00F6AE82" w14:textId="1A8F14B5" w:rsidR="0076232E" w:rsidRDefault="007677AE" w:rsidP="00D21597">
      <w:pPr>
        <w:spacing w:after="0" w:line="240" w:lineRule="auto"/>
        <w:ind w:left="720" w:right="571" w:firstLine="41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6232E" w:rsidRPr="00C018BA">
        <w:rPr>
          <w:rFonts w:ascii="Times New Roman" w:hAnsi="Times New Roman" w:cs="Times New Roman"/>
          <w:bCs/>
          <w:sz w:val="24"/>
          <w:szCs w:val="24"/>
        </w:rPr>
        <w:t xml:space="preserve">(2) The Court may decline to fix and order costs under subrule (1) where it is satisfied that the making of an application, although unsuccessful, was nevertheless reasonable. </w:t>
      </w:r>
    </w:p>
    <w:p w14:paraId="129156EB" w14:textId="77777777" w:rsidR="0076232E" w:rsidRDefault="0076232E" w:rsidP="00D8211F">
      <w:pPr>
        <w:spacing w:after="0" w:line="240" w:lineRule="auto"/>
        <w:ind w:left="720" w:right="571"/>
        <w:jc w:val="both"/>
        <w:rPr>
          <w:rFonts w:ascii="Times New Roman" w:hAnsi="Times New Roman" w:cs="Times New Roman"/>
          <w:bCs/>
          <w:sz w:val="24"/>
          <w:szCs w:val="24"/>
        </w:rPr>
      </w:pPr>
    </w:p>
    <w:p w14:paraId="6CC036DB" w14:textId="16AA4BAE" w:rsidR="0076232E" w:rsidRDefault="007677AE" w:rsidP="007677AE">
      <w:pPr>
        <w:spacing w:after="0" w:line="240" w:lineRule="auto"/>
        <w:ind w:left="720" w:right="571" w:firstLine="41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6232E" w:rsidRPr="00C018BA">
        <w:rPr>
          <w:rFonts w:ascii="Times New Roman" w:hAnsi="Times New Roman" w:cs="Times New Roman"/>
          <w:bCs/>
          <w:sz w:val="24"/>
          <w:szCs w:val="24"/>
        </w:rPr>
        <w:t>(3) Where it appears to the Court that a party to an application for summary judgment has acted in bad faith or primarily for the purpose of delay, the Court shall fix the costs of the application on a solicitor and client basis and order the party to pay them without delay</w:t>
      </w:r>
      <w:r w:rsidR="0076232E">
        <w:rPr>
          <w:rFonts w:ascii="Times New Roman" w:hAnsi="Times New Roman" w:cs="Times New Roman"/>
          <w:bCs/>
          <w:sz w:val="24"/>
          <w:szCs w:val="24"/>
        </w:rPr>
        <w:t>.</w:t>
      </w:r>
    </w:p>
    <w:p w14:paraId="250571D3" w14:textId="77777777" w:rsidR="0076232E" w:rsidRDefault="0076232E" w:rsidP="0076232E">
      <w:pPr>
        <w:spacing w:after="0" w:line="240" w:lineRule="auto"/>
        <w:jc w:val="both"/>
        <w:rPr>
          <w:rFonts w:ascii="Times New Roman" w:hAnsi="Times New Roman" w:cs="Times New Roman"/>
          <w:bCs/>
          <w:sz w:val="28"/>
          <w:szCs w:val="28"/>
          <w:lang w:val="en-US"/>
        </w:rPr>
      </w:pPr>
    </w:p>
    <w:p w14:paraId="36CAF1E9" w14:textId="77777777" w:rsidR="007630E6" w:rsidRDefault="007630E6" w:rsidP="0076232E">
      <w:pPr>
        <w:spacing w:after="0" w:line="240" w:lineRule="auto"/>
        <w:jc w:val="both"/>
        <w:rPr>
          <w:rFonts w:ascii="Times New Roman" w:hAnsi="Times New Roman" w:cs="Times New Roman"/>
          <w:bCs/>
          <w:sz w:val="28"/>
          <w:szCs w:val="28"/>
          <w:lang w:val="en-US"/>
        </w:rPr>
      </w:pPr>
    </w:p>
    <w:p w14:paraId="5CEC6A11" w14:textId="45EE74C0" w:rsidR="0076232E" w:rsidRPr="006E27BE" w:rsidRDefault="0076232E" w:rsidP="0076232E">
      <w:pPr>
        <w:pStyle w:val="ListParagraph"/>
        <w:numPr>
          <w:ilvl w:val="0"/>
          <w:numId w:val="1"/>
        </w:numPr>
        <w:spacing w:after="0" w:line="240" w:lineRule="auto"/>
        <w:contextualSpacing w:val="0"/>
        <w:jc w:val="both"/>
        <w:rPr>
          <w:rFonts w:ascii="Times New Roman" w:hAnsi="Times New Roman" w:cs="Times New Roman"/>
          <w:bCs/>
          <w:sz w:val="28"/>
          <w:szCs w:val="28"/>
          <w:lang w:val="en-US"/>
        </w:rPr>
      </w:pPr>
      <w:r w:rsidRPr="006E27BE">
        <w:rPr>
          <w:rFonts w:ascii="Times New Roman" w:hAnsi="Times New Roman" w:cs="Times New Roman"/>
          <w:bCs/>
          <w:sz w:val="28"/>
          <w:szCs w:val="28"/>
          <w:lang w:val="en-US"/>
        </w:rPr>
        <w:t>Charbonneau J.</w:t>
      </w:r>
      <w:r w:rsidR="00C01FB7" w:rsidRPr="006E27BE">
        <w:rPr>
          <w:rFonts w:ascii="Times New Roman" w:hAnsi="Times New Roman" w:cs="Times New Roman"/>
          <w:bCs/>
          <w:sz w:val="28"/>
          <w:szCs w:val="28"/>
          <w:lang w:val="en-US"/>
        </w:rPr>
        <w:t>’s</w:t>
      </w:r>
      <w:r w:rsidRPr="006E27BE">
        <w:rPr>
          <w:rFonts w:ascii="Times New Roman" w:hAnsi="Times New Roman" w:cs="Times New Roman"/>
          <w:bCs/>
          <w:sz w:val="28"/>
          <w:szCs w:val="28"/>
          <w:lang w:val="en-US"/>
        </w:rPr>
        <w:t xml:space="preserve"> decision in </w:t>
      </w:r>
      <w:r w:rsidRPr="006E27BE">
        <w:rPr>
          <w:rFonts w:ascii="Times New Roman" w:hAnsi="Times New Roman" w:cs="Times New Roman"/>
          <w:bCs/>
          <w:i/>
          <w:iCs/>
          <w:sz w:val="28"/>
          <w:szCs w:val="28"/>
          <w:lang w:val="en-US"/>
        </w:rPr>
        <w:t>Paul’s Aircraft Services</w:t>
      </w:r>
      <w:r w:rsidRPr="006E27BE">
        <w:rPr>
          <w:rFonts w:ascii="Times New Roman" w:hAnsi="Times New Roman" w:cs="Times New Roman"/>
          <w:bCs/>
          <w:sz w:val="28"/>
          <w:szCs w:val="28"/>
          <w:lang w:val="en-US"/>
        </w:rPr>
        <w:t xml:space="preserve"> </w:t>
      </w:r>
      <w:r w:rsidRPr="00D8211F">
        <w:rPr>
          <w:rFonts w:ascii="Times New Roman" w:hAnsi="Times New Roman" w:cs="Times New Roman"/>
          <w:bCs/>
          <w:i/>
          <w:iCs/>
          <w:sz w:val="28"/>
          <w:szCs w:val="28"/>
          <w:lang w:val="en-US"/>
        </w:rPr>
        <w:t>v</w:t>
      </w:r>
      <w:r w:rsidRPr="006E27BE">
        <w:rPr>
          <w:rFonts w:ascii="Times New Roman" w:hAnsi="Times New Roman" w:cs="Times New Roman"/>
          <w:bCs/>
          <w:sz w:val="28"/>
          <w:szCs w:val="28"/>
          <w:lang w:val="en-US"/>
        </w:rPr>
        <w:t xml:space="preserve"> </w:t>
      </w:r>
      <w:r w:rsidRPr="006E27BE">
        <w:rPr>
          <w:rFonts w:ascii="Times New Roman" w:hAnsi="Times New Roman" w:cs="Times New Roman"/>
          <w:bCs/>
          <w:i/>
          <w:iCs/>
          <w:sz w:val="28"/>
          <w:szCs w:val="28"/>
          <w:lang w:val="en-US"/>
        </w:rPr>
        <w:t xml:space="preserve">Kenn Borek Air Ltd., </w:t>
      </w:r>
      <w:r w:rsidRPr="006E27BE">
        <w:rPr>
          <w:rFonts w:ascii="Times New Roman" w:hAnsi="Times New Roman" w:cs="Times New Roman"/>
          <w:bCs/>
          <w:sz w:val="28"/>
          <w:szCs w:val="28"/>
          <w:lang w:val="en-US"/>
        </w:rPr>
        <w:t>2012 NWTSC 85 sets out the principles that guide the court when deciding on cost awards under R</w:t>
      </w:r>
      <w:r w:rsidR="00D76AF1" w:rsidRPr="006E27BE">
        <w:rPr>
          <w:rFonts w:ascii="Times New Roman" w:hAnsi="Times New Roman" w:cs="Times New Roman"/>
          <w:bCs/>
          <w:sz w:val="28"/>
          <w:szCs w:val="28"/>
          <w:lang w:val="en-US"/>
        </w:rPr>
        <w:t>ule</w:t>
      </w:r>
      <w:r w:rsidRPr="006E27BE">
        <w:rPr>
          <w:rFonts w:ascii="Times New Roman" w:hAnsi="Times New Roman" w:cs="Times New Roman"/>
          <w:bCs/>
          <w:sz w:val="28"/>
          <w:szCs w:val="28"/>
          <w:lang w:val="en-US"/>
        </w:rPr>
        <w:t xml:space="preserve"> 180. </w:t>
      </w:r>
      <w:r w:rsidR="006E27BE" w:rsidRPr="006E27BE">
        <w:rPr>
          <w:rFonts w:ascii="Times New Roman" w:hAnsi="Times New Roman" w:cs="Times New Roman"/>
          <w:bCs/>
          <w:sz w:val="28"/>
          <w:szCs w:val="28"/>
          <w:lang w:val="en-US"/>
        </w:rPr>
        <w:t>It stresses</w:t>
      </w:r>
      <w:r w:rsidR="00CA1565" w:rsidRPr="006E27BE">
        <w:rPr>
          <w:rFonts w:ascii="Times New Roman" w:hAnsi="Times New Roman" w:cs="Times New Roman"/>
          <w:bCs/>
          <w:sz w:val="28"/>
          <w:szCs w:val="28"/>
          <w:lang w:val="en-US"/>
        </w:rPr>
        <w:t xml:space="preserve"> that the</w:t>
      </w:r>
      <w:r w:rsidRPr="006E27BE">
        <w:rPr>
          <w:rFonts w:ascii="Times New Roman" w:hAnsi="Times New Roman" w:cs="Times New Roman"/>
          <w:bCs/>
          <w:sz w:val="28"/>
          <w:szCs w:val="28"/>
          <w:lang w:val="en-US"/>
        </w:rPr>
        <w:t xml:space="preserve"> decision to award solicitor</w:t>
      </w:r>
      <w:r w:rsidR="00D76AF1" w:rsidRPr="006E27BE">
        <w:rPr>
          <w:rFonts w:ascii="Times New Roman" w:hAnsi="Times New Roman" w:cs="Times New Roman"/>
          <w:bCs/>
          <w:sz w:val="28"/>
          <w:szCs w:val="28"/>
          <w:lang w:val="en-US"/>
        </w:rPr>
        <w:t xml:space="preserve"> and </w:t>
      </w:r>
      <w:r w:rsidRPr="006E27BE">
        <w:rPr>
          <w:rFonts w:ascii="Times New Roman" w:hAnsi="Times New Roman" w:cs="Times New Roman"/>
          <w:bCs/>
          <w:sz w:val="28"/>
          <w:szCs w:val="28"/>
          <w:lang w:val="en-US"/>
        </w:rPr>
        <w:t xml:space="preserve">client costs against an unsuccessful applicant is a discretionary one and highlights that the </w:t>
      </w:r>
      <w:r w:rsidRPr="006E27BE">
        <w:rPr>
          <w:rFonts w:ascii="Times New Roman" w:hAnsi="Times New Roman" w:cs="Times New Roman"/>
          <w:bCs/>
          <w:sz w:val="28"/>
          <w:szCs w:val="28"/>
          <w:lang w:val="en-US"/>
        </w:rPr>
        <w:lastRenderedPageBreak/>
        <w:t>purpose o</w:t>
      </w:r>
      <w:r w:rsidR="00E44E6A" w:rsidRPr="006E27BE">
        <w:rPr>
          <w:rFonts w:ascii="Times New Roman" w:hAnsi="Times New Roman" w:cs="Times New Roman"/>
          <w:bCs/>
          <w:sz w:val="28"/>
          <w:szCs w:val="28"/>
          <w:lang w:val="en-US"/>
        </w:rPr>
        <w:t xml:space="preserve">f Rule 180 </w:t>
      </w:r>
      <w:r w:rsidRPr="006E27BE">
        <w:rPr>
          <w:rFonts w:ascii="Times New Roman" w:hAnsi="Times New Roman" w:cs="Times New Roman"/>
          <w:bCs/>
          <w:sz w:val="28"/>
          <w:szCs w:val="28"/>
          <w:lang w:val="en-US"/>
        </w:rPr>
        <w:t>is to deter unreasonable and dilatory applications for summary judgment (para</w:t>
      </w:r>
      <w:r w:rsidR="00E44E6A" w:rsidRPr="006E27BE">
        <w:rPr>
          <w:rFonts w:ascii="Times New Roman" w:hAnsi="Times New Roman" w:cs="Times New Roman"/>
          <w:bCs/>
          <w:sz w:val="28"/>
          <w:szCs w:val="28"/>
          <w:lang w:val="en-US"/>
        </w:rPr>
        <w:t>s 15 and</w:t>
      </w:r>
      <w:r w:rsidRPr="006E27BE">
        <w:rPr>
          <w:rFonts w:ascii="Times New Roman" w:hAnsi="Times New Roman" w:cs="Times New Roman"/>
          <w:bCs/>
          <w:sz w:val="28"/>
          <w:szCs w:val="28"/>
          <w:lang w:val="en-US"/>
        </w:rPr>
        <w:t xml:space="preserve"> 18). In that case, although the court dismissed the summary judgment application, </w:t>
      </w:r>
      <w:r w:rsidR="00CA1565" w:rsidRPr="006E27BE">
        <w:rPr>
          <w:rFonts w:ascii="Times New Roman" w:hAnsi="Times New Roman" w:cs="Times New Roman"/>
          <w:bCs/>
          <w:sz w:val="28"/>
          <w:szCs w:val="28"/>
          <w:lang w:val="en-US"/>
        </w:rPr>
        <w:t>Charbonneau J.</w:t>
      </w:r>
      <w:r w:rsidRPr="006E27BE">
        <w:rPr>
          <w:rFonts w:ascii="Times New Roman" w:hAnsi="Times New Roman" w:cs="Times New Roman"/>
          <w:bCs/>
          <w:sz w:val="28"/>
          <w:szCs w:val="28"/>
          <w:lang w:val="en-US"/>
        </w:rPr>
        <w:t xml:space="preserve"> found that it did not fall into that category of unreasonable or dilatory applications that should attract costs on a solicitor</w:t>
      </w:r>
      <w:r w:rsidR="00E44E6A" w:rsidRPr="006E27BE">
        <w:rPr>
          <w:rFonts w:ascii="Times New Roman" w:hAnsi="Times New Roman" w:cs="Times New Roman"/>
          <w:bCs/>
          <w:sz w:val="28"/>
          <w:szCs w:val="28"/>
          <w:lang w:val="en-US"/>
        </w:rPr>
        <w:t xml:space="preserve"> and </w:t>
      </w:r>
      <w:r w:rsidRPr="006E27BE">
        <w:rPr>
          <w:rFonts w:ascii="Times New Roman" w:hAnsi="Times New Roman" w:cs="Times New Roman"/>
          <w:bCs/>
          <w:sz w:val="28"/>
          <w:szCs w:val="28"/>
          <w:lang w:val="en-US"/>
        </w:rPr>
        <w:t>client basis.</w:t>
      </w:r>
    </w:p>
    <w:p w14:paraId="63574841" w14:textId="77777777" w:rsidR="00CA1565" w:rsidRDefault="00CA1565" w:rsidP="00CA1565">
      <w:pPr>
        <w:pStyle w:val="ListParagraph"/>
        <w:spacing w:after="0" w:line="240" w:lineRule="auto"/>
        <w:ind w:left="0"/>
        <w:contextualSpacing w:val="0"/>
        <w:jc w:val="both"/>
        <w:rPr>
          <w:rFonts w:ascii="Times New Roman" w:hAnsi="Times New Roman" w:cs="Times New Roman"/>
          <w:bCs/>
          <w:sz w:val="28"/>
          <w:szCs w:val="28"/>
          <w:lang w:val="en-US"/>
        </w:rPr>
      </w:pPr>
    </w:p>
    <w:p w14:paraId="1331A0B1" w14:textId="4013E23E" w:rsidR="00CE139A" w:rsidRPr="006E27BE" w:rsidRDefault="00CA1565" w:rsidP="00A648B8">
      <w:pPr>
        <w:pStyle w:val="ListParagraph"/>
        <w:numPr>
          <w:ilvl w:val="0"/>
          <w:numId w:val="1"/>
        </w:numPr>
        <w:spacing w:after="0" w:line="240" w:lineRule="auto"/>
        <w:contextualSpacing w:val="0"/>
        <w:jc w:val="both"/>
        <w:rPr>
          <w:rFonts w:ascii="Times New Roman" w:hAnsi="Times New Roman" w:cs="Times New Roman"/>
          <w:bCs/>
          <w:sz w:val="28"/>
          <w:szCs w:val="28"/>
          <w:lang w:val="en-US"/>
        </w:rPr>
      </w:pPr>
      <w:r w:rsidRPr="006E27BE">
        <w:rPr>
          <w:rFonts w:ascii="Times New Roman" w:hAnsi="Times New Roman" w:cs="Times New Roman"/>
          <w:bCs/>
          <w:sz w:val="28"/>
          <w:szCs w:val="28"/>
        </w:rPr>
        <w:t xml:space="preserve">I come to the same conclusion in this case. </w:t>
      </w:r>
      <w:r w:rsidR="00712C34" w:rsidRPr="006E27BE">
        <w:rPr>
          <w:rFonts w:ascii="Times New Roman" w:hAnsi="Times New Roman" w:cs="Times New Roman"/>
          <w:bCs/>
          <w:sz w:val="28"/>
          <w:szCs w:val="28"/>
        </w:rPr>
        <w:t xml:space="preserve">The relief sought </w:t>
      </w:r>
      <w:r w:rsidRPr="006E27BE">
        <w:rPr>
          <w:rFonts w:ascii="Times New Roman" w:hAnsi="Times New Roman" w:cs="Times New Roman"/>
          <w:bCs/>
          <w:sz w:val="28"/>
          <w:szCs w:val="28"/>
        </w:rPr>
        <w:t xml:space="preserve">by Northland </w:t>
      </w:r>
      <w:r w:rsidR="00712C34" w:rsidRPr="006E27BE">
        <w:rPr>
          <w:rFonts w:ascii="Times New Roman" w:hAnsi="Times New Roman" w:cs="Times New Roman"/>
          <w:bCs/>
          <w:sz w:val="28"/>
          <w:szCs w:val="28"/>
        </w:rPr>
        <w:t>against NTE was in the</w:t>
      </w:r>
      <w:r w:rsidR="0009333B" w:rsidRPr="006E27BE">
        <w:rPr>
          <w:rFonts w:ascii="Times New Roman" w:hAnsi="Times New Roman" w:cs="Times New Roman"/>
          <w:bCs/>
          <w:sz w:val="28"/>
          <w:szCs w:val="28"/>
        </w:rPr>
        <w:t xml:space="preserve"> strict</w:t>
      </w:r>
      <w:r w:rsidR="00712C34" w:rsidRPr="006E27BE">
        <w:rPr>
          <w:rFonts w:ascii="Times New Roman" w:hAnsi="Times New Roman" w:cs="Times New Roman"/>
          <w:bCs/>
          <w:sz w:val="28"/>
          <w:szCs w:val="28"/>
        </w:rPr>
        <w:t xml:space="preserve"> alternative</w:t>
      </w:r>
      <w:r w:rsidRPr="006E27BE">
        <w:rPr>
          <w:rFonts w:ascii="Times New Roman" w:hAnsi="Times New Roman" w:cs="Times New Roman"/>
          <w:bCs/>
          <w:sz w:val="28"/>
          <w:szCs w:val="28"/>
        </w:rPr>
        <w:t>.</w:t>
      </w:r>
      <w:r w:rsidR="00712C34" w:rsidRPr="006E27BE">
        <w:rPr>
          <w:rFonts w:ascii="Times New Roman" w:hAnsi="Times New Roman" w:cs="Times New Roman"/>
          <w:bCs/>
          <w:sz w:val="28"/>
          <w:szCs w:val="28"/>
        </w:rPr>
        <w:t xml:space="preserve"> </w:t>
      </w:r>
      <w:r w:rsidR="0009333B" w:rsidRPr="006E27BE">
        <w:rPr>
          <w:rFonts w:ascii="Times New Roman" w:hAnsi="Times New Roman" w:cs="Times New Roman"/>
          <w:bCs/>
          <w:sz w:val="28"/>
          <w:szCs w:val="28"/>
        </w:rPr>
        <w:t>Considering ONEC and Liberty</w:t>
      </w:r>
      <w:r w:rsidR="00EE1AC4" w:rsidRPr="006E27BE">
        <w:rPr>
          <w:rFonts w:ascii="Times New Roman" w:hAnsi="Times New Roman" w:cs="Times New Roman"/>
          <w:bCs/>
          <w:sz w:val="28"/>
          <w:szCs w:val="28"/>
        </w:rPr>
        <w:t xml:space="preserve"> argued </w:t>
      </w:r>
      <w:r w:rsidR="0009333B" w:rsidRPr="006E27BE">
        <w:rPr>
          <w:rFonts w:ascii="Times New Roman" w:hAnsi="Times New Roman" w:cs="Times New Roman"/>
          <w:bCs/>
          <w:sz w:val="28"/>
          <w:szCs w:val="28"/>
        </w:rPr>
        <w:t xml:space="preserve">that </w:t>
      </w:r>
      <w:r w:rsidR="00245DAD" w:rsidRPr="006E27BE">
        <w:rPr>
          <w:rFonts w:ascii="Times New Roman" w:hAnsi="Times New Roman" w:cs="Times New Roman"/>
          <w:bCs/>
          <w:sz w:val="28"/>
          <w:szCs w:val="28"/>
        </w:rPr>
        <w:t>Northland</w:t>
      </w:r>
      <w:r w:rsidR="00D86DD7" w:rsidRPr="006E27BE">
        <w:rPr>
          <w:rFonts w:ascii="Times New Roman" w:hAnsi="Times New Roman" w:cs="Times New Roman"/>
          <w:bCs/>
          <w:sz w:val="28"/>
          <w:szCs w:val="28"/>
        </w:rPr>
        <w:t xml:space="preserve"> was a party </w:t>
      </w:r>
      <w:r w:rsidR="00DF5C9B" w:rsidRPr="006E27BE">
        <w:rPr>
          <w:rFonts w:ascii="Times New Roman" w:hAnsi="Times New Roman" w:cs="Times New Roman"/>
          <w:bCs/>
          <w:sz w:val="28"/>
          <w:szCs w:val="28"/>
        </w:rPr>
        <w:t>to</w:t>
      </w:r>
      <w:r w:rsidR="00D86DD7" w:rsidRPr="006E27BE">
        <w:rPr>
          <w:rFonts w:ascii="Times New Roman" w:hAnsi="Times New Roman" w:cs="Times New Roman"/>
          <w:bCs/>
          <w:sz w:val="28"/>
          <w:szCs w:val="28"/>
        </w:rPr>
        <w:t xml:space="preserve"> the Prime Contract, it </w:t>
      </w:r>
      <w:r w:rsidR="00BF5C99" w:rsidRPr="006E27BE">
        <w:rPr>
          <w:rFonts w:ascii="Times New Roman" w:hAnsi="Times New Roman" w:cs="Times New Roman"/>
          <w:bCs/>
          <w:sz w:val="28"/>
          <w:szCs w:val="28"/>
        </w:rPr>
        <w:t>was reasonable</w:t>
      </w:r>
      <w:r w:rsidR="00CE139A" w:rsidRPr="006E27BE">
        <w:rPr>
          <w:rFonts w:ascii="Times New Roman" w:hAnsi="Times New Roman" w:cs="Times New Roman"/>
          <w:bCs/>
          <w:sz w:val="28"/>
          <w:szCs w:val="28"/>
        </w:rPr>
        <w:t xml:space="preserve"> for Northland</w:t>
      </w:r>
      <w:r w:rsidR="00504AFC" w:rsidRPr="006E27BE">
        <w:rPr>
          <w:rFonts w:ascii="Times New Roman" w:hAnsi="Times New Roman" w:cs="Times New Roman"/>
          <w:bCs/>
          <w:sz w:val="28"/>
          <w:szCs w:val="28"/>
        </w:rPr>
        <w:t xml:space="preserve"> to advance</w:t>
      </w:r>
      <w:r w:rsidR="00EE1AC4" w:rsidRPr="006E27BE">
        <w:rPr>
          <w:rFonts w:ascii="Times New Roman" w:hAnsi="Times New Roman" w:cs="Times New Roman"/>
          <w:bCs/>
          <w:sz w:val="28"/>
          <w:szCs w:val="28"/>
        </w:rPr>
        <w:t xml:space="preserve"> an </w:t>
      </w:r>
      <w:r w:rsidR="00E55C54" w:rsidRPr="006E27BE">
        <w:rPr>
          <w:rFonts w:ascii="Times New Roman" w:hAnsi="Times New Roman" w:cs="Times New Roman"/>
          <w:bCs/>
          <w:sz w:val="28"/>
          <w:szCs w:val="28"/>
        </w:rPr>
        <w:t>alternative</w:t>
      </w:r>
      <w:r w:rsidR="00EE1AC4" w:rsidRPr="006E27BE">
        <w:rPr>
          <w:rFonts w:ascii="Times New Roman" w:hAnsi="Times New Roman" w:cs="Times New Roman"/>
          <w:bCs/>
          <w:sz w:val="28"/>
          <w:szCs w:val="28"/>
        </w:rPr>
        <w:t xml:space="preserve"> position against NTE</w:t>
      </w:r>
      <w:r w:rsidR="00504AFC" w:rsidRPr="006E27BE">
        <w:rPr>
          <w:rFonts w:ascii="Times New Roman" w:hAnsi="Times New Roman" w:cs="Times New Roman"/>
          <w:bCs/>
          <w:sz w:val="28"/>
          <w:szCs w:val="28"/>
        </w:rPr>
        <w:t xml:space="preserve">. </w:t>
      </w:r>
    </w:p>
    <w:p w14:paraId="71EE561A" w14:textId="77777777" w:rsidR="00CE139A" w:rsidRPr="006E27BE" w:rsidRDefault="00CE139A" w:rsidP="00CE139A">
      <w:pPr>
        <w:pStyle w:val="ListParagraph"/>
        <w:rPr>
          <w:rFonts w:ascii="Times New Roman" w:hAnsi="Times New Roman" w:cs="Times New Roman"/>
          <w:bCs/>
          <w:sz w:val="28"/>
          <w:szCs w:val="28"/>
        </w:rPr>
      </w:pPr>
    </w:p>
    <w:p w14:paraId="16C1971D" w14:textId="6E2CED9E" w:rsidR="006E27BE" w:rsidRPr="006E27BE" w:rsidRDefault="00504AFC" w:rsidP="00D325D8">
      <w:pPr>
        <w:pStyle w:val="ListParagraph"/>
        <w:numPr>
          <w:ilvl w:val="0"/>
          <w:numId w:val="1"/>
        </w:numPr>
        <w:spacing w:after="0" w:line="240" w:lineRule="auto"/>
        <w:contextualSpacing w:val="0"/>
        <w:jc w:val="both"/>
        <w:rPr>
          <w:rFonts w:ascii="Times New Roman" w:hAnsi="Times New Roman" w:cs="Times New Roman"/>
          <w:bCs/>
          <w:sz w:val="28"/>
          <w:szCs w:val="28"/>
          <w:lang w:val="en-US"/>
        </w:rPr>
      </w:pPr>
      <w:r w:rsidRPr="006E27BE">
        <w:rPr>
          <w:rFonts w:ascii="Times New Roman" w:hAnsi="Times New Roman" w:cs="Times New Roman"/>
          <w:bCs/>
          <w:sz w:val="28"/>
          <w:szCs w:val="28"/>
        </w:rPr>
        <w:t xml:space="preserve">NTE is </w:t>
      </w:r>
      <w:r w:rsidR="00F82C9B" w:rsidRPr="006E27BE">
        <w:rPr>
          <w:rFonts w:ascii="Times New Roman" w:hAnsi="Times New Roman" w:cs="Times New Roman"/>
          <w:bCs/>
          <w:sz w:val="28"/>
          <w:szCs w:val="28"/>
        </w:rPr>
        <w:t>a</w:t>
      </w:r>
      <w:r w:rsidRPr="006E27BE">
        <w:rPr>
          <w:rFonts w:ascii="Times New Roman" w:hAnsi="Times New Roman" w:cs="Times New Roman"/>
          <w:bCs/>
          <w:sz w:val="28"/>
          <w:szCs w:val="28"/>
        </w:rPr>
        <w:t xml:space="preserve"> successful party on this application</w:t>
      </w:r>
      <w:r w:rsidR="002D0F62" w:rsidRPr="006E27BE">
        <w:rPr>
          <w:rFonts w:ascii="Times New Roman" w:hAnsi="Times New Roman" w:cs="Times New Roman"/>
          <w:bCs/>
          <w:sz w:val="28"/>
          <w:szCs w:val="28"/>
        </w:rPr>
        <w:t xml:space="preserve"> and consequently, </w:t>
      </w:r>
      <w:r w:rsidR="00CE139A" w:rsidRPr="006E27BE">
        <w:rPr>
          <w:rFonts w:ascii="Times New Roman" w:hAnsi="Times New Roman" w:cs="Times New Roman"/>
          <w:bCs/>
          <w:sz w:val="28"/>
          <w:szCs w:val="28"/>
        </w:rPr>
        <w:t xml:space="preserve">it </w:t>
      </w:r>
      <w:r w:rsidRPr="006E27BE">
        <w:rPr>
          <w:rFonts w:ascii="Times New Roman" w:hAnsi="Times New Roman" w:cs="Times New Roman"/>
          <w:bCs/>
          <w:sz w:val="28"/>
          <w:szCs w:val="28"/>
        </w:rPr>
        <w:t xml:space="preserve">is presumptively entitled to </w:t>
      </w:r>
      <w:r w:rsidR="00245DAD" w:rsidRPr="006E27BE">
        <w:rPr>
          <w:rFonts w:ascii="Times New Roman" w:hAnsi="Times New Roman" w:cs="Times New Roman"/>
          <w:bCs/>
          <w:sz w:val="28"/>
          <w:szCs w:val="28"/>
        </w:rPr>
        <w:t>party</w:t>
      </w:r>
      <w:r w:rsidR="006E27BE" w:rsidRPr="006E27BE">
        <w:rPr>
          <w:rFonts w:ascii="Times New Roman" w:hAnsi="Times New Roman" w:cs="Times New Roman"/>
          <w:bCs/>
          <w:sz w:val="28"/>
          <w:szCs w:val="28"/>
        </w:rPr>
        <w:t xml:space="preserve"> and </w:t>
      </w:r>
      <w:r w:rsidR="00245DAD" w:rsidRPr="006E27BE">
        <w:rPr>
          <w:rFonts w:ascii="Times New Roman" w:hAnsi="Times New Roman" w:cs="Times New Roman"/>
          <w:bCs/>
          <w:sz w:val="28"/>
          <w:szCs w:val="28"/>
        </w:rPr>
        <w:t>party</w:t>
      </w:r>
      <w:r w:rsidR="00712C34" w:rsidRPr="006E27BE">
        <w:rPr>
          <w:rFonts w:ascii="Times New Roman" w:hAnsi="Times New Roman" w:cs="Times New Roman"/>
          <w:bCs/>
          <w:sz w:val="28"/>
          <w:szCs w:val="28"/>
        </w:rPr>
        <w:t xml:space="preserve"> costs</w:t>
      </w:r>
      <w:r w:rsidR="00EB78D1" w:rsidRPr="006E27BE">
        <w:rPr>
          <w:rFonts w:ascii="Times New Roman" w:hAnsi="Times New Roman" w:cs="Times New Roman"/>
          <w:bCs/>
          <w:sz w:val="28"/>
          <w:szCs w:val="28"/>
        </w:rPr>
        <w:t xml:space="preserve">. </w:t>
      </w:r>
      <w:r w:rsidRPr="006E27BE">
        <w:rPr>
          <w:rFonts w:ascii="Times New Roman" w:hAnsi="Times New Roman" w:cs="Times New Roman"/>
          <w:bCs/>
          <w:sz w:val="28"/>
          <w:szCs w:val="28"/>
        </w:rPr>
        <w:t>I see no valid reason to depart from the general rule in this case</w:t>
      </w:r>
      <w:r w:rsidR="00CE139A" w:rsidRPr="006E27BE">
        <w:rPr>
          <w:rFonts w:ascii="Times New Roman" w:hAnsi="Times New Roman" w:cs="Times New Roman"/>
          <w:bCs/>
          <w:sz w:val="28"/>
          <w:szCs w:val="28"/>
        </w:rPr>
        <w:t xml:space="preserve">. </w:t>
      </w:r>
    </w:p>
    <w:p w14:paraId="62008B32" w14:textId="77777777" w:rsidR="008F5292" w:rsidRDefault="008F5292" w:rsidP="00D325D8">
      <w:pPr>
        <w:spacing w:after="0" w:line="240" w:lineRule="auto"/>
        <w:jc w:val="both"/>
        <w:rPr>
          <w:rFonts w:ascii="Times New Roman" w:hAnsi="Times New Roman" w:cs="Times New Roman"/>
          <w:bCs/>
          <w:sz w:val="28"/>
          <w:szCs w:val="28"/>
        </w:rPr>
      </w:pPr>
    </w:p>
    <w:p w14:paraId="2A6AA6D5" w14:textId="28DF99FC" w:rsidR="00F36FC9" w:rsidRPr="00F82B8E" w:rsidRDefault="00BA2B31" w:rsidP="00F36FC9">
      <w:pPr>
        <w:pStyle w:val="ListParagraph"/>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588F037B" w14:textId="77777777" w:rsidR="00F36FC9" w:rsidRDefault="00F36FC9" w:rsidP="00F36FC9">
      <w:pPr>
        <w:pStyle w:val="ListParagraph"/>
        <w:spacing w:after="0" w:line="240" w:lineRule="auto"/>
        <w:ind w:left="0"/>
        <w:jc w:val="both"/>
        <w:rPr>
          <w:rFonts w:ascii="Times New Roman" w:hAnsi="Times New Roman" w:cs="Times New Roman"/>
          <w:b/>
          <w:bCs/>
          <w:sz w:val="28"/>
          <w:szCs w:val="28"/>
        </w:rPr>
      </w:pPr>
    </w:p>
    <w:p w14:paraId="777BD8CF" w14:textId="33698837" w:rsidR="00BA2B31" w:rsidRPr="00B076DD" w:rsidRDefault="008372C0" w:rsidP="008372C0">
      <w:pPr>
        <w:pStyle w:val="ListParagraph"/>
        <w:numPr>
          <w:ilvl w:val="0"/>
          <w:numId w:val="1"/>
        </w:numPr>
        <w:spacing w:after="0" w:line="240" w:lineRule="auto"/>
        <w:contextualSpacing w:val="0"/>
        <w:jc w:val="both"/>
        <w:rPr>
          <w:rFonts w:ascii="Times New Roman" w:hAnsi="Times New Roman" w:cs="Times New Roman"/>
          <w:bCs/>
          <w:sz w:val="28"/>
          <w:szCs w:val="28"/>
        </w:rPr>
      </w:pPr>
      <w:r w:rsidRPr="00B076DD">
        <w:rPr>
          <w:rFonts w:ascii="Times New Roman" w:hAnsi="Times New Roman" w:cs="Times New Roman"/>
          <w:bCs/>
          <w:sz w:val="28"/>
          <w:szCs w:val="28"/>
        </w:rPr>
        <w:t xml:space="preserve">I find that Northland has established that ONEC’s claim </w:t>
      </w:r>
      <w:r w:rsidR="00CA0AF5" w:rsidRPr="00B076DD">
        <w:rPr>
          <w:rFonts w:ascii="Times New Roman" w:hAnsi="Times New Roman" w:cs="Times New Roman"/>
          <w:bCs/>
          <w:sz w:val="28"/>
          <w:szCs w:val="28"/>
        </w:rPr>
        <w:t>against Northland does not require a trial</w:t>
      </w:r>
      <w:r w:rsidR="00AE3BFD" w:rsidRPr="00B076DD">
        <w:rPr>
          <w:rFonts w:ascii="Times New Roman" w:hAnsi="Times New Roman" w:cs="Times New Roman"/>
          <w:bCs/>
          <w:sz w:val="28"/>
          <w:szCs w:val="28"/>
        </w:rPr>
        <w:t xml:space="preserve"> and is</w:t>
      </w:r>
      <w:r w:rsidR="00AF1799" w:rsidRPr="00B076DD">
        <w:rPr>
          <w:rFonts w:ascii="Times New Roman" w:hAnsi="Times New Roman" w:cs="Times New Roman"/>
          <w:bCs/>
          <w:sz w:val="28"/>
          <w:szCs w:val="28"/>
        </w:rPr>
        <w:t xml:space="preserve"> </w:t>
      </w:r>
      <w:r w:rsidR="00CA0AF5" w:rsidRPr="00B076DD">
        <w:rPr>
          <w:rFonts w:ascii="Times New Roman" w:hAnsi="Times New Roman" w:cs="Times New Roman"/>
          <w:bCs/>
          <w:sz w:val="28"/>
          <w:szCs w:val="28"/>
        </w:rPr>
        <w:t>without merit. I also find that Northland has</w:t>
      </w:r>
      <w:r w:rsidR="00617A5D" w:rsidRPr="00B076DD">
        <w:rPr>
          <w:rFonts w:ascii="Times New Roman" w:hAnsi="Times New Roman" w:cs="Times New Roman"/>
          <w:bCs/>
          <w:sz w:val="28"/>
          <w:szCs w:val="28"/>
        </w:rPr>
        <w:t xml:space="preserve"> met its burden to </w:t>
      </w:r>
      <w:r w:rsidR="00096914" w:rsidRPr="00B076DD">
        <w:rPr>
          <w:rFonts w:ascii="Times New Roman" w:hAnsi="Times New Roman" w:cs="Times New Roman"/>
          <w:bCs/>
          <w:sz w:val="28"/>
          <w:szCs w:val="28"/>
        </w:rPr>
        <w:t xml:space="preserve">establish that the issue of liability </w:t>
      </w:r>
      <w:r w:rsidR="000132FA" w:rsidRPr="00B076DD">
        <w:rPr>
          <w:rFonts w:ascii="Times New Roman" w:hAnsi="Times New Roman" w:cs="Times New Roman"/>
          <w:bCs/>
          <w:sz w:val="28"/>
          <w:szCs w:val="28"/>
        </w:rPr>
        <w:t xml:space="preserve">on the </w:t>
      </w:r>
      <w:r w:rsidR="00B076DD" w:rsidRPr="00B076DD">
        <w:rPr>
          <w:rFonts w:ascii="Times New Roman" w:hAnsi="Times New Roman" w:cs="Times New Roman"/>
          <w:bCs/>
          <w:sz w:val="28"/>
          <w:szCs w:val="28"/>
        </w:rPr>
        <w:t>c</w:t>
      </w:r>
      <w:r w:rsidR="004D7CFA" w:rsidRPr="00B076DD">
        <w:rPr>
          <w:rFonts w:ascii="Times New Roman" w:hAnsi="Times New Roman" w:cs="Times New Roman"/>
          <w:bCs/>
          <w:sz w:val="28"/>
          <w:szCs w:val="28"/>
        </w:rPr>
        <w:t>ounterclaim</w:t>
      </w:r>
      <w:r w:rsidR="00096914" w:rsidRPr="00B076DD">
        <w:rPr>
          <w:rFonts w:ascii="Times New Roman" w:hAnsi="Times New Roman" w:cs="Times New Roman"/>
          <w:bCs/>
          <w:sz w:val="28"/>
          <w:szCs w:val="28"/>
        </w:rPr>
        <w:t xml:space="preserve"> does not require a trial</w:t>
      </w:r>
      <w:r w:rsidR="000132FA" w:rsidRPr="00B076DD">
        <w:rPr>
          <w:rFonts w:ascii="Times New Roman" w:hAnsi="Times New Roman" w:cs="Times New Roman"/>
          <w:bCs/>
          <w:sz w:val="28"/>
          <w:szCs w:val="28"/>
        </w:rPr>
        <w:t xml:space="preserve">. Northland </w:t>
      </w:r>
      <w:r w:rsidR="001C6C10" w:rsidRPr="00B076DD">
        <w:rPr>
          <w:rFonts w:ascii="Times New Roman" w:hAnsi="Times New Roman" w:cs="Times New Roman"/>
          <w:bCs/>
          <w:sz w:val="28"/>
          <w:szCs w:val="28"/>
        </w:rPr>
        <w:t>has</w:t>
      </w:r>
      <w:r w:rsidR="00CA0AF5" w:rsidRPr="00B076DD">
        <w:rPr>
          <w:rFonts w:ascii="Times New Roman" w:hAnsi="Times New Roman" w:cs="Times New Roman"/>
          <w:bCs/>
          <w:sz w:val="28"/>
          <w:szCs w:val="28"/>
        </w:rPr>
        <w:t xml:space="preserve"> </w:t>
      </w:r>
      <w:r w:rsidR="00617A5D" w:rsidRPr="00B076DD">
        <w:rPr>
          <w:rFonts w:ascii="Times New Roman" w:hAnsi="Times New Roman" w:cs="Times New Roman"/>
          <w:bCs/>
          <w:sz w:val="28"/>
          <w:szCs w:val="28"/>
        </w:rPr>
        <w:t xml:space="preserve">proven that ONEC and Liberty are liable </w:t>
      </w:r>
      <w:r w:rsidR="00CB2AB2" w:rsidRPr="00B076DD">
        <w:rPr>
          <w:rFonts w:ascii="Times New Roman" w:hAnsi="Times New Roman" w:cs="Times New Roman"/>
          <w:bCs/>
          <w:sz w:val="28"/>
          <w:szCs w:val="28"/>
        </w:rPr>
        <w:t>to</w:t>
      </w:r>
      <w:r w:rsidR="001C6C10" w:rsidRPr="00B076DD">
        <w:rPr>
          <w:rFonts w:ascii="Times New Roman" w:hAnsi="Times New Roman" w:cs="Times New Roman"/>
          <w:bCs/>
          <w:sz w:val="28"/>
          <w:szCs w:val="28"/>
        </w:rPr>
        <w:t xml:space="preserve"> </w:t>
      </w:r>
      <w:r w:rsidR="004469E3" w:rsidRPr="00B076DD">
        <w:rPr>
          <w:rFonts w:ascii="Times New Roman" w:hAnsi="Times New Roman" w:cs="Times New Roman"/>
          <w:bCs/>
          <w:sz w:val="28"/>
          <w:szCs w:val="28"/>
        </w:rPr>
        <w:t xml:space="preserve">pay </w:t>
      </w:r>
      <w:r w:rsidR="001C6C10" w:rsidRPr="00B076DD">
        <w:rPr>
          <w:rFonts w:ascii="Times New Roman" w:hAnsi="Times New Roman" w:cs="Times New Roman"/>
          <w:bCs/>
          <w:sz w:val="28"/>
          <w:szCs w:val="28"/>
        </w:rPr>
        <w:t xml:space="preserve">contractual damages. However, </w:t>
      </w:r>
      <w:r w:rsidR="00D21DB0" w:rsidRPr="00B076DD">
        <w:rPr>
          <w:rFonts w:ascii="Times New Roman" w:hAnsi="Times New Roman" w:cs="Times New Roman"/>
          <w:bCs/>
          <w:sz w:val="28"/>
          <w:szCs w:val="28"/>
        </w:rPr>
        <w:t>because there is conflicting evidence on material facts and the necessity to reach findings of credibility, I conclude that there is a genuine issue that requires a trial on</w:t>
      </w:r>
      <w:r w:rsidR="0022537C" w:rsidRPr="00B076DD">
        <w:rPr>
          <w:rFonts w:ascii="Times New Roman" w:hAnsi="Times New Roman" w:cs="Times New Roman"/>
          <w:bCs/>
          <w:sz w:val="28"/>
          <w:szCs w:val="28"/>
        </w:rPr>
        <w:t xml:space="preserve"> the scale of</w:t>
      </w:r>
      <w:r w:rsidR="00D21DB0" w:rsidRPr="00B076DD">
        <w:rPr>
          <w:rFonts w:ascii="Times New Roman" w:hAnsi="Times New Roman" w:cs="Times New Roman"/>
          <w:bCs/>
          <w:sz w:val="28"/>
          <w:szCs w:val="28"/>
        </w:rPr>
        <w:t xml:space="preserve"> damages.</w:t>
      </w:r>
      <w:r w:rsidR="0022537C" w:rsidRPr="00B076DD">
        <w:rPr>
          <w:rFonts w:ascii="Times New Roman" w:hAnsi="Times New Roman" w:cs="Times New Roman"/>
          <w:bCs/>
          <w:sz w:val="28"/>
          <w:szCs w:val="28"/>
        </w:rPr>
        <w:t xml:space="preserve"> </w:t>
      </w:r>
      <w:r w:rsidR="000132FA" w:rsidRPr="00B076DD">
        <w:rPr>
          <w:rFonts w:ascii="Times New Roman" w:hAnsi="Times New Roman" w:cs="Times New Roman"/>
          <w:bCs/>
          <w:sz w:val="28"/>
          <w:szCs w:val="28"/>
        </w:rPr>
        <w:t>C</w:t>
      </w:r>
      <w:r w:rsidR="0022537C" w:rsidRPr="00B076DD">
        <w:rPr>
          <w:rFonts w:ascii="Times New Roman" w:hAnsi="Times New Roman" w:cs="Times New Roman"/>
          <w:bCs/>
          <w:sz w:val="28"/>
          <w:szCs w:val="28"/>
        </w:rPr>
        <w:t xml:space="preserve">onsidering my </w:t>
      </w:r>
      <w:r w:rsidR="00BC7F0E" w:rsidRPr="00B076DD">
        <w:rPr>
          <w:rFonts w:ascii="Times New Roman" w:hAnsi="Times New Roman" w:cs="Times New Roman"/>
          <w:bCs/>
          <w:sz w:val="28"/>
          <w:szCs w:val="28"/>
        </w:rPr>
        <w:t xml:space="preserve">conclusion on the liability of ONEC and Liberty, the </w:t>
      </w:r>
      <w:r w:rsidR="00B076DD" w:rsidRPr="00B076DD">
        <w:rPr>
          <w:rFonts w:ascii="Times New Roman" w:hAnsi="Times New Roman" w:cs="Times New Roman"/>
          <w:bCs/>
          <w:sz w:val="28"/>
          <w:szCs w:val="28"/>
        </w:rPr>
        <w:t>co</w:t>
      </w:r>
      <w:r w:rsidR="004D7CFA" w:rsidRPr="00B076DD">
        <w:rPr>
          <w:rFonts w:ascii="Times New Roman" w:hAnsi="Times New Roman" w:cs="Times New Roman"/>
          <w:bCs/>
          <w:sz w:val="28"/>
          <w:szCs w:val="28"/>
        </w:rPr>
        <w:t>unterclaim</w:t>
      </w:r>
      <w:r w:rsidR="00BC7F0E" w:rsidRPr="00B076DD">
        <w:rPr>
          <w:rFonts w:ascii="Times New Roman" w:hAnsi="Times New Roman" w:cs="Times New Roman"/>
          <w:bCs/>
          <w:sz w:val="28"/>
          <w:szCs w:val="28"/>
        </w:rPr>
        <w:t xml:space="preserve"> against NTE </w:t>
      </w:r>
      <w:r w:rsidR="003051D5" w:rsidRPr="00B076DD">
        <w:rPr>
          <w:rFonts w:ascii="Times New Roman" w:hAnsi="Times New Roman" w:cs="Times New Roman"/>
          <w:bCs/>
          <w:sz w:val="28"/>
          <w:szCs w:val="28"/>
        </w:rPr>
        <w:t xml:space="preserve">is meritless. </w:t>
      </w:r>
    </w:p>
    <w:p w14:paraId="67E6E077" w14:textId="77777777" w:rsidR="00AF1799" w:rsidRDefault="00AF1799" w:rsidP="00AF1799">
      <w:pPr>
        <w:pStyle w:val="ListParagraph"/>
        <w:spacing w:after="0" w:line="240" w:lineRule="auto"/>
        <w:ind w:left="0"/>
        <w:contextualSpacing w:val="0"/>
        <w:jc w:val="both"/>
        <w:rPr>
          <w:rFonts w:ascii="Times New Roman" w:hAnsi="Times New Roman" w:cs="Times New Roman"/>
          <w:bCs/>
          <w:sz w:val="28"/>
          <w:szCs w:val="28"/>
        </w:rPr>
      </w:pPr>
    </w:p>
    <w:p w14:paraId="4838C988" w14:textId="48FCF0DB" w:rsidR="00BA2B31" w:rsidRPr="00062D78" w:rsidRDefault="00BA2B31" w:rsidP="00BA2B31">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Having found that I </w:t>
      </w:r>
      <w:r w:rsidR="00DA6F6C">
        <w:rPr>
          <w:rFonts w:ascii="Times New Roman" w:hAnsi="Times New Roman" w:cs="Times New Roman"/>
          <w:bCs/>
          <w:sz w:val="28"/>
          <w:szCs w:val="28"/>
        </w:rPr>
        <w:t>can</w:t>
      </w:r>
      <w:r>
        <w:rPr>
          <w:rFonts w:ascii="Times New Roman" w:hAnsi="Times New Roman" w:cs="Times New Roman"/>
          <w:bCs/>
          <w:sz w:val="28"/>
          <w:szCs w:val="28"/>
        </w:rPr>
        <w:t xml:space="preserve"> rule on liability but not on the scope of damages, t</w:t>
      </w:r>
      <w:r w:rsidRPr="00062D78">
        <w:rPr>
          <w:rFonts w:ascii="Times New Roman" w:hAnsi="Times New Roman" w:cs="Times New Roman"/>
          <w:bCs/>
          <w:sz w:val="28"/>
          <w:szCs w:val="28"/>
        </w:rPr>
        <w:t>he need to manage this litigation</w:t>
      </w:r>
      <w:r>
        <w:rPr>
          <w:rFonts w:ascii="Times New Roman" w:hAnsi="Times New Roman" w:cs="Times New Roman"/>
          <w:bCs/>
          <w:sz w:val="28"/>
          <w:szCs w:val="28"/>
        </w:rPr>
        <w:t xml:space="preserve">, to adopt an efficient and cost-effective approach </w:t>
      </w:r>
      <w:r w:rsidRPr="00062D78">
        <w:rPr>
          <w:rFonts w:ascii="Times New Roman" w:hAnsi="Times New Roman" w:cs="Times New Roman"/>
          <w:bCs/>
          <w:sz w:val="28"/>
          <w:szCs w:val="28"/>
        </w:rPr>
        <w:t>and</w:t>
      </w:r>
      <w:r>
        <w:rPr>
          <w:rFonts w:ascii="Times New Roman" w:hAnsi="Times New Roman" w:cs="Times New Roman"/>
          <w:bCs/>
          <w:sz w:val="28"/>
          <w:szCs w:val="28"/>
        </w:rPr>
        <w:t>,</w:t>
      </w:r>
      <w:r w:rsidRPr="00062D78">
        <w:rPr>
          <w:rFonts w:ascii="Times New Roman" w:hAnsi="Times New Roman" w:cs="Times New Roman"/>
          <w:bCs/>
          <w:sz w:val="28"/>
          <w:szCs w:val="28"/>
        </w:rPr>
        <w:t xml:space="preserve"> to the extent possible</w:t>
      </w:r>
      <w:r>
        <w:rPr>
          <w:rFonts w:ascii="Times New Roman" w:hAnsi="Times New Roman" w:cs="Times New Roman"/>
          <w:bCs/>
          <w:sz w:val="28"/>
          <w:szCs w:val="28"/>
        </w:rPr>
        <w:t>,</w:t>
      </w:r>
      <w:r w:rsidRPr="00062D78">
        <w:rPr>
          <w:rFonts w:ascii="Times New Roman" w:hAnsi="Times New Roman" w:cs="Times New Roman"/>
          <w:bCs/>
          <w:sz w:val="28"/>
          <w:szCs w:val="28"/>
        </w:rPr>
        <w:t xml:space="preserve"> shorten the litigation and focus it on the real issues</w:t>
      </w:r>
      <w:r>
        <w:rPr>
          <w:rFonts w:ascii="Times New Roman" w:hAnsi="Times New Roman" w:cs="Times New Roman"/>
          <w:bCs/>
          <w:sz w:val="28"/>
          <w:szCs w:val="28"/>
        </w:rPr>
        <w:t xml:space="preserve"> at</w:t>
      </w:r>
      <w:r w:rsidRPr="00062D78">
        <w:rPr>
          <w:rFonts w:ascii="Times New Roman" w:hAnsi="Times New Roman" w:cs="Times New Roman"/>
          <w:bCs/>
          <w:sz w:val="28"/>
          <w:szCs w:val="28"/>
        </w:rPr>
        <w:t xml:space="preserve"> play</w:t>
      </w:r>
      <w:r w:rsidR="00CA6B1F">
        <w:rPr>
          <w:rFonts w:ascii="Times New Roman" w:hAnsi="Times New Roman" w:cs="Times New Roman"/>
          <w:bCs/>
          <w:sz w:val="28"/>
          <w:szCs w:val="28"/>
        </w:rPr>
        <w:t xml:space="preserve">, </w:t>
      </w:r>
      <w:r w:rsidRPr="00062D78">
        <w:rPr>
          <w:rFonts w:ascii="Times New Roman" w:hAnsi="Times New Roman" w:cs="Times New Roman"/>
          <w:bCs/>
          <w:sz w:val="28"/>
          <w:szCs w:val="28"/>
        </w:rPr>
        <w:t>I partially grant the summary judgment and order a trial on damages only (R</w:t>
      </w:r>
      <w:r w:rsidR="00AE336F">
        <w:rPr>
          <w:rFonts w:ascii="Times New Roman" w:hAnsi="Times New Roman" w:cs="Times New Roman"/>
          <w:bCs/>
          <w:sz w:val="28"/>
          <w:szCs w:val="28"/>
        </w:rPr>
        <w:t>ule</w:t>
      </w:r>
      <w:r w:rsidRPr="00062D78">
        <w:rPr>
          <w:rFonts w:ascii="Times New Roman" w:hAnsi="Times New Roman" w:cs="Times New Roman"/>
          <w:bCs/>
          <w:sz w:val="28"/>
          <w:szCs w:val="28"/>
        </w:rPr>
        <w:t xml:space="preserve"> 176(3) and </w:t>
      </w:r>
      <w:r w:rsidRPr="00062D78">
        <w:rPr>
          <w:rFonts w:ascii="Times New Roman" w:hAnsi="Times New Roman" w:cs="Times New Roman"/>
          <w:bCs/>
          <w:i/>
          <w:iCs/>
          <w:sz w:val="28"/>
          <w:szCs w:val="28"/>
        </w:rPr>
        <w:t>VP Auto Sales &amp; Service Ltd. v Ahmed2 Inc.,</w:t>
      </w:r>
      <w:r w:rsidRPr="00062D78">
        <w:rPr>
          <w:rFonts w:ascii="Times New Roman" w:hAnsi="Times New Roman" w:cs="Times New Roman"/>
          <w:bCs/>
          <w:sz w:val="28"/>
          <w:szCs w:val="28"/>
        </w:rPr>
        <w:t xml:space="preserve"> 2024 ONCA 507, par</w:t>
      </w:r>
      <w:r w:rsidR="00367DBD">
        <w:rPr>
          <w:rFonts w:ascii="Times New Roman" w:hAnsi="Times New Roman" w:cs="Times New Roman"/>
          <w:bCs/>
          <w:sz w:val="28"/>
          <w:szCs w:val="28"/>
        </w:rPr>
        <w:t>a</w:t>
      </w:r>
      <w:r w:rsidRPr="00062D78">
        <w:rPr>
          <w:rFonts w:ascii="Times New Roman" w:hAnsi="Times New Roman" w:cs="Times New Roman"/>
          <w:bCs/>
          <w:sz w:val="28"/>
          <w:szCs w:val="28"/>
        </w:rPr>
        <w:t xml:space="preserve"> 25 leave to appeal to SCC dismissed</w:t>
      </w:r>
      <w:r>
        <w:rPr>
          <w:rFonts w:ascii="Times New Roman" w:hAnsi="Times New Roman" w:cs="Times New Roman"/>
          <w:bCs/>
          <w:sz w:val="28"/>
          <w:szCs w:val="28"/>
        </w:rPr>
        <w:t xml:space="preserve">). </w:t>
      </w:r>
    </w:p>
    <w:p w14:paraId="45984D0F" w14:textId="77777777" w:rsidR="00BA2B31" w:rsidRDefault="00BA2B31" w:rsidP="00BA2B31">
      <w:pPr>
        <w:pStyle w:val="ListParagraph"/>
        <w:spacing w:after="0" w:line="240" w:lineRule="auto"/>
        <w:ind w:left="0"/>
        <w:contextualSpacing w:val="0"/>
        <w:jc w:val="both"/>
        <w:rPr>
          <w:rFonts w:ascii="Times New Roman" w:hAnsi="Times New Roman" w:cs="Times New Roman"/>
          <w:bCs/>
          <w:sz w:val="28"/>
          <w:szCs w:val="28"/>
        </w:rPr>
      </w:pPr>
    </w:p>
    <w:p w14:paraId="0185782E" w14:textId="4921AFF9" w:rsidR="00F36FC9" w:rsidRPr="00F82B8E" w:rsidRDefault="00F36FC9" w:rsidP="00F36FC9">
      <w:pPr>
        <w:pStyle w:val="ListParagraph"/>
        <w:numPr>
          <w:ilvl w:val="0"/>
          <w:numId w:val="1"/>
        </w:numPr>
        <w:spacing w:after="0" w:line="240" w:lineRule="auto"/>
        <w:contextualSpacing w:val="0"/>
        <w:jc w:val="both"/>
        <w:rPr>
          <w:rFonts w:ascii="Times New Roman" w:hAnsi="Times New Roman" w:cs="Times New Roman"/>
          <w:bCs/>
          <w:sz w:val="28"/>
          <w:szCs w:val="28"/>
        </w:rPr>
      </w:pPr>
      <w:r w:rsidRPr="00F82B8E">
        <w:rPr>
          <w:rFonts w:ascii="Times New Roman" w:hAnsi="Times New Roman" w:cs="Times New Roman"/>
          <w:bCs/>
          <w:sz w:val="28"/>
          <w:szCs w:val="28"/>
        </w:rPr>
        <w:t xml:space="preserve">I make the following order: </w:t>
      </w:r>
    </w:p>
    <w:p w14:paraId="78601ECD" w14:textId="77777777" w:rsidR="00F36FC9" w:rsidRPr="00F82B8E" w:rsidRDefault="00F36FC9" w:rsidP="00F36FC9">
      <w:pPr>
        <w:pStyle w:val="ListParagraph"/>
        <w:spacing w:after="0" w:line="240" w:lineRule="auto"/>
        <w:ind w:left="0"/>
        <w:contextualSpacing w:val="0"/>
        <w:jc w:val="both"/>
        <w:rPr>
          <w:rFonts w:ascii="Times New Roman" w:hAnsi="Times New Roman" w:cs="Times New Roman"/>
          <w:bCs/>
          <w:sz w:val="28"/>
          <w:szCs w:val="28"/>
        </w:rPr>
      </w:pPr>
    </w:p>
    <w:p w14:paraId="55972F12" w14:textId="4E41E90F" w:rsidR="001D0243" w:rsidRDefault="001D0243" w:rsidP="00F36FC9">
      <w:pPr>
        <w:pStyle w:val="ListParagraph"/>
        <w:numPr>
          <w:ilvl w:val="1"/>
          <w:numId w:val="1"/>
        </w:numPr>
        <w:spacing w:after="0" w:line="240" w:lineRule="auto"/>
        <w:jc w:val="both"/>
        <w:rPr>
          <w:rFonts w:ascii="Times New Roman" w:hAnsi="Times New Roman" w:cs="Times New Roman"/>
          <w:bCs/>
          <w:sz w:val="28"/>
          <w:szCs w:val="28"/>
        </w:rPr>
      </w:pPr>
      <w:r w:rsidRPr="00F82B8E">
        <w:rPr>
          <w:rFonts w:ascii="Times New Roman" w:hAnsi="Times New Roman" w:cs="Times New Roman"/>
          <w:bCs/>
          <w:sz w:val="28"/>
          <w:szCs w:val="28"/>
        </w:rPr>
        <w:t xml:space="preserve">I grant </w:t>
      </w:r>
      <w:r w:rsidR="001117CF" w:rsidRPr="00F82B8E">
        <w:rPr>
          <w:rFonts w:ascii="Times New Roman" w:hAnsi="Times New Roman" w:cs="Times New Roman"/>
          <w:bCs/>
          <w:sz w:val="28"/>
          <w:szCs w:val="28"/>
        </w:rPr>
        <w:t>Northland Builders Ltd.</w:t>
      </w:r>
      <w:r w:rsidR="001117CF">
        <w:rPr>
          <w:rFonts w:ascii="Times New Roman" w:hAnsi="Times New Roman" w:cs="Times New Roman"/>
          <w:bCs/>
          <w:sz w:val="28"/>
          <w:szCs w:val="28"/>
        </w:rPr>
        <w:t xml:space="preserve">’s </w:t>
      </w:r>
      <w:r w:rsidR="00714315" w:rsidRPr="00F82B8E">
        <w:rPr>
          <w:rFonts w:ascii="Times New Roman" w:hAnsi="Times New Roman" w:cs="Times New Roman"/>
          <w:bCs/>
          <w:sz w:val="28"/>
          <w:szCs w:val="28"/>
        </w:rPr>
        <w:t xml:space="preserve">application for summary judgment with respect to </w:t>
      </w:r>
      <w:r w:rsidR="001117CF" w:rsidRPr="00F82B8E">
        <w:rPr>
          <w:rFonts w:ascii="Times New Roman" w:hAnsi="Times New Roman" w:cs="Times New Roman"/>
          <w:bCs/>
          <w:sz w:val="28"/>
          <w:szCs w:val="28"/>
        </w:rPr>
        <w:t>ONEC Construction Inc</w:t>
      </w:r>
      <w:r w:rsidR="001117CF">
        <w:rPr>
          <w:rFonts w:ascii="Times New Roman" w:hAnsi="Times New Roman" w:cs="Times New Roman"/>
          <w:bCs/>
          <w:sz w:val="28"/>
          <w:szCs w:val="28"/>
        </w:rPr>
        <w:t>’s</w:t>
      </w:r>
      <w:r w:rsidR="00714315" w:rsidRPr="00F82B8E">
        <w:rPr>
          <w:rFonts w:ascii="Times New Roman" w:hAnsi="Times New Roman" w:cs="Times New Roman"/>
          <w:bCs/>
          <w:sz w:val="28"/>
          <w:szCs w:val="28"/>
        </w:rPr>
        <w:t xml:space="preserve"> claim against </w:t>
      </w:r>
      <w:r w:rsidR="001117CF" w:rsidRPr="00F82B8E">
        <w:rPr>
          <w:rFonts w:ascii="Times New Roman" w:hAnsi="Times New Roman" w:cs="Times New Roman"/>
          <w:bCs/>
          <w:sz w:val="28"/>
          <w:szCs w:val="28"/>
        </w:rPr>
        <w:t xml:space="preserve">Northland Builders </w:t>
      </w:r>
      <w:proofErr w:type="gramStart"/>
      <w:r w:rsidR="001117CF" w:rsidRPr="00F82B8E">
        <w:rPr>
          <w:rFonts w:ascii="Times New Roman" w:hAnsi="Times New Roman" w:cs="Times New Roman"/>
          <w:bCs/>
          <w:sz w:val="28"/>
          <w:szCs w:val="28"/>
        </w:rPr>
        <w:t>Ltd.</w:t>
      </w:r>
      <w:r w:rsidR="00714315" w:rsidRPr="00F82B8E">
        <w:rPr>
          <w:rFonts w:ascii="Times New Roman" w:hAnsi="Times New Roman" w:cs="Times New Roman"/>
          <w:bCs/>
          <w:sz w:val="28"/>
          <w:szCs w:val="28"/>
        </w:rPr>
        <w:t>;</w:t>
      </w:r>
      <w:proofErr w:type="gramEnd"/>
    </w:p>
    <w:p w14:paraId="3FF0466C" w14:textId="77777777" w:rsidR="00993718" w:rsidRPr="00F82B8E" w:rsidRDefault="00993718" w:rsidP="00993718">
      <w:pPr>
        <w:pStyle w:val="ListParagraph"/>
        <w:spacing w:after="0" w:line="240" w:lineRule="auto"/>
        <w:ind w:left="1440"/>
        <w:jc w:val="both"/>
        <w:rPr>
          <w:rFonts w:ascii="Times New Roman" w:hAnsi="Times New Roman" w:cs="Times New Roman"/>
          <w:bCs/>
          <w:sz w:val="28"/>
          <w:szCs w:val="28"/>
        </w:rPr>
      </w:pPr>
    </w:p>
    <w:p w14:paraId="10E12C93" w14:textId="21D20EBE" w:rsidR="00714315" w:rsidRDefault="00714315" w:rsidP="00F36FC9">
      <w:pPr>
        <w:pStyle w:val="ListParagraph"/>
        <w:numPr>
          <w:ilvl w:val="1"/>
          <w:numId w:val="1"/>
        </w:numPr>
        <w:spacing w:after="0" w:line="240" w:lineRule="auto"/>
        <w:jc w:val="both"/>
        <w:rPr>
          <w:rFonts w:ascii="Times New Roman" w:hAnsi="Times New Roman" w:cs="Times New Roman"/>
          <w:bCs/>
          <w:sz w:val="28"/>
          <w:szCs w:val="28"/>
        </w:rPr>
      </w:pPr>
      <w:r w:rsidRPr="00F82B8E">
        <w:rPr>
          <w:rFonts w:ascii="Times New Roman" w:hAnsi="Times New Roman" w:cs="Times New Roman"/>
          <w:bCs/>
          <w:sz w:val="28"/>
          <w:szCs w:val="28"/>
        </w:rPr>
        <w:lastRenderedPageBreak/>
        <w:t xml:space="preserve">I dismiss </w:t>
      </w:r>
      <w:r w:rsidR="001117CF" w:rsidRPr="00F82B8E">
        <w:rPr>
          <w:rFonts w:ascii="Times New Roman" w:hAnsi="Times New Roman" w:cs="Times New Roman"/>
          <w:bCs/>
          <w:sz w:val="28"/>
          <w:szCs w:val="28"/>
        </w:rPr>
        <w:t>ONEC Construction Inc</w:t>
      </w:r>
      <w:r w:rsidR="001117CF">
        <w:rPr>
          <w:rFonts w:ascii="Times New Roman" w:hAnsi="Times New Roman" w:cs="Times New Roman"/>
          <w:bCs/>
          <w:sz w:val="28"/>
          <w:szCs w:val="28"/>
        </w:rPr>
        <w:t xml:space="preserve">.’s </w:t>
      </w:r>
      <w:r w:rsidRPr="00F82B8E">
        <w:rPr>
          <w:rFonts w:ascii="Times New Roman" w:hAnsi="Times New Roman" w:cs="Times New Roman"/>
          <w:bCs/>
          <w:sz w:val="28"/>
          <w:szCs w:val="28"/>
        </w:rPr>
        <w:t xml:space="preserve">claim against </w:t>
      </w:r>
      <w:r w:rsidR="001117CF" w:rsidRPr="00F82B8E">
        <w:rPr>
          <w:rFonts w:ascii="Times New Roman" w:hAnsi="Times New Roman" w:cs="Times New Roman"/>
          <w:bCs/>
          <w:sz w:val="28"/>
          <w:szCs w:val="28"/>
        </w:rPr>
        <w:t xml:space="preserve">Northland Builders </w:t>
      </w:r>
      <w:proofErr w:type="gramStart"/>
      <w:r w:rsidR="001117CF" w:rsidRPr="00F82B8E">
        <w:rPr>
          <w:rFonts w:ascii="Times New Roman" w:hAnsi="Times New Roman" w:cs="Times New Roman"/>
          <w:bCs/>
          <w:sz w:val="28"/>
          <w:szCs w:val="28"/>
        </w:rPr>
        <w:t>Ltd.</w:t>
      </w:r>
      <w:r w:rsidR="002D5103">
        <w:rPr>
          <w:rFonts w:ascii="Times New Roman" w:hAnsi="Times New Roman" w:cs="Times New Roman"/>
          <w:bCs/>
          <w:sz w:val="28"/>
          <w:szCs w:val="28"/>
        </w:rPr>
        <w:t>;</w:t>
      </w:r>
      <w:proofErr w:type="gramEnd"/>
    </w:p>
    <w:p w14:paraId="6254EDF7" w14:textId="77777777" w:rsidR="00200B76" w:rsidRPr="00200B76" w:rsidRDefault="00200B76" w:rsidP="00200B76">
      <w:pPr>
        <w:spacing w:after="0" w:line="240" w:lineRule="auto"/>
        <w:jc w:val="both"/>
        <w:rPr>
          <w:rFonts w:ascii="Times New Roman" w:hAnsi="Times New Roman" w:cs="Times New Roman"/>
          <w:bCs/>
          <w:sz w:val="28"/>
          <w:szCs w:val="28"/>
        </w:rPr>
      </w:pPr>
    </w:p>
    <w:p w14:paraId="3B682D56" w14:textId="49A84AEF" w:rsidR="008B14BD" w:rsidRDefault="008B14BD" w:rsidP="00F36FC9">
      <w:pPr>
        <w:pStyle w:val="ListParagraph"/>
        <w:numPr>
          <w:ilvl w:val="1"/>
          <w:numId w:val="1"/>
        </w:numPr>
        <w:spacing w:after="0" w:line="240" w:lineRule="auto"/>
        <w:jc w:val="both"/>
        <w:rPr>
          <w:rFonts w:ascii="Times New Roman" w:hAnsi="Times New Roman" w:cs="Times New Roman"/>
          <w:bCs/>
          <w:sz w:val="28"/>
          <w:szCs w:val="28"/>
        </w:rPr>
      </w:pPr>
      <w:r w:rsidRPr="00F82B8E">
        <w:rPr>
          <w:rFonts w:ascii="Times New Roman" w:hAnsi="Times New Roman" w:cs="Times New Roman"/>
          <w:bCs/>
          <w:sz w:val="28"/>
          <w:szCs w:val="28"/>
        </w:rPr>
        <w:t xml:space="preserve">I </w:t>
      </w:r>
      <w:r w:rsidR="006B06EB" w:rsidRPr="00F82B8E">
        <w:rPr>
          <w:rFonts w:ascii="Times New Roman" w:hAnsi="Times New Roman" w:cs="Times New Roman"/>
          <w:bCs/>
          <w:sz w:val="28"/>
          <w:szCs w:val="28"/>
        </w:rPr>
        <w:t xml:space="preserve">partially </w:t>
      </w:r>
      <w:r w:rsidRPr="00F82B8E">
        <w:rPr>
          <w:rFonts w:ascii="Times New Roman" w:hAnsi="Times New Roman" w:cs="Times New Roman"/>
          <w:bCs/>
          <w:sz w:val="28"/>
          <w:szCs w:val="28"/>
        </w:rPr>
        <w:t xml:space="preserve">grant </w:t>
      </w:r>
      <w:r w:rsidR="001117CF" w:rsidRPr="00F82B8E">
        <w:rPr>
          <w:rFonts w:ascii="Times New Roman" w:hAnsi="Times New Roman" w:cs="Times New Roman"/>
          <w:bCs/>
          <w:sz w:val="28"/>
          <w:szCs w:val="28"/>
        </w:rPr>
        <w:t>Northland Builders Ltd.</w:t>
      </w:r>
      <w:r w:rsidRPr="00F82B8E">
        <w:rPr>
          <w:rFonts w:ascii="Times New Roman" w:hAnsi="Times New Roman" w:cs="Times New Roman"/>
          <w:bCs/>
          <w:sz w:val="28"/>
          <w:szCs w:val="28"/>
        </w:rPr>
        <w:t>’s application for summary judgment</w:t>
      </w:r>
      <w:r w:rsidR="00425078">
        <w:rPr>
          <w:rFonts w:ascii="Times New Roman" w:hAnsi="Times New Roman" w:cs="Times New Roman"/>
          <w:bCs/>
          <w:sz w:val="28"/>
          <w:szCs w:val="28"/>
        </w:rPr>
        <w:t xml:space="preserve"> with respect to </w:t>
      </w:r>
      <w:r w:rsidR="001117CF" w:rsidRPr="00F82B8E">
        <w:rPr>
          <w:rFonts w:ascii="Times New Roman" w:hAnsi="Times New Roman" w:cs="Times New Roman"/>
          <w:bCs/>
          <w:sz w:val="28"/>
          <w:szCs w:val="28"/>
        </w:rPr>
        <w:t>Northland Builders Ltd.</w:t>
      </w:r>
      <w:r w:rsidR="00425078">
        <w:rPr>
          <w:rFonts w:ascii="Times New Roman" w:hAnsi="Times New Roman" w:cs="Times New Roman"/>
          <w:bCs/>
          <w:sz w:val="28"/>
          <w:szCs w:val="28"/>
        </w:rPr>
        <w:t xml:space="preserve">’s </w:t>
      </w:r>
      <w:r w:rsidR="00DC7852">
        <w:rPr>
          <w:rFonts w:ascii="Times New Roman" w:hAnsi="Times New Roman" w:cs="Times New Roman"/>
          <w:bCs/>
          <w:sz w:val="28"/>
          <w:szCs w:val="28"/>
        </w:rPr>
        <w:t>c</w:t>
      </w:r>
      <w:r w:rsidR="004D7CFA">
        <w:rPr>
          <w:rFonts w:ascii="Times New Roman" w:hAnsi="Times New Roman" w:cs="Times New Roman"/>
          <w:bCs/>
          <w:sz w:val="28"/>
          <w:szCs w:val="28"/>
        </w:rPr>
        <w:t>ounterclaim</w:t>
      </w:r>
      <w:r w:rsidRPr="00F82B8E">
        <w:rPr>
          <w:rFonts w:ascii="Times New Roman" w:hAnsi="Times New Roman" w:cs="Times New Roman"/>
          <w:bCs/>
          <w:sz w:val="28"/>
          <w:szCs w:val="28"/>
        </w:rPr>
        <w:t xml:space="preserve"> </w:t>
      </w:r>
      <w:r w:rsidR="006B06EB" w:rsidRPr="004817DB">
        <w:rPr>
          <w:rFonts w:ascii="Times New Roman" w:hAnsi="Times New Roman" w:cs="Times New Roman"/>
          <w:bCs/>
          <w:sz w:val="28"/>
          <w:szCs w:val="28"/>
        </w:rPr>
        <w:t>against</w:t>
      </w:r>
      <w:r w:rsidRPr="004817DB">
        <w:rPr>
          <w:rFonts w:ascii="Times New Roman" w:hAnsi="Times New Roman" w:cs="Times New Roman"/>
          <w:bCs/>
          <w:sz w:val="28"/>
          <w:szCs w:val="28"/>
        </w:rPr>
        <w:t xml:space="preserve"> </w:t>
      </w:r>
      <w:r w:rsidR="001117CF" w:rsidRPr="004817DB">
        <w:rPr>
          <w:rFonts w:ascii="Times New Roman" w:hAnsi="Times New Roman" w:cs="Times New Roman"/>
          <w:bCs/>
          <w:sz w:val="28"/>
          <w:szCs w:val="28"/>
        </w:rPr>
        <w:t>ONEC Construction Inc.</w:t>
      </w:r>
      <w:r w:rsidRPr="004817DB">
        <w:rPr>
          <w:rFonts w:ascii="Times New Roman" w:hAnsi="Times New Roman" w:cs="Times New Roman"/>
          <w:bCs/>
          <w:sz w:val="28"/>
          <w:szCs w:val="28"/>
        </w:rPr>
        <w:t xml:space="preserve"> and </w:t>
      </w:r>
      <w:r w:rsidR="001117CF" w:rsidRPr="004817DB">
        <w:rPr>
          <w:rFonts w:ascii="Times New Roman" w:hAnsi="Times New Roman" w:cs="Times New Roman"/>
          <w:bCs/>
          <w:sz w:val="28"/>
          <w:szCs w:val="28"/>
        </w:rPr>
        <w:t xml:space="preserve">Liberty Mutual Insurance </w:t>
      </w:r>
      <w:proofErr w:type="gramStart"/>
      <w:r w:rsidR="001117CF" w:rsidRPr="004817DB">
        <w:rPr>
          <w:rFonts w:ascii="Times New Roman" w:hAnsi="Times New Roman" w:cs="Times New Roman"/>
          <w:bCs/>
          <w:sz w:val="28"/>
          <w:szCs w:val="28"/>
        </w:rPr>
        <w:t>Company</w:t>
      </w:r>
      <w:r w:rsidR="002D5103" w:rsidRPr="004817DB">
        <w:rPr>
          <w:rFonts w:ascii="Times New Roman" w:hAnsi="Times New Roman" w:cs="Times New Roman"/>
          <w:bCs/>
          <w:sz w:val="28"/>
          <w:szCs w:val="28"/>
        </w:rPr>
        <w:t>;</w:t>
      </w:r>
      <w:proofErr w:type="gramEnd"/>
    </w:p>
    <w:p w14:paraId="1726EFFB" w14:textId="77777777" w:rsidR="00993718" w:rsidRPr="004817DB" w:rsidRDefault="00993718" w:rsidP="00993718">
      <w:pPr>
        <w:pStyle w:val="ListParagraph"/>
        <w:spacing w:after="0" w:line="240" w:lineRule="auto"/>
        <w:ind w:left="1440"/>
        <w:jc w:val="both"/>
        <w:rPr>
          <w:rFonts w:ascii="Times New Roman" w:hAnsi="Times New Roman" w:cs="Times New Roman"/>
          <w:bCs/>
          <w:sz w:val="28"/>
          <w:szCs w:val="28"/>
        </w:rPr>
      </w:pPr>
    </w:p>
    <w:p w14:paraId="0AF7391C" w14:textId="20C8070A" w:rsidR="006B06EB" w:rsidRDefault="006B06EB" w:rsidP="00F36FC9">
      <w:pPr>
        <w:pStyle w:val="ListParagraph"/>
        <w:numPr>
          <w:ilvl w:val="1"/>
          <w:numId w:val="1"/>
        </w:numPr>
        <w:spacing w:after="0" w:line="240" w:lineRule="auto"/>
        <w:jc w:val="both"/>
        <w:rPr>
          <w:rFonts w:ascii="Times New Roman" w:hAnsi="Times New Roman" w:cs="Times New Roman"/>
          <w:bCs/>
          <w:sz w:val="28"/>
          <w:szCs w:val="28"/>
        </w:rPr>
      </w:pPr>
      <w:r w:rsidRPr="004817DB">
        <w:rPr>
          <w:rFonts w:ascii="Times New Roman" w:hAnsi="Times New Roman" w:cs="Times New Roman"/>
          <w:bCs/>
          <w:sz w:val="28"/>
          <w:szCs w:val="28"/>
        </w:rPr>
        <w:t xml:space="preserve">I find </w:t>
      </w:r>
      <w:r w:rsidR="001117CF" w:rsidRPr="004817DB">
        <w:rPr>
          <w:rFonts w:ascii="Times New Roman" w:hAnsi="Times New Roman" w:cs="Times New Roman"/>
          <w:bCs/>
          <w:sz w:val="28"/>
          <w:szCs w:val="28"/>
        </w:rPr>
        <w:t>ONEC Construction Inc.</w:t>
      </w:r>
      <w:r w:rsidRPr="004817DB">
        <w:rPr>
          <w:rFonts w:ascii="Times New Roman" w:hAnsi="Times New Roman" w:cs="Times New Roman"/>
          <w:bCs/>
          <w:sz w:val="28"/>
          <w:szCs w:val="28"/>
        </w:rPr>
        <w:t xml:space="preserve"> and </w:t>
      </w:r>
      <w:r w:rsidR="001117CF" w:rsidRPr="004817DB">
        <w:rPr>
          <w:rFonts w:ascii="Times New Roman" w:hAnsi="Times New Roman" w:cs="Times New Roman"/>
          <w:bCs/>
          <w:sz w:val="28"/>
          <w:szCs w:val="28"/>
        </w:rPr>
        <w:t xml:space="preserve">Liberty Mutual Insurance Company </w:t>
      </w:r>
      <w:r w:rsidRPr="004817DB">
        <w:rPr>
          <w:rFonts w:ascii="Times New Roman" w:hAnsi="Times New Roman" w:cs="Times New Roman"/>
          <w:bCs/>
          <w:sz w:val="28"/>
          <w:szCs w:val="28"/>
        </w:rPr>
        <w:t xml:space="preserve">liable </w:t>
      </w:r>
      <w:r w:rsidR="00323004" w:rsidRPr="004817DB">
        <w:rPr>
          <w:rFonts w:ascii="Times New Roman" w:hAnsi="Times New Roman" w:cs="Times New Roman"/>
          <w:bCs/>
          <w:sz w:val="28"/>
          <w:szCs w:val="28"/>
        </w:rPr>
        <w:t>to contractual damages</w:t>
      </w:r>
      <w:r w:rsidR="00425078" w:rsidRPr="004817DB">
        <w:rPr>
          <w:rFonts w:ascii="Times New Roman" w:hAnsi="Times New Roman" w:cs="Times New Roman"/>
          <w:bCs/>
          <w:sz w:val="28"/>
          <w:szCs w:val="28"/>
        </w:rPr>
        <w:t xml:space="preserve"> </w:t>
      </w:r>
      <w:r w:rsidR="003E6B24" w:rsidRPr="004817DB">
        <w:rPr>
          <w:rFonts w:ascii="Times New Roman" w:hAnsi="Times New Roman" w:cs="Times New Roman"/>
          <w:bCs/>
          <w:sz w:val="28"/>
          <w:szCs w:val="28"/>
        </w:rPr>
        <w:t>to</w:t>
      </w:r>
      <w:r w:rsidR="00425078" w:rsidRPr="004817DB">
        <w:rPr>
          <w:rFonts w:ascii="Times New Roman" w:hAnsi="Times New Roman" w:cs="Times New Roman"/>
          <w:bCs/>
          <w:sz w:val="28"/>
          <w:szCs w:val="28"/>
        </w:rPr>
        <w:t xml:space="preserve"> </w:t>
      </w:r>
      <w:r w:rsidR="00CF54B4" w:rsidRPr="004817DB">
        <w:rPr>
          <w:rFonts w:ascii="Times New Roman" w:hAnsi="Times New Roman" w:cs="Times New Roman"/>
          <w:bCs/>
          <w:sz w:val="28"/>
          <w:szCs w:val="28"/>
        </w:rPr>
        <w:t xml:space="preserve">Northland Builders </w:t>
      </w:r>
      <w:proofErr w:type="gramStart"/>
      <w:r w:rsidR="00CF54B4" w:rsidRPr="004817DB">
        <w:rPr>
          <w:rFonts w:ascii="Times New Roman" w:hAnsi="Times New Roman" w:cs="Times New Roman"/>
          <w:bCs/>
          <w:sz w:val="28"/>
          <w:szCs w:val="28"/>
        </w:rPr>
        <w:t>Ltd.</w:t>
      </w:r>
      <w:r w:rsidR="001014DD" w:rsidRPr="004817DB">
        <w:rPr>
          <w:rFonts w:ascii="Times New Roman" w:hAnsi="Times New Roman" w:cs="Times New Roman"/>
          <w:bCs/>
          <w:sz w:val="28"/>
          <w:szCs w:val="28"/>
        </w:rPr>
        <w:t>;</w:t>
      </w:r>
      <w:proofErr w:type="gramEnd"/>
    </w:p>
    <w:p w14:paraId="319C98B5" w14:textId="77777777" w:rsidR="00993718" w:rsidRPr="00993718" w:rsidRDefault="00993718" w:rsidP="00993718">
      <w:pPr>
        <w:spacing w:after="0" w:line="240" w:lineRule="auto"/>
        <w:jc w:val="both"/>
        <w:rPr>
          <w:rFonts w:ascii="Times New Roman" w:hAnsi="Times New Roman" w:cs="Times New Roman"/>
          <w:bCs/>
          <w:sz w:val="28"/>
          <w:szCs w:val="28"/>
        </w:rPr>
      </w:pPr>
    </w:p>
    <w:p w14:paraId="499BD984" w14:textId="47B0A441" w:rsidR="00323004" w:rsidRDefault="00323004" w:rsidP="00F36FC9">
      <w:pPr>
        <w:pStyle w:val="ListParagraph"/>
        <w:numPr>
          <w:ilvl w:val="1"/>
          <w:numId w:val="1"/>
        </w:numPr>
        <w:spacing w:after="0" w:line="240" w:lineRule="auto"/>
        <w:jc w:val="both"/>
        <w:rPr>
          <w:rFonts w:ascii="Times New Roman" w:hAnsi="Times New Roman" w:cs="Times New Roman"/>
          <w:bCs/>
          <w:sz w:val="28"/>
          <w:szCs w:val="28"/>
        </w:rPr>
      </w:pPr>
      <w:r w:rsidRPr="004817DB">
        <w:rPr>
          <w:rFonts w:ascii="Times New Roman" w:hAnsi="Times New Roman" w:cs="Times New Roman"/>
          <w:bCs/>
          <w:sz w:val="28"/>
          <w:szCs w:val="28"/>
        </w:rPr>
        <w:t xml:space="preserve">I </w:t>
      </w:r>
      <w:r w:rsidR="002A0BCC" w:rsidRPr="004817DB">
        <w:rPr>
          <w:rFonts w:ascii="Times New Roman" w:hAnsi="Times New Roman" w:cs="Times New Roman"/>
          <w:bCs/>
          <w:sz w:val="28"/>
          <w:szCs w:val="28"/>
        </w:rPr>
        <w:t>order a trial on</w:t>
      </w:r>
      <w:r w:rsidR="004817DB" w:rsidRPr="004817DB">
        <w:rPr>
          <w:rFonts w:ascii="Times New Roman" w:hAnsi="Times New Roman" w:cs="Times New Roman"/>
          <w:bCs/>
          <w:sz w:val="28"/>
          <w:szCs w:val="28"/>
        </w:rPr>
        <w:t xml:space="preserve"> </w:t>
      </w:r>
      <w:r w:rsidR="008C6B2E">
        <w:rPr>
          <w:rFonts w:ascii="Times New Roman" w:hAnsi="Times New Roman" w:cs="Times New Roman"/>
          <w:bCs/>
          <w:sz w:val="28"/>
          <w:szCs w:val="28"/>
        </w:rPr>
        <w:t xml:space="preserve">the quantification of </w:t>
      </w:r>
      <w:r w:rsidR="00D4153F" w:rsidRPr="004817DB">
        <w:rPr>
          <w:rFonts w:ascii="Times New Roman" w:hAnsi="Times New Roman" w:cs="Times New Roman"/>
          <w:bCs/>
          <w:sz w:val="28"/>
          <w:szCs w:val="28"/>
        </w:rPr>
        <w:t xml:space="preserve">damages with respect to </w:t>
      </w:r>
      <w:r w:rsidR="001117CF" w:rsidRPr="004817DB">
        <w:rPr>
          <w:rFonts w:ascii="Times New Roman" w:hAnsi="Times New Roman" w:cs="Times New Roman"/>
          <w:bCs/>
          <w:sz w:val="28"/>
          <w:szCs w:val="28"/>
        </w:rPr>
        <w:t>Northland Builders Ltd.</w:t>
      </w:r>
      <w:r w:rsidR="00D4153F" w:rsidRPr="004817DB">
        <w:rPr>
          <w:rFonts w:ascii="Times New Roman" w:hAnsi="Times New Roman" w:cs="Times New Roman"/>
          <w:bCs/>
          <w:sz w:val="28"/>
          <w:szCs w:val="28"/>
        </w:rPr>
        <w:t xml:space="preserve">’s </w:t>
      </w:r>
      <w:r w:rsidR="00BD10D4">
        <w:rPr>
          <w:rFonts w:ascii="Times New Roman" w:hAnsi="Times New Roman" w:cs="Times New Roman"/>
          <w:bCs/>
          <w:sz w:val="28"/>
          <w:szCs w:val="28"/>
        </w:rPr>
        <w:t>c</w:t>
      </w:r>
      <w:r w:rsidR="004D7CFA" w:rsidRPr="004817DB">
        <w:rPr>
          <w:rFonts w:ascii="Times New Roman" w:hAnsi="Times New Roman" w:cs="Times New Roman"/>
          <w:bCs/>
          <w:sz w:val="28"/>
          <w:szCs w:val="28"/>
        </w:rPr>
        <w:t>ounterclaim</w:t>
      </w:r>
      <w:r w:rsidR="00990E74" w:rsidRPr="004817DB">
        <w:rPr>
          <w:rFonts w:ascii="Times New Roman" w:hAnsi="Times New Roman" w:cs="Times New Roman"/>
          <w:bCs/>
          <w:sz w:val="28"/>
          <w:szCs w:val="28"/>
        </w:rPr>
        <w:t xml:space="preserve"> against </w:t>
      </w:r>
      <w:r w:rsidR="001117CF" w:rsidRPr="004817DB">
        <w:rPr>
          <w:rFonts w:ascii="Times New Roman" w:hAnsi="Times New Roman" w:cs="Times New Roman"/>
          <w:bCs/>
          <w:sz w:val="28"/>
          <w:szCs w:val="28"/>
        </w:rPr>
        <w:t>ONEC Construction Inc.</w:t>
      </w:r>
      <w:r w:rsidR="00990E74" w:rsidRPr="004817DB">
        <w:rPr>
          <w:rFonts w:ascii="Times New Roman" w:hAnsi="Times New Roman" w:cs="Times New Roman"/>
          <w:bCs/>
          <w:sz w:val="28"/>
          <w:szCs w:val="28"/>
        </w:rPr>
        <w:t xml:space="preserve"> and </w:t>
      </w:r>
      <w:r w:rsidR="001117CF" w:rsidRPr="004817DB">
        <w:rPr>
          <w:rFonts w:ascii="Times New Roman" w:hAnsi="Times New Roman" w:cs="Times New Roman"/>
          <w:bCs/>
          <w:sz w:val="28"/>
          <w:szCs w:val="28"/>
        </w:rPr>
        <w:t xml:space="preserve">Liberty Mutual Insurance </w:t>
      </w:r>
      <w:proofErr w:type="gramStart"/>
      <w:r w:rsidR="001117CF" w:rsidRPr="004817DB">
        <w:rPr>
          <w:rFonts w:ascii="Times New Roman" w:hAnsi="Times New Roman" w:cs="Times New Roman"/>
          <w:bCs/>
          <w:sz w:val="28"/>
          <w:szCs w:val="28"/>
        </w:rPr>
        <w:t>Company;</w:t>
      </w:r>
      <w:proofErr w:type="gramEnd"/>
    </w:p>
    <w:p w14:paraId="52305792" w14:textId="77777777" w:rsidR="00993718" w:rsidRPr="00993718" w:rsidRDefault="00993718" w:rsidP="00993718">
      <w:pPr>
        <w:spacing w:after="0" w:line="240" w:lineRule="auto"/>
        <w:jc w:val="both"/>
        <w:rPr>
          <w:rFonts w:ascii="Times New Roman" w:hAnsi="Times New Roman" w:cs="Times New Roman"/>
          <w:bCs/>
          <w:sz w:val="28"/>
          <w:szCs w:val="28"/>
        </w:rPr>
      </w:pPr>
    </w:p>
    <w:p w14:paraId="0FAE072C" w14:textId="6962A900" w:rsidR="00200251" w:rsidRDefault="00200251" w:rsidP="00200251">
      <w:pPr>
        <w:pStyle w:val="ListParagraph"/>
        <w:numPr>
          <w:ilvl w:val="1"/>
          <w:numId w:val="1"/>
        </w:numPr>
        <w:spacing w:after="0" w:line="240" w:lineRule="auto"/>
        <w:jc w:val="both"/>
        <w:rPr>
          <w:rFonts w:ascii="Times New Roman" w:hAnsi="Times New Roman" w:cs="Times New Roman"/>
          <w:bCs/>
          <w:sz w:val="28"/>
          <w:szCs w:val="28"/>
        </w:rPr>
      </w:pPr>
      <w:r w:rsidRPr="004817DB">
        <w:rPr>
          <w:rFonts w:ascii="Times New Roman" w:hAnsi="Times New Roman" w:cs="Times New Roman"/>
          <w:bCs/>
          <w:sz w:val="28"/>
          <w:szCs w:val="28"/>
        </w:rPr>
        <w:t>I dismiss Northland</w:t>
      </w:r>
      <w:r w:rsidR="000B1FED" w:rsidRPr="004817DB">
        <w:rPr>
          <w:rFonts w:ascii="Times New Roman" w:hAnsi="Times New Roman" w:cs="Times New Roman"/>
          <w:bCs/>
          <w:sz w:val="28"/>
          <w:szCs w:val="28"/>
        </w:rPr>
        <w:t xml:space="preserve"> Builders Ltd</w:t>
      </w:r>
      <w:r w:rsidR="003B2313" w:rsidRPr="004817DB">
        <w:rPr>
          <w:rFonts w:ascii="Times New Roman" w:hAnsi="Times New Roman" w:cs="Times New Roman"/>
          <w:bCs/>
          <w:sz w:val="28"/>
          <w:szCs w:val="28"/>
        </w:rPr>
        <w:t>.</w:t>
      </w:r>
      <w:r w:rsidRPr="004817DB">
        <w:rPr>
          <w:rFonts w:ascii="Times New Roman" w:hAnsi="Times New Roman" w:cs="Times New Roman"/>
          <w:bCs/>
          <w:sz w:val="28"/>
          <w:szCs w:val="28"/>
        </w:rPr>
        <w:t xml:space="preserve">’s application for summary judgment against NWT Energy Corporation (03) </w:t>
      </w:r>
      <w:proofErr w:type="gramStart"/>
      <w:r w:rsidRPr="004817DB">
        <w:rPr>
          <w:rFonts w:ascii="Times New Roman" w:hAnsi="Times New Roman" w:cs="Times New Roman"/>
          <w:bCs/>
          <w:sz w:val="28"/>
          <w:szCs w:val="28"/>
        </w:rPr>
        <w:t>Ltd;</w:t>
      </w:r>
      <w:proofErr w:type="gramEnd"/>
    </w:p>
    <w:p w14:paraId="0D2DF28F" w14:textId="77777777" w:rsidR="00993718" w:rsidRPr="00993718" w:rsidRDefault="00993718" w:rsidP="00993718">
      <w:pPr>
        <w:spacing w:after="0" w:line="240" w:lineRule="auto"/>
        <w:jc w:val="both"/>
        <w:rPr>
          <w:rFonts w:ascii="Times New Roman" w:hAnsi="Times New Roman" w:cs="Times New Roman"/>
          <w:bCs/>
          <w:sz w:val="28"/>
          <w:szCs w:val="28"/>
        </w:rPr>
      </w:pPr>
    </w:p>
    <w:p w14:paraId="00C7E522" w14:textId="5970CBAE" w:rsidR="00200251" w:rsidRDefault="00200251" w:rsidP="00200251">
      <w:pPr>
        <w:pStyle w:val="ListParagraph"/>
        <w:numPr>
          <w:ilvl w:val="1"/>
          <w:numId w:val="1"/>
        </w:numPr>
        <w:spacing w:after="0" w:line="240" w:lineRule="auto"/>
        <w:jc w:val="both"/>
        <w:rPr>
          <w:rFonts w:ascii="Times New Roman" w:hAnsi="Times New Roman" w:cs="Times New Roman"/>
          <w:bCs/>
          <w:sz w:val="28"/>
          <w:szCs w:val="28"/>
        </w:rPr>
      </w:pPr>
      <w:r w:rsidRPr="004817DB">
        <w:rPr>
          <w:rFonts w:ascii="Times New Roman" w:hAnsi="Times New Roman" w:cs="Times New Roman"/>
          <w:bCs/>
          <w:sz w:val="28"/>
          <w:szCs w:val="28"/>
        </w:rPr>
        <w:t xml:space="preserve">I dismiss Northland Builders Ltd.’s </w:t>
      </w:r>
      <w:r w:rsidR="004817DB" w:rsidRPr="004817DB">
        <w:rPr>
          <w:rFonts w:ascii="Times New Roman" w:hAnsi="Times New Roman" w:cs="Times New Roman"/>
          <w:bCs/>
          <w:sz w:val="28"/>
          <w:szCs w:val="28"/>
        </w:rPr>
        <w:t>c</w:t>
      </w:r>
      <w:r w:rsidR="004D7CFA" w:rsidRPr="004817DB">
        <w:rPr>
          <w:rFonts w:ascii="Times New Roman" w:hAnsi="Times New Roman" w:cs="Times New Roman"/>
          <w:bCs/>
          <w:sz w:val="28"/>
          <w:szCs w:val="28"/>
        </w:rPr>
        <w:t>ounterclaim</w:t>
      </w:r>
      <w:r w:rsidRPr="004817DB">
        <w:rPr>
          <w:rFonts w:ascii="Times New Roman" w:hAnsi="Times New Roman" w:cs="Times New Roman"/>
          <w:bCs/>
          <w:sz w:val="28"/>
          <w:szCs w:val="28"/>
        </w:rPr>
        <w:t xml:space="preserve"> against NWT Energy Corporation (03) </w:t>
      </w:r>
      <w:proofErr w:type="gramStart"/>
      <w:r w:rsidRPr="004817DB">
        <w:rPr>
          <w:rFonts w:ascii="Times New Roman" w:hAnsi="Times New Roman" w:cs="Times New Roman"/>
          <w:bCs/>
          <w:sz w:val="28"/>
          <w:szCs w:val="28"/>
        </w:rPr>
        <w:t>Ltd;</w:t>
      </w:r>
      <w:proofErr w:type="gramEnd"/>
    </w:p>
    <w:p w14:paraId="64975F76" w14:textId="77777777" w:rsidR="00993718" w:rsidRPr="00993718" w:rsidRDefault="00993718" w:rsidP="00993718">
      <w:pPr>
        <w:spacing w:after="0" w:line="240" w:lineRule="auto"/>
        <w:jc w:val="both"/>
        <w:rPr>
          <w:rFonts w:ascii="Times New Roman" w:hAnsi="Times New Roman" w:cs="Times New Roman"/>
          <w:bCs/>
          <w:sz w:val="28"/>
          <w:szCs w:val="28"/>
        </w:rPr>
      </w:pPr>
    </w:p>
    <w:p w14:paraId="27416BD2" w14:textId="07354DE3" w:rsidR="007B6FDA" w:rsidRDefault="001117CF" w:rsidP="00F36FC9">
      <w:pPr>
        <w:pStyle w:val="ListParagraph"/>
        <w:numPr>
          <w:ilvl w:val="1"/>
          <w:numId w:val="1"/>
        </w:numPr>
        <w:spacing w:after="0" w:line="240" w:lineRule="auto"/>
        <w:jc w:val="both"/>
        <w:rPr>
          <w:rFonts w:ascii="Times New Roman" w:hAnsi="Times New Roman" w:cs="Times New Roman"/>
          <w:bCs/>
          <w:sz w:val="28"/>
          <w:szCs w:val="28"/>
        </w:rPr>
      </w:pPr>
      <w:r w:rsidRPr="00DC7852">
        <w:rPr>
          <w:rFonts w:ascii="Times New Roman" w:hAnsi="Times New Roman" w:cs="Times New Roman"/>
          <w:bCs/>
          <w:sz w:val="28"/>
          <w:szCs w:val="28"/>
        </w:rPr>
        <w:t>ONEC Construction Inc. and Liberty Mutual Insurance Company shall pay Northland Builders Ltd. part</w:t>
      </w:r>
      <w:r w:rsidR="004817DB" w:rsidRPr="00DC7852">
        <w:rPr>
          <w:rFonts w:ascii="Times New Roman" w:hAnsi="Times New Roman" w:cs="Times New Roman"/>
          <w:bCs/>
          <w:sz w:val="28"/>
          <w:szCs w:val="28"/>
        </w:rPr>
        <w:t xml:space="preserve">y and </w:t>
      </w:r>
      <w:r w:rsidRPr="00DC7852">
        <w:rPr>
          <w:rFonts w:ascii="Times New Roman" w:hAnsi="Times New Roman" w:cs="Times New Roman"/>
          <w:bCs/>
          <w:sz w:val="28"/>
          <w:szCs w:val="28"/>
        </w:rPr>
        <w:t>party costs</w:t>
      </w:r>
      <w:r w:rsidR="00200B76">
        <w:rPr>
          <w:rFonts w:ascii="Times New Roman" w:hAnsi="Times New Roman" w:cs="Times New Roman"/>
          <w:bCs/>
          <w:sz w:val="28"/>
          <w:szCs w:val="28"/>
        </w:rPr>
        <w:t xml:space="preserve"> </w:t>
      </w:r>
      <w:r w:rsidR="008B7BA1" w:rsidRPr="00DC7852">
        <w:rPr>
          <w:rFonts w:ascii="Times New Roman" w:hAnsi="Times New Roman" w:cs="Times New Roman"/>
          <w:bCs/>
          <w:sz w:val="28"/>
          <w:szCs w:val="28"/>
        </w:rPr>
        <w:t>in any eve</w:t>
      </w:r>
      <w:r w:rsidR="007D1EBB" w:rsidRPr="00DC7852">
        <w:rPr>
          <w:rFonts w:ascii="Times New Roman" w:hAnsi="Times New Roman" w:cs="Times New Roman"/>
          <w:bCs/>
          <w:sz w:val="28"/>
          <w:szCs w:val="28"/>
        </w:rPr>
        <w:t xml:space="preserve">nt of the </w:t>
      </w:r>
      <w:proofErr w:type="gramStart"/>
      <w:r w:rsidR="007D1EBB" w:rsidRPr="00DC7852">
        <w:rPr>
          <w:rFonts w:ascii="Times New Roman" w:hAnsi="Times New Roman" w:cs="Times New Roman"/>
          <w:bCs/>
          <w:sz w:val="28"/>
          <w:szCs w:val="28"/>
        </w:rPr>
        <w:t>cause</w:t>
      </w:r>
      <w:r w:rsidRPr="00DC7852">
        <w:rPr>
          <w:rFonts w:ascii="Times New Roman" w:hAnsi="Times New Roman" w:cs="Times New Roman"/>
          <w:bCs/>
          <w:sz w:val="28"/>
          <w:szCs w:val="28"/>
        </w:rPr>
        <w:t>;</w:t>
      </w:r>
      <w:proofErr w:type="gramEnd"/>
    </w:p>
    <w:p w14:paraId="466853B4" w14:textId="77777777" w:rsidR="00993718" w:rsidRPr="00993718" w:rsidRDefault="00993718" w:rsidP="00993718">
      <w:pPr>
        <w:spacing w:after="0" w:line="240" w:lineRule="auto"/>
        <w:jc w:val="both"/>
        <w:rPr>
          <w:rFonts w:ascii="Times New Roman" w:hAnsi="Times New Roman" w:cs="Times New Roman"/>
          <w:bCs/>
          <w:sz w:val="28"/>
          <w:szCs w:val="28"/>
        </w:rPr>
      </w:pPr>
    </w:p>
    <w:p w14:paraId="7F974DF0" w14:textId="6DA4CEA4" w:rsidR="001117CF" w:rsidRPr="00DC7852" w:rsidRDefault="00200251" w:rsidP="00F36FC9">
      <w:pPr>
        <w:pStyle w:val="ListParagraph"/>
        <w:numPr>
          <w:ilvl w:val="1"/>
          <w:numId w:val="1"/>
        </w:numPr>
        <w:spacing w:after="0" w:line="240" w:lineRule="auto"/>
        <w:jc w:val="both"/>
        <w:rPr>
          <w:rFonts w:ascii="Times New Roman" w:hAnsi="Times New Roman" w:cs="Times New Roman"/>
          <w:bCs/>
          <w:sz w:val="28"/>
          <w:szCs w:val="28"/>
        </w:rPr>
      </w:pPr>
      <w:r w:rsidRPr="00DC7852">
        <w:rPr>
          <w:rFonts w:ascii="Times New Roman" w:hAnsi="Times New Roman" w:cs="Times New Roman"/>
          <w:bCs/>
          <w:sz w:val="28"/>
          <w:szCs w:val="28"/>
        </w:rPr>
        <w:t xml:space="preserve">Northland Builders Ltd. </w:t>
      </w:r>
      <w:r w:rsidR="001117CF" w:rsidRPr="00DC7852">
        <w:rPr>
          <w:rFonts w:ascii="Times New Roman" w:hAnsi="Times New Roman" w:cs="Times New Roman"/>
          <w:bCs/>
          <w:sz w:val="28"/>
          <w:szCs w:val="28"/>
        </w:rPr>
        <w:t>shall pay NWT Energy Corporation (03) Ltd party</w:t>
      </w:r>
      <w:r w:rsidR="004817DB" w:rsidRPr="00DC7852">
        <w:rPr>
          <w:rFonts w:ascii="Times New Roman" w:hAnsi="Times New Roman" w:cs="Times New Roman"/>
          <w:bCs/>
          <w:sz w:val="28"/>
          <w:szCs w:val="28"/>
        </w:rPr>
        <w:t xml:space="preserve"> and </w:t>
      </w:r>
      <w:r w:rsidR="001117CF" w:rsidRPr="00DC7852">
        <w:rPr>
          <w:rFonts w:ascii="Times New Roman" w:hAnsi="Times New Roman" w:cs="Times New Roman"/>
          <w:bCs/>
          <w:sz w:val="28"/>
          <w:szCs w:val="28"/>
        </w:rPr>
        <w:t>party costs.</w:t>
      </w:r>
    </w:p>
    <w:p w14:paraId="4F4227EC" w14:textId="77777777" w:rsidR="00F36FC9" w:rsidRPr="00F82B8E" w:rsidRDefault="00F36FC9" w:rsidP="00F36FC9">
      <w:pPr>
        <w:spacing w:after="0" w:line="240" w:lineRule="auto"/>
        <w:jc w:val="both"/>
        <w:rPr>
          <w:rFonts w:ascii="Times New Roman" w:hAnsi="Times New Roman" w:cs="Times New Roman"/>
          <w:bCs/>
          <w:sz w:val="28"/>
          <w:szCs w:val="28"/>
        </w:rPr>
      </w:pPr>
    </w:p>
    <w:p w14:paraId="53BB0565" w14:textId="77777777" w:rsidR="007B6FDA" w:rsidRDefault="007B6FDA" w:rsidP="00F36FC9">
      <w:pPr>
        <w:spacing w:after="0" w:line="240" w:lineRule="auto"/>
        <w:jc w:val="both"/>
        <w:rPr>
          <w:rFonts w:ascii="Times New Roman" w:hAnsi="Times New Roman" w:cs="Times New Roman"/>
          <w:bCs/>
          <w:sz w:val="28"/>
          <w:szCs w:val="28"/>
        </w:rPr>
      </w:pPr>
    </w:p>
    <w:p w14:paraId="662A6C78" w14:textId="77777777" w:rsidR="003F4FB6" w:rsidRDefault="003F4FB6" w:rsidP="00F36FC9">
      <w:pPr>
        <w:spacing w:after="0" w:line="240" w:lineRule="auto"/>
        <w:jc w:val="both"/>
        <w:rPr>
          <w:rFonts w:ascii="Times New Roman" w:hAnsi="Times New Roman" w:cs="Times New Roman"/>
          <w:bCs/>
          <w:sz w:val="28"/>
          <w:szCs w:val="28"/>
        </w:rPr>
      </w:pPr>
    </w:p>
    <w:p w14:paraId="353199F2" w14:textId="77777777" w:rsidR="008308E1" w:rsidRPr="00F82B8E" w:rsidRDefault="008308E1" w:rsidP="00F36FC9">
      <w:pPr>
        <w:spacing w:after="0" w:line="240" w:lineRule="auto"/>
        <w:jc w:val="both"/>
        <w:rPr>
          <w:rFonts w:ascii="Times New Roman" w:hAnsi="Times New Roman" w:cs="Times New Roman"/>
          <w:bCs/>
          <w:sz w:val="28"/>
          <w:szCs w:val="28"/>
        </w:rPr>
      </w:pPr>
    </w:p>
    <w:p w14:paraId="23E595E0" w14:textId="6B299C61" w:rsidR="00F36FC9" w:rsidRPr="008B42A7" w:rsidRDefault="00F36FC9" w:rsidP="00F36FC9">
      <w:pPr>
        <w:autoSpaceDE w:val="0"/>
        <w:autoSpaceDN w:val="0"/>
        <w:adjustRightInd w:val="0"/>
        <w:spacing w:after="0" w:line="240" w:lineRule="auto"/>
        <w:rPr>
          <w:rFonts w:ascii="MS Shell Dlg 2" w:hAnsi="MS Shell Dlg 2" w:cs="MS Shell Dlg 2"/>
          <w:sz w:val="16"/>
          <w:szCs w:val="16"/>
          <w:lang w:val="fr-CA"/>
        </w:rPr>
      </w:pPr>
      <w:r w:rsidRPr="00F82B8E">
        <w:rPr>
          <w:rFonts w:ascii="Times New Roman" w:hAnsi="Times New Roman" w:cs="Times New Roman"/>
          <w:sz w:val="28"/>
          <w:szCs w:val="28"/>
        </w:rPr>
        <w:fldChar w:fldCharType="begin"/>
      </w:r>
      <w:r w:rsidRPr="00247CD4">
        <w:rPr>
          <w:rFonts w:ascii="Times New Roman" w:hAnsi="Times New Roman" w:cs="Times New Roman"/>
          <w:sz w:val="28"/>
          <w:szCs w:val="28"/>
          <w:lang w:val="fr-CA"/>
        </w:rPr>
        <w:instrText xml:space="preserve"> SEQ CHAPTER \h \r 1</w:instrText>
      </w:r>
      <w:r w:rsidRPr="00F82B8E">
        <w:rPr>
          <w:rFonts w:ascii="Times New Roman" w:hAnsi="Times New Roman" w:cs="Times New Roman"/>
          <w:sz w:val="28"/>
          <w:szCs w:val="28"/>
        </w:rPr>
        <w:fldChar w:fldCharType="end"/>
      </w:r>
      <w:r w:rsidRPr="00247CD4">
        <w:rPr>
          <w:rFonts w:ascii="Times New Roman" w:hAnsi="Times New Roman" w:cs="Times New Roman"/>
          <w:sz w:val="28"/>
          <w:szCs w:val="28"/>
          <w:lang w:val="fr-CA"/>
        </w:rPr>
        <w:tab/>
      </w:r>
      <w:r w:rsidRPr="00247CD4">
        <w:rPr>
          <w:rFonts w:ascii="Times New Roman" w:hAnsi="Times New Roman" w:cs="Times New Roman"/>
          <w:sz w:val="28"/>
          <w:szCs w:val="28"/>
          <w:lang w:val="fr-CA"/>
        </w:rPr>
        <w:tab/>
      </w:r>
      <w:r w:rsidRPr="00247CD4">
        <w:rPr>
          <w:rFonts w:ascii="Times New Roman" w:hAnsi="Times New Roman" w:cs="Times New Roman"/>
          <w:sz w:val="28"/>
          <w:szCs w:val="28"/>
          <w:lang w:val="fr-CA"/>
        </w:rPr>
        <w:tab/>
      </w:r>
      <w:r w:rsidRPr="00247CD4">
        <w:rPr>
          <w:rFonts w:ascii="Times New Roman" w:hAnsi="Times New Roman" w:cs="Times New Roman"/>
          <w:sz w:val="28"/>
          <w:szCs w:val="28"/>
          <w:lang w:val="fr-CA"/>
        </w:rPr>
        <w:tab/>
      </w:r>
      <w:r w:rsidRPr="00247CD4">
        <w:rPr>
          <w:rFonts w:ascii="Times New Roman" w:hAnsi="Times New Roman" w:cs="Times New Roman"/>
          <w:sz w:val="28"/>
          <w:szCs w:val="28"/>
          <w:lang w:val="fr-CA"/>
        </w:rPr>
        <w:tab/>
      </w:r>
      <w:r w:rsidRPr="00247CD4">
        <w:rPr>
          <w:rFonts w:ascii="Times New Roman" w:hAnsi="Times New Roman" w:cs="Times New Roman"/>
          <w:sz w:val="28"/>
          <w:szCs w:val="28"/>
          <w:lang w:val="fr-CA"/>
        </w:rPr>
        <w:tab/>
      </w:r>
      <w:r w:rsidRPr="00247CD4">
        <w:rPr>
          <w:rFonts w:ascii="Times New Roman" w:hAnsi="Times New Roman" w:cs="Times New Roman"/>
          <w:sz w:val="28"/>
          <w:szCs w:val="28"/>
          <w:lang w:val="fr-CA"/>
        </w:rPr>
        <w:tab/>
      </w:r>
      <w:r w:rsidRPr="00247CD4">
        <w:rPr>
          <w:rFonts w:ascii="Times New Roman" w:hAnsi="Times New Roman" w:cs="Times New Roman"/>
          <w:sz w:val="28"/>
          <w:szCs w:val="28"/>
          <w:lang w:val="fr-CA"/>
        </w:rPr>
        <w:tab/>
      </w:r>
      <w:r w:rsidRPr="008B42A7">
        <w:rPr>
          <w:rFonts w:ascii="Times New Roman" w:hAnsi="Times New Roman" w:cs="Times New Roman"/>
          <w:sz w:val="28"/>
          <w:szCs w:val="28"/>
          <w:lang w:val="fr-CA"/>
        </w:rPr>
        <w:t>Annie Piché</w:t>
      </w:r>
    </w:p>
    <w:p w14:paraId="39B38A7E" w14:textId="77777777" w:rsidR="00F36FC9" w:rsidRPr="008B42A7" w:rsidRDefault="00F36FC9" w:rsidP="00F36FC9">
      <w:pPr>
        <w:spacing w:after="0" w:line="240" w:lineRule="auto"/>
        <w:jc w:val="both"/>
        <w:rPr>
          <w:rFonts w:ascii="Times New Roman" w:hAnsi="Times New Roman" w:cs="Times New Roman"/>
          <w:sz w:val="28"/>
          <w:szCs w:val="28"/>
          <w:lang w:val="fr-CA"/>
        </w:rPr>
      </w:pPr>
      <w:r w:rsidRPr="008B42A7">
        <w:rPr>
          <w:rFonts w:ascii="Times New Roman" w:hAnsi="Times New Roman" w:cs="Times New Roman"/>
          <w:sz w:val="28"/>
          <w:szCs w:val="28"/>
          <w:lang w:val="fr-CA"/>
        </w:rPr>
        <w:tab/>
      </w:r>
      <w:r w:rsidRPr="008B42A7">
        <w:rPr>
          <w:rFonts w:ascii="Times New Roman" w:hAnsi="Times New Roman" w:cs="Times New Roman"/>
          <w:sz w:val="28"/>
          <w:szCs w:val="28"/>
          <w:lang w:val="fr-CA"/>
        </w:rPr>
        <w:tab/>
      </w:r>
      <w:r w:rsidRPr="008B42A7">
        <w:rPr>
          <w:rFonts w:ascii="Times New Roman" w:hAnsi="Times New Roman" w:cs="Times New Roman"/>
          <w:sz w:val="28"/>
          <w:szCs w:val="28"/>
          <w:lang w:val="fr-CA"/>
        </w:rPr>
        <w:tab/>
      </w:r>
      <w:r w:rsidRPr="008B42A7">
        <w:rPr>
          <w:rFonts w:ascii="Times New Roman" w:hAnsi="Times New Roman" w:cs="Times New Roman"/>
          <w:sz w:val="28"/>
          <w:szCs w:val="28"/>
          <w:lang w:val="fr-CA"/>
        </w:rPr>
        <w:tab/>
      </w:r>
      <w:r w:rsidRPr="008B42A7">
        <w:rPr>
          <w:rFonts w:ascii="Times New Roman" w:hAnsi="Times New Roman" w:cs="Times New Roman"/>
          <w:sz w:val="28"/>
          <w:szCs w:val="28"/>
          <w:lang w:val="fr-CA"/>
        </w:rPr>
        <w:tab/>
      </w:r>
      <w:r w:rsidRPr="008B42A7">
        <w:rPr>
          <w:rFonts w:ascii="Times New Roman" w:hAnsi="Times New Roman" w:cs="Times New Roman"/>
          <w:sz w:val="28"/>
          <w:szCs w:val="28"/>
          <w:lang w:val="fr-CA"/>
        </w:rPr>
        <w:tab/>
      </w:r>
      <w:r w:rsidRPr="008B42A7">
        <w:rPr>
          <w:rFonts w:ascii="Times New Roman" w:hAnsi="Times New Roman" w:cs="Times New Roman"/>
          <w:sz w:val="28"/>
          <w:szCs w:val="28"/>
          <w:lang w:val="fr-CA"/>
        </w:rPr>
        <w:tab/>
      </w:r>
      <w:r w:rsidRPr="008B42A7">
        <w:rPr>
          <w:rFonts w:ascii="Times New Roman" w:hAnsi="Times New Roman" w:cs="Times New Roman"/>
          <w:sz w:val="28"/>
          <w:szCs w:val="28"/>
          <w:lang w:val="fr-CA"/>
        </w:rPr>
        <w:tab/>
        <w:t xml:space="preserve">    J.S.C.</w:t>
      </w:r>
    </w:p>
    <w:p w14:paraId="21E8E122" w14:textId="732D44D9" w:rsidR="00780CFC" w:rsidRPr="00F82B8E" w:rsidRDefault="00F36FC9" w:rsidP="00F36FC9">
      <w:pPr>
        <w:spacing w:after="0" w:line="240" w:lineRule="auto"/>
        <w:jc w:val="both"/>
        <w:rPr>
          <w:rFonts w:ascii="Times New Roman" w:hAnsi="Times New Roman" w:cs="Times New Roman"/>
          <w:sz w:val="28"/>
          <w:szCs w:val="28"/>
        </w:rPr>
      </w:pPr>
      <w:r w:rsidRPr="00F82B8E">
        <w:rPr>
          <w:rFonts w:ascii="Times New Roman" w:hAnsi="Times New Roman" w:cs="Times New Roman"/>
          <w:sz w:val="28"/>
          <w:szCs w:val="28"/>
        </w:rPr>
        <w:t>Dated at Yellowknife, NT, thi</w:t>
      </w:r>
      <w:r w:rsidR="007630E6">
        <w:rPr>
          <w:rFonts w:ascii="Times New Roman" w:hAnsi="Times New Roman" w:cs="Times New Roman"/>
          <w:sz w:val="28"/>
          <w:szCs w:val="28"/>
        </w:rPr>
        <w:t>s</w:t>
      </w:r>
    </w:p>
    <w:p w14:paraId="2B408F31" w14:textId="4D97C61D" w:rsidR="00F36FC9" w:rsidRPr="00F82B8E" w:rsidRDefault="00FC59A5" w:rsidP="00F36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FC59A5">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8E71CA" w:rsidRPr="00FC59A5">
        <w:rPr>
          <w:rFonts w:ascii="Times New Roman" w:hAnsi="Times New Roman" w:cs="Times New Roman"/>
          <w:sz w:val="28"/>
          <w:szCs w:val="28"/>
        </w:rPr>
        <w:t xml:space="preserve">day of </w:t>
      </w:r>
      <w:r w:rsidR="00200B76">
        <w:rPr>
          <w:rFonts w:ascii="Times New Roman" w:hAnsi="Times New Roman" w:cs="Times New Roman"/>
          <w:sz w:val="28"/>
          <w:szCs w:val="28"/>
        </w:rPr>
        <w:t>August</w:t>
      </w:r>
      <w:r w:rsidR="008E71CA" w:rsidRPr="00FC59A5">
        <w:rPr>
          <w:rFonts w:ascii="Times New Roman" w:hAnsi="Times New Roman" w:cs="Times New Roman"/>
          <w:sz w:val="28"/>
          <w:szCs w:val="28"/>
        </w:rPr>
        <w:t xml:space="preserve"> 2025</w:t>
      </w:r>
    </w:p>
    <w:p w14:paraId="66C204F1" w14:textId="77777777" w:rsidR="00F36FC9" w:rsidRDefault="00F36FC9" w:rsidP="00F36FC9">
      <w:pPr>
        <w:tabs>
          <w:tab w:val="left" w:pos="720"/>
          <w:tab w:val="left" w:pos="1440"/>
          <w:tab w:val="left" w:pos="2160"/>
          <w:tab w:val="left" w:pos="2880"/>
          <w:tab w:val="left" w:pos="3600"/>
        </w:tabs>
        <w:spacing w:after="0" w:line="240" w:lineRule="auto"/>
        <w:ind w:left="3600" w:hanging="3600"/>
        <w:jc w:val="both"/>
        <w:rPr>
          <w:rFonts w:ascii="Times New Roman" w:hAnsi="Times New Roman" w:cs="Times New Roman"/>
          <w:sz w:val="28"/>
          <w:szCs w:val="28"/>
        </w:rPr>
      </w:pPr>
    </w:p>
    <w:p w14:paraId="4C894690" w14:textId="77777777" w:rsidR="008308E1" w:rsidRDefault="008308E1" w:rsidP="00F36FC9">
      <w:pPr>
        <w:tabs>
          <w:tab w:val="left" w:pos="720"/>
          <w:tab w:val="left" w:pos="1440"/>
          <w:tab w:val="left" w:pos="2160"/>
          <w:tab w:val="left" w:pos="2880"/>
          <w:tab w:val="left" w:pos="3600"/>
        </w:tabs>
        <w:spacing w:after="0" w:line="240" w:lineRule="auto"/>
        <w:ind w:left="3600" w:hanging="3600"/>
        <w:jc w:val="both"/>
        <w:rPr>
          <w:rFonts w:ascii="Times New Roman" w:hAnsi="Times New Roman" w:cs="Times New Roman"/>
          <w:sz w:val="28"/>
          <w:szCs w:val="28"/>
        </w:rPr>
      </w:pPr>
    </w:p>
    <w:p w14:paraId="408EF11D" w14:textId="77777777" w:rsidR="008308E1" w:rsidRDefault="008308E1" w:rsidP="00F36FC9">
      <w:pPr>
        <w:tabs>
          <w:tab w:val="left" w:pos="720"/>
          <w:tab w:val="left" w:pos="1440"/>
          <w:tab w:val="left" w:pos="2160"/>
          <w:tab w:val="left" w:pos="2880"/>
          <w:tab w:val="left" w:pos="3600"/>
        </w:tabs>
        <w:spacing w:after="0" w:line="240" w:lineRule="auto"/>
        <w:ind w:left="3600" w:hanging="3600"/>
        <w:jc w:val="both"/>
        <w:rPr>
          <w:rFonts w:ascii="Times New Roman" w:hAnsi="Times New Roman" w:cs="Times New Roman"/>
          <w:sz w:val="28"/>
          <w:szCs w:val="28"/>
        </w:rPr>
      </w:pPr>
    </w:p>
    <w:p w14:paraId="01F1F9F4" w14:textId="77777777" w:rsidR="008308E1" w:rsidRPr="00F82B8E" w:rsidRDefault="008308E1" w:rsidP="00F36FC9">
      <w:pPr>
        <w:tabs>
          <w:tab w:val="left" w:pos="720"/>
          <w:tab w:val="left" w:pos="1440"/>
          <w:tab w:val="left" w:pos="2160"/>
          <w:tab w:val="left" w:pos="2880"/>
          <w:tab w:val="left" w:pos="3600"/>
        </w:tabs>
        <w:spacing w:after="0" w:line="240" w:lineRule="auto"/>
        <w:ind w:left="3600" w:hanging="3600"/>
        <w:jc w:val="both"/>
        <w:rPr>
          <w:rFonts w:ascii="Times New Roman" w:hAnsi="Times New Roman" w:cs="Times New Roman"/>
          <w:sz w:val="28"/>
          <w:szCs w:val="28"/>
        </w:rPr>
      </w:pPr>
    </w:p>
    <w:p w14:paraId="21DEFC1E" w14:textId="77777777" w:rsidR="00E24347" w:rsidRDefault="00F36FC9" w:rsidP="00D84DED">
      <w:pPr>
        <w:tabs>
          <w:tab w:val="left" w:pos="720"/>
          <w:tab w:val="left" w:pos="1440"/>
          <w:tab w:val="left" w:pos="1701"/>
          <w:tab w:val="left" w:pos="2160"/>
          <w:tab w:val="left" w:pos="2880"/>
          <w:tab w:val="left" w:pos="3510"/>
        </w:tabs>
        <w:spacing w:after="0" w:line="240" w:lineRule="auto"/>
        <w:jc w:val="both"/>
        <w:rPr>
          <w:rFonts w:ascii="Times New Roman" w:hAnsi="Times New Roman" w:cs="Times New Roman"/>
          <w:sz w:val="28"/>
          <w:szCs w:val="28"/>
        </w:rPr>
      </w:pPr>
      <w:r w:rsidRPr="00F82B8E">
        <w:rPr>
          <w:rFonts w:ascii="Times New Roman" w:hAnsi="Times New Roman" w:cs="Times New Roman"/>
          <w:sz w:val="28"/>
          <w:szCs w:val="28"/>
        </w:rPr>
        <w:lastRenderedPageBreak/>
        <w:t xml:space="preserve">Counsel for </w:t>
      </w:r>
      <w:r w:rsidR="00576AFF">
        <w:rPr>
          <w:rFonts w:ascii="Times New Roman" w:hAnsi="Times New Roman" w:cs="Times New Roman"/>
          <w:sz w:val="28"/>
          <w:szCs w:val="28"/>
        </w:rPr>
        <w:t xml:space="preserve">the </w:t>
      </w:r>
      <w:r w:rsidRPr="00F82B8E">
        <w:rPr>
          <w:rFonts w:ascii="Times New Roman" w:hAnsi="Times New Roman" w:cs="Times New Roman"/>
          <w:sz w:val="28"/>
          <w:szCs w:val="28"/>
        </w:rPr>
        <w:t>Plaintiff</w:t>
      </w:r>
      <w:r w:rsidR="00576AFF">
        <w:rPr>
          <w:rFonts w:ascii="Times New Roman" w:hAnsi="Times New Roman" w:cs="Times New Roman"/>
          <w:sz w:val="28"/>
          <w:szCs w:val="28"/>
        </w:rPr>
        <w:t xml:space="preserve">/Defendant by Counterclaim </w:t>
      </w:r>
    </w:p>
    <w:p w14:paraId="4567BC9F" w14:textId="77777777" w:rsidR="00842189" w:rsidRDefault="00576AFF" w:rsidP="00D84DED">
      <w:pPr>
        <w:tabs>
          <w:tab w:val="left" w:pos="720"/>
          <w:tab w:val="left" w:pos="1440"/>
          <w:tab w:val="left" w:pos="1701"/>
          <w:tab w:val="left" w:pos="2160"/>
          <w:tab w:val="left" w:pos="2880"/>
          <w:tab w:val="left" w:pos="3510"/>
        </w:tabs>
        <w:spacing w:after="0" w:line="240" w:lineRule="auto"/>
        <w:jc w:val="both"/>
        <w:rPr>
          <w:rFonts w:ascii="Times New Roman" w:hAnsi="Times New Roman" w:cs="Times New Roman"/>
          <w:sz w:val="28"/>
          <w:szCs w:val="28"/>
        </w:rPr>
      </w:pPr>
      <w:r w:rsidRPr="00F82B8E">
        <w:rPr>
          <w:rFonts w:ascii="Times New Roman" w:hAnsi="Times New Roman" w:cs="Times New Roman"/>
          <w:bCs/>
          <w:sz w:val="28"/>
          <w:szCs w:val="28"/>
        </w:rPr>
        <w:t>ONEC Construction Inc.</w:t>
      </w:r>
      <w:r w:rsidR="00D84DED">
        <w:rPr>
          <w:rFonts w:ascii="Times New Roman" w:hAnsi="Times New Roman" w:cs="Times New Roman"/>
          <w:sz w:val="28"/>
          <w:szCs w:val="28"/>
        </w:rPr>
        <w:t xml:space="preserve"> and the Defendant by</w:t>
      </w:r>
    </w:p>
    <w:p w14:paraId="1DF31AEB" w14:textId="6BD082AA" w:rsidR="00576AFF" w:rsidRDefault="00D84DED" w:rsidP="00D84DED">
      <w:pPr>
        <w:tabs>
          <w:tab w:val="left" w:pos="720"/>
          <w:tab w:val="left" w:pos="1440"/>
          <w:tab w:val="left" w:pos="1701"/>
          <w:tab w:val="left" w:pos="2160"/>
          <w:tab w:val="left" w:pos="2880"/>
          <w:tab w:val="left" w:pos="3510"/>
        </w:tabs>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Counterclaim</w:t>
      </w:r>
      <w:r w:rsidRPr="00D84DED">
        <w:rPr>
          <w:rFonts w:ascii="Times New Roman" w:hAnsi="Times New Roman" w:cs="Times New Roman"/>
          <w:bCs/>
          <w:sz w:val="28"/>
          <w:szCs w:val="28"/>
        </w:rPr>
        <w:t xml:space="preserve"> </w:t>
      </w:r>
      <w:r w:rsidRPr="00F82B8E">
        <w:rPr>
          <w:rFonts w:ascii="Times New Roman" w:hAnsi="Times New Roman" w:cs="Times New Roman"/>
          <w:bCs/>
          <w:sz w:val="28"/>
          <w:szCs w:val="28"/>
        </w:rPr>
        <w:t>Liberty Mutual Insurance Company</w:t>
      </w:r>
      <w:r>
        <w:rPr>
          <w:rFonts w:ascii="Times New Roman" w:hAnsi="Times New Roman" w:cs="Times New Roman"/>
          <w:bCs/>
          <w:sz w:val="28"/>
          <w:szCs w:val="28"/>
        </w:rPr>
        <w:t>:</w:t>
      </w:r>
      <w:r w:rsidR="00842189">
        <w:rPr>
          <w:rFonts w:ascii="Times New Roman" w:hAnsi="Times New Roman" w:cs="Times New Roman"/>
          <w:bCs/>
          <w:sz w:val="28"/>
          <w:szCs w:val="28"/>
        </w:rPr>
        <w:tab/>
        <w:t>Mark Alexander</w:t>
      </w:r>
    </w:p>
    <w:p w14:paraId="2B8CEC98" w14:textId="77777777" w:rsidR="004F1D25" w:rsidRDefault="004F1D25" w:rsidP="00D84DED">
      <w:pPr>
        <w:tabs>
          <w:tab w:val="left" w:pos="720"/>
          <w:tab w:val="left" w:pos="1440"/>
          <w:tab w:val="left" w:pos="1701"/>
          <w:tab w:val="left" w:pos="2160"/>
          <w:tab w:val="left" w:pos="2880"/>
          <w:tab w:val="left" w:pos="3510"/>
        </w:tabs>
        <w:spacing w:after="0" w:line="240" w:lineRule="auto"/>
        <w:jc w:val="both"/>
        <w:rPr>
          <w:rFonts w:ascii="Times New Roman" w:hAnsi="Times New Roman" w:cs="Times New Roman"/>
          <w:bCs/>
          <w:sz w:val="28"/>
          <w:szCs w:val="28"/>
        </w:rPr>
      </w:pPr>
    </w:p>
    <w:p w14:paraId="411B7DDA" w14:textId="77777777" w:rsidR="00842189" w:rsidRDefault="00F36FC9" w:rsidP="00F36FC9">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sz w:val="28"/>
          <w:szCs w:val="28"/>
        </w:rPr>
      </w:pPr>
      <w:r w:rsidRPr="00F82B8E">
        <w:rPr>
          <w:rFonts w:ascii="Times New Roman" w:hAnsi="Times New Roman" w:cs="Times New Roman"/>
          <w:sz w:val="28"/>
          <w:szCs w:val="28"/>
        </w:rPr>
        <w:t>Counsel for Defendant</w:t>
      </w:r>
      <w:r w:rsidR="004336FA">
        <w:rPr>
          <w:rFonts w:ascii="Times New Roman" w:hAnsi="Times New Roman" w:cs="Times New Roman"/>
          <w:sz w:val="28"/>
          <w:szCs w:val="28"/>
        </w:rPr>
        <w:t>/Defendant by Counterclaim</w:t>
      </w:r>
    </w:p>
    <w:p w14:paraId="74AB8D08" w14:textId="5AA403C9" w:rsidR="00F36FC9" w:rsidRDefault="004336FA" w:rsidP="00F36FC9">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Pr="00F82B8E">
        <w:rPr>
          <w:rFonts w:ascii="Times New Roman" w:hAnsi="Times New Roman" w:cs="Times New Roman"/>
          <w:bCs/>
          <w:sz w:val="28"/>
          <w:szCs w:val="28"/>
        </w:rPr>
        <w:t>NWT Energy Corporation (03) Ltd</w:t>
      </w:r>
      <w:r>
        <w:rPr>
          <w:rFonts w:ascii="Times New Roman" w:hAnsi="Times New Roman" w:cs="Times New Roman"/>
          <w:bCs/>
          <w:sz w:val="28"/>
          <w:szCs w:val="28"/>
        </w:rPr>
        <w:t>:</w:t>
      </w:r>
      <w:r w:rsidR="00335B99">
        <w:rPr>
          <w:rFonts w:ascii="Times New Roman" w:hAnsi="Times New Roman" w:cs="Times New Roman"/>
          <w:bCs/>
          <w:sz w:val="28"/>
          <w:szCs w:val="28"/>
        </w:rPr>
        <w:tab/>
      </w:r>
      <w:r w:rsidR="00335B99">
        <w:rPr>
          <w:rFonts w:ascii="Times New Roman" w:hAnsi="Times New Roman" w:cs="Times New Roman"/>
          <w:bCs/>
          <w:sz w:val="28"/>
          <w:szCs w:val="28"/>
        </w:rPr>
        <w:tab/>
      </w:r>
      <w:r w:rsidR="00335B99">
        <w:rPr>
          <w:rFonts w:ascii="Times New Roman" w:hAnsi="Times New Roman" w:cs="Times New Roman"/>
          <w:bCs/>
          <w:sz w:val="28"/>
          <w:szCs w:val="28"/>
        </w:rPr>
        <w:tab/>
      </w:r>
      <w:r w:rsidR="00335B99">
        <w:rPr>
          <w:rFonts w:ascii="Times New Roman" w:hAnsi="Times New Roman" w:cs="Times New Roman"/>
          <w:bCs/>
          <w:sz w:val="28"/>
          <w:szCs w:val="28"/>
        </w:rPr>
        <w:tab/>
        <w:t>Bryan Kwan</w:t>
      </w:r>
    </w:p>
    <w:p w14:paraId="0CA969D6" w14:textId="77777777" w:rsidR="004336FA" w:rsidRDefault="004336FA" w:rsidP="00F36FC9">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bCs/>
          <w:sz w:val="28"/>
          <w:szCs w:val="28"/>
        </w:rPr>
      </w:pPr>
    </w:p>
    <w:p w14:paraId="67539689" w14:textId="77777777" w:rsidR="00842189" w:rsidRDefault="00C44F3E" w:rsidP="00F36FC9">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Counsel for the Defendant/Plaintiff by Counterclaim</w:t>
      </w:r>
    </w:p>
    <w:p w14:paraId="2FA22FF9" w14:textId="44E96257" w:rsidR="00C44F3E" w:rsidRDefault="00C44F3E" w:rsidP="00F36FC9">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Northland Builders Ltd.:</w:t>
      </w:r>
      <w:r w:rsidR="00335B99">
        <w:rPr>
          <w:rFonts w:ascii="Times New Roman" w:hAnsi="Times New Roman" w:cs="Times New Roman"/>
          <w:bCs/>
          <w:sz w:val="28"/>
          <w:szCs w:val="28"/>
        </w:rPr>
        <w:tab/>
      </w:r>
      <w:r w:rsidR="00335B99">
        <w:rPr>
          <w:rFonts w:ascii="Times New Roman" w:hAnsi="Times New Roman" w:cs="Times New Roman"/>
          <w:bCs/>
          <w:sz w:val="28"/>
          <w:szCs w:val="28"/>
        </w:rPr>
        <w:tab/>
      </w:r>
      <w:r w:rsidR="00335B99">
        <w:rPr>
          <w:rFonts w:ascii="Times New Roman" w:hAnsi="Times New Roman" w:cs="Times New Roman"/>
          <w:bCs/>
          <w:sz w:val="28"/>
          <w:szCs w:val="28"/>
        </w:rPr>
        <w:tab/>
      </w:r>
      <w:r w:rsidR="00335B99">
        <w:rPr>
          <w:rFonts w:ascii="Times New Roman" w:hAnsi="Times New Roman" w:cs="Times New Roman"/>
          <w:bCs/>
          <w:sz w:val="28"/>
          <w:szCs w:val="28"/>
        </w:rPr>
        <w:tab/>
      </w:r>
      <w:r w:rsidR="00335B99">
        <w:rPr>
          <w:rFonts w:ascii="Times New Roman" w:hAnsi="Times New Roman" w:cs="Times New Roman"/>
          <w:bCs/>
          <w:sz w:val="28"/>
          <w:szCs w:val="28"/>
        </w:rPr>
        <w:tab/>
      </w:r>
      <w:r w:rsidR="00335B99">
        <w:rPr>
          <w:rFonts w:ascii="Times New Roman" w:hAnsi="Times New Roman" w:cs="Times New Roman"/>
          <w:bCs/>
          <w:sz w:val="28"/>
          <w:szCs w:val="28"/>
        </w:rPr>
        <w:tab/>
      </w:r>
      <w:r w:rsidR="00335B99">
        <w:rPr>
          <w:rFonts w:ascii="Times New Roman" w:hAnsi="Times New Roman" w:cs="Times New Roman"/>
          <w:bCs/>
          <w:sz w:val="28"/>
          <w:szCs w:val="28"/>
        </w:rPr>
        <w:tab/>
      </w:r>
      <w:r w:rsidR="00C8029C">
        <w:rPr>
          <w:rFonts w:ascii="Times New Roman" w:hAnsi="Times New Roman" w:cs="Times New Roman"/>
          <w:bCs/>
          <w:sz w:val="28"/>
          <w:szCs w:val="28"/>
        </w:rPr>
        <w:t xml:space="preserve">Bennet. W. </w:t>
      </w:r>
      <w:proofErr w:type="spellStart"/>
      <w:r w:rsidR="00C8029C">
        <w:rPr>
          <w:rFonts w:ascii="Times New Roman" w:hAnsi="Times New Roman" w:cs="Times New Roman"/>
          <w:bCs/>
          <w:sz w:val="28"/>
          <w:szCs w:val="28"/>
        </w:rPr>
        <w:t>Misskey</w:t>
      </w:r>
      <w:proofErr w:type="spellEnd"/>
    </w:p>
    <w:p w14:paraId="4F45AD50" w14:textId="49AF3B65" w:rsidR="00C8029C" w:rsidRDefault="00C8029C" w:rsidP="00F36FC9">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Haley Stearns</w:t>
      </w:r>
    </w:p>
    <w:p w14:paraId="6B8E97C3" w14:textId="586113E4" w:rsidR="00C44F3E" w:rsidRDefault="00C44F3E" w:rsidP="00F36FC9">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p>
    <w:p w14:paraId="4047F055" w14:textId="10852AD7" w:rsidR="00F36FC9" w:rsidRPr="00F82B8E" w:rsidRDefault="00F36FC9" w:rsidP="00F36FC9">
      <w:pPr>
        <w:spacing w:after="0" w:line="240" w:lineRule="auto"/>
        <w:jc w:val="both"/>
        <w:rPr>
          <w:rFonts w:ascii="Times New Roman" w:hAnsi="Times New Roman" w:cs="Times New Roman"/>
          <w:sz w:val="28"/>
          <w:szCs w:val="28"/>
        </w:rPr>
        <w:sectPr w:rsidR="00F36FC9" w:rsidRPr="00F82B8E" w:rsidSect="00284F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560" w:left="1440" w:header="720" w:footer="720" w:gutter="0"/>
          <w:cols w:space="720"/>
          <w:titlePg/>
          <w:docGrid w:linePitch="360"/>
        </w:sectPr>
      </w:pPr>
    </w:p>
    <w:p w14:paraId="22DBC4D9" w14:textId="77777777" w:rsidR="00F36FC9" w:rsidRPr="00F82B8E" w:rsidRDefault="00F36FC9" w:rsidP="00F36FC9">
      <w:pPr>
        <w:spacing w:after="0" w:line="240" w:lineRule="auto"/>
        <w:jc w:val="both"/>
        <w:rPr>
          <w:rFonts w:ascii="Times New Roman" w:hAnsi="Times New Roman" w:cs="Times New Roman"/>
          <w:sz w:val="28"/>
          <w:szCs w:val="28"/>
        </w:rPr>
      </w:pPr>
    </w:p>
    <w:tbl>
      <w:tblPr>
        <w:tblStyle w:val="TableGrid"/>
        <w:tblpPr w:leftFromText="180" w:rightFromText="180" w:horzAnchor="margin" w:tblpXSpec="right" w:tblpY="510"/>
        <w:tblW w:w="0" w:type="auto"/>
        <w:tblBorders>
          <w:top w:val="none" w:sz="0" w:space="0" w:color="auto"/>
          <w:left w:val="none" w:sz="0" w:space="0" w:color="auto"/>
          <w:right w:val="none" w:sz="0" w:space="0" w:color="auto"/>
        </w:tblBorders>
        <w:tblLook w:val="04A0" w:firstRow="1" w:lastRow="0" w:firstColumn="1" w:lastColumn="0" w:noHBand="0" w:noVBand="1"/>
      </w:tblPr>
      <w:tblGrid>
        <w:gridCol w:w="6408"/>
      </w:tblGrid>
      <w:tr w:rsidR="00F36FC9" w:rsidRPr="00F82B8E" w14:paraId="0C811414" w14:textId="77777777" w:rsidTr="00ED47F2">
        <w:tc>
          <w:tcPr>
            <w:tcW w:w="6408" w:type="dxa"/>
          </w:tcPr>
          <w:p w14:paraId="641B75BF" w14:textId="4AD5EE2E" w:rsidR="00F36FC9" w:rsidRPr="00D4559D" w:rsidRDefault="00D4559D" w:rsidP="00D4559D">
            <w:pPr>
              <w:spacing w:after="0" w:line="240" w:lineRule="auto"/>
              <w:jc w:val="right"/>
              <w:rPr>
                <w:rFonts w:ascii="Times New Roman" w:hAnsi="Times New Roman" w:cs="Times New Roman"/>
                <w:sz w:val="28"/>
                <w:szCs w:val="28"/>
              </w:rPr>
            </w:pPr>
            <w:r w:rsidRPr="00F82B8E">
              <w:rPr>
                <w:rFonts w:ascii="Times New Roman" w:hAnsi="Times New Roman" w:cs="Times New Roman"/>
                <w:sz w:val="28"/>
                <w:szCs w:val="28"/>
              </w:rPr>
              <w:t>S-1-CV-2023-000146</w:t>
            </w:r>
          </w:p>
        </w:tc>
      </w:tr>
      <w:tr w:rsidR="00F36FC9" w:rsidRPr="00F82B8E" w14:paraId="07C25F6D" w14:textId="77777777" w:rsidTr="00ED47F2">
        <w:tc>
          <w:tcPr>
            <w:tcW w:w="6408" w:type="dxa"/>
          </w:tcPr>
          <w:p w14:paraId="4EEC0820" w14:textId="77777777" w:rsidR="00F36FC9" w:rsidRPr="00F82B8E" w:rsidRDefault="00F36FC9" w:rsidP="00ED47F2">
            <w:pPr>
              <w:tabs>
                <w:tab w:val="center" w:pos="2784"/>
              </w:tabs>
              <w:jc w:val="center"/>
              <w:rPr>
                <w:rFonts w:ascii="Times New Roman" w:hAnsi="Times New Roman" w:cs="Times New Roman"/>
                <w:b/>
                <w:bCs/>
                <w:sz w:val="28"/>
                <w:szCs w:val="28"/>
                <w:lang w:val="en-CA"/>
              </w:rPr>
            </w:pPr>
          </w:p>
          <w:p w14:paraId="50008AB1" w14:textId="77777777" w:rsidR="00F36FC9" w:rsidRPr="00F82B8E" w:rsidRDefault="00F36FC9" w:rsidP="00ED47F2">
            <w:pPr>
              <w:tabs>
                <w:tab w:val="center" w:pos="2784"/>
              </w:tabs>
              <w:jc w:val="center"/>
              <w:rPr>
                <w:rFonts w:ascii="Times New Roman" w:hAnsi="Times New Roman" w:cs="Times New Roman"/>
                <w:b/>
                <w:bCs/>
                <w:sz w:val="28"/>
                <w:szCs w:val="28"/>
                <w:lang w:val="en-CA"/>
              </w:rPr>
            </w:pPr>
            <w:r w:rsidRPr="00F82B8E">
              <w:rPr>
                <w:rFonts w:ascii="Times New Roman" w:hAnsi="Times New Roman" w:cs="Times New Roman"/>
                <w:b/>
                <w:bCs/>
                <w:sz w:val="28"/>
                <w:szCs w:val="28"/>
                <w:lang w:val="en-CA"/>
              </w:rPr>
              <w:t>IN THE SUPREME COURT OF THE</w:t>
            </w:r>
          </w:p>
          <w:p w14:paraId="3FD584B0" w14:textId="77777777" w:rsidR="00F36FC9" w:rsidRPr="00F82B8E" w:rsidRDefault="00F36FC9" w:rsidP="00ED47F2">
            <w:pPr>
              <w:tabs>
                <w:tab w:val="center" w:pos="2784"/>
                <w:tab w:val="left" w:pos="4740"/>
              </w:tabs>
              <w:jc w:val="center"/>
              <w:rPr>
                <w:rFonts w:ascii="Times New Roman" w:hAnsi="Times New Roman" w:cs="Times New Roman"/>
                <w:b/>
                <w:bCs/>
                <w:sz w:val="28"/>
                <w:szCs w:val="28"/>
                <w:lang w:val="en-CA"/>
              </w:rPr>
            </w:pPr>
            <w:r w:rsidRPr="00F82B8E">
              <w:rPr>
                <w:rFonts w:ascii="Times New Roman" w:hAnsi="Times New Roman" w:cs="Times New Roman"/>
                <w:b/>
                <w:bCs/>
                <w:sz w:val="28"/>
                <w:szCs w:val="28"/>
                <w:lang w:val="en-CA"/>
              </w:rPr>
              <w:t>NORTHWEST TERRITORIES</w:t>
            </w:r>
          </w:p>
          <w:p w14:paraId="7D502C59" w14:textId="77777777" w:rsidR="00F36FC9" w:rsidRPr="00F82B8E" w:rsidRDefault="00F36FC9" w:rsidP="00ED47F2">
            <w:pPr>
              <w:pStyle w:val="NoSpacing"/>
              <w:jc w:val="center"/>
              <w:rPr>
                <w:rFonts w:ascii="Times New Roman" w:hAnsi="Times New Roman" w:cs="Times New Roman"/>
                <w:sz w:val="28"/>
                <w:szCs w:val="28"/>
                <w:lang w:val="en-CA"/>
              </w:rPr>
            </w:pPr>
          </w:p>
        </w:tc>
      </w:tr>
      <w:tr w:rsidR="00F36FC9" w:rsidRPr="00F82B8E" w14:paraId="390F7BE0" w14:textId="77777777" w:rsidTr="00ED47F2">
        <w:tc>
          <w:tcPr>
            <w:tcW w:w="6408" w:type="dxa"/>
          </w:tcPr>
          <w:p w14:paraId="4E52C51D" w14:textId="359F6FF9" w:rsidR="00F36FC9" w:rsidRPr="00576C51" w:rsidRDefault="00F36FC9" w:rsidP="00D4559D">
            <w:pPr>
              <w:rPr>
                <w:rFonts w:ascii="Times New Roman" w:hAnsi="Times New Roman" w:cs="Times New Roman"/>
                <w:b/>
                <w:bCs/>
                <w:sz w:val="28"/>
                <w:szCs w:val="28"/>
                <w:lang w:val="en-CA"/>
              </w:rPr>
            </w:pPr>
            <w:r w:rsidRPr="00576C51">
              <w:rPr>
                <w:rFonts w:ascii="Times New Roman" w:hAnsi="Times New Roman" w:cs="Times New Roman"/>
                <w:b/>
                <w:bCs/>
                <w:sz w:val="28"/>
                <w:szCs w:val="28"/>
                <w:lang w:val="en-CA"/>
              </w:rPr>
              <w:t>BETWEEN:</w:t>
            </w:r>
          </w:p>
          <w:p w14:paraId="08B8FFF2" w14:textId="77777777" w:rsidR="00D4559D" w:rsidRPr="00F82B8E" w:rsidRDefault="00D4559D" w:rsidP="00D4559D">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ONEC CONSTRUCTION INC.</w:t>
            </w:r>
          </w:p>
          <w:p w14:paraId="3C3FA661" w14:textId="77777777" w:rsidR="00D4559D" w:rsidRPr="00F82B8E" w:rsidRDefault="00D4559D" w:rsidP="00D4559D">
            <w:pPr>
              <w:spacing w:line="240" w:lineRule="auto"/>
              <w:contextualSpacing/>
              <w:jc w:val="right"/>
              <w:rPr>
                <w:rFonts w:ascii="Times New Roman" w:eastAsia="Calibri" w:hAnsi="Times New Roman" w:cs="Times New Roman"/>
                <w:sz w:val="28"/>
                <w:szCs w:val="28"/>
              </w:rPr>
            </w:pPr>
            <w:r w:rsidRPr="00F82B8E">
              <w:rPr>
                <w:rFonts w:ascii="Times New Roman" w:eastAsia="Calibri" w:hAnsi="Times New Roman" w:cs="Times New Roman"/>
                <w:sz w:val="28"/>
                <w:szCs w:val="28"/>
              </w:rPr>
              <w:t>Plaintiff /Defendant by Counterclaim</w:t>
            </w:r>
          </w:p>
          <w:p w14:paraId="70DEAB4E" w14:textId="77777777" w:rsidR="00D4559D" w:rsidRPr="00F82B8E" w:rsidRDefault="00D4559D" w:rsidP="00D4559D">
            <w:pPr>
              <w:spacing w:line="240" w:lineRule="auto"/>
              <w:jc w:val="center"/>
              <w:rPr>
                <w:rFonts w:ascii="Times New Roman" w:hAnsi="Times New Roman" w:cs="Times New Roman"/>
                <w:sz w:val="28"/>
                <w:szCs w:val="28"/>
              </w:rPr>
            </w:pPr>
          </w:p>
          <w:p w14:paraId="295EC7E6" w14:textId="77777777" w:rsidR="00D4559D" w:rsidRPr="00F82B8E" w:rsidRDefault="00D4559D" w:rsidP="00D4559D">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-and-</w:t>
            </w:r>
          </w:p>
          <w:p w14:paraId="34278012" w14:textId="77777777" w:rsidR="00D4559D" w:rsidRPr="00F82B8E" w:rsidRDefault="00D4559D" w:rsidP="00D4559D">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NWT ENERGY CORPORATION (03) LTD.</w:t>
            </w:r>
          </w:p>
          <w:p w14:paraId="6A69113F" w14:textId="77777777" w:rsidR="00D4559D" w:rsidRPr="00F82B8E" w:rsidRDefault="00D4559D" w:rsidP="00D4559D">
            <w:pPr>
              <w:spacing w:line="240" w:lineRule="auto"/>
              <w:contextualSpacing/>
              <w:jc w:val="right"/>
              <w:rPr>
                <w:rFonts w:ascii="Times New Roman" w:hAnsi="Times New Roman" w:cs="Times New Roman"/>
                <w:sz w:val="28"/>
                <w:szCs w:val="28"/>
              </w:rPr>
            </w:pPr>
            <w:r w:rsidRPr="00F82B8E">
              <w:rPr>
                <w:rFonts w:ascii="Times New Roman" w:hAnsi="Times New Roman" w:cs="Times New Roman"/>
                <w:sz w:val="28"/>
                <w:szCs w:val="28"/>
              </w:rPr>
              <w:t>Defendant/Defendant by Counterclaim</w:t>
            </w:r>
          </w:p>
          <w:p w14:paraId="5BC78E81" w14:textId="77777777" w:rsidR="00D4559D" w:rsidRPr="00F82B8E" w:rsidRDefault="00D4559D" w:rsidP="00D4559D">
            <w:pPr>
              <w:spacing w:line="240" w:lineRule="auto"/>
              <w:contextualSpacing/>
              <w:jc w:val="right"/>
              <w:rPr>
                <w:rFonts w:ascii="Times New Roman" w:hAnsi="Times New Roman" w:cs="Times New Roman"/>
                <w:sz w:val="28"/>
                <w:szCs w:val="28"/>
              </w:rPr>
            </w:pPr>
          </w:p>
          <w:p w14:paraId="11B2C4EE" w14:textId="77777777" w:rsidR="00D4559D" w:rsidRPr="00F82B8E" w:rsidRDefault="00D4559D" w:rsidP="00D4559D">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-and-</w:t>
            </w:r>
          </w:p>
          <w:p w14:paraId="12399EAD" w14:textId="77777777" w:rsidR="00D4559D" w:rsidRPr="00F82B8E" w:rsidRDefault="00D4559D" w:rsidP="00D4559D">
            <w:pPr>
              <w:spacing w:line="240" w:lineRule="auto"/>
              <w:jc w:val="center"/>
              <w:rPr>
                <w:rFonts w:ascii="Times New Roman" w:hAnsi="Times New Roman" w:cs="Times New Roman"/>
                <w:bCs/>
                <w:sz w:val="28"/>
                <w:szCs w:val="28"/>
              </w:rPr>
            </w:pPr>
            <w:r w:rsidRPr="00F82B8E">
              <w:rPr>
                <w:rFonts w:ascii="Times New Roman" w:hAnsi="Times New Roman" w:cs="Times New Roman"/>
                <w:bCs/>
                <w:sz w:val="28"/>
                <w:szCs w:val="28"/>
              </w:rPr>
              <w:t>LIBERTY MUTUAL INSURANCE COMPANY</w:t>
            </w:r>
          </w:p>
          <w:p w14:paraId="47891FE0" w14:textId="77777777" w:rsidR="00D4559D" w:rsidRPr="00F82B8E" w:rsidRDefault="00D4559D" w:rsidP="00D4559D">
            <w:pPr>
              <w:spacing w:line="240" w:lineRule="auto"/>
              <w:jc w:val="right"/>
              <w:rPr>
                <w:rFonts w:ascii="Times New Roman" w:hAnsi="Times New Roman" w:cs="Times New Roman"/>
                <w:bCs/>
                <w:sz w:val="28"/>
                <w:szCs w:val="28"/>
              </w:rPr>
            </w:pPr>
            <w:r w:rsidRPr="00F82B8E">
              <w:rPr>
                <w:rFonts w:ascii="Times New Roman" w:hAnsi="Times New Roman" w:cs="Times New Roman"/>
                <w:bCs/>
                <w:sz w:val="28"/>
                <w:szCs w:val="28"/>
              </w:rPr>
              <w:t>Defendant by Counterclaim</w:t>
            </w:r>
          </w:p>
          <w:p w14:paraId="7298A3B9" w14:textId="77777777" w:rsidR="00D4559D" w:rsidRPr="00F82B8E" w:rsidRDefault="00D4559D" w:rsidP="00D4559D">
            <w:pPr>
              <w:spacing w:line="240" w:lineRule="auto"/>
              <w:jc w:val="center"/>
              <w:rPr>
                <w:rFonts w:ascii="Times New Roman" w:hAnsi="Times New Roman" w:cs="Times New Roman"/>
                <w:sz w:val="28"/>
                <w:szCs w:val="28"/>
              </w:rPr>
            </w:pPr>
            <w:r w:rsidRPr="00F82B8E">
              <w:rPr>
                <w:rFonts w:ascii="Times New Roman" w:hAnsi="Times New Roman" w:cs="Times New Roman"/>
                <w:sz w:val="28"/>
                <w:szCs w:val="28"/>
              </w:rPr>
              <w:t>-and-</w:t>
            </w:r>
          </w:p>
          <w:p w14:paraId="64CDD7C2" w14:textId="77777777" w:rsidR="00D4559D" w:rsidRPr="00F82B8E" w:rsidRDefault="00D4559D" w:rsidP="00D4559D">
            <w:pPr>
              <w:spacing w:line="240" w:lineRule="auto"/>
              <w:jc w:val="center"/>
              <w:rPr>
                <w:rFonts w:ascii="Times New Roman" w:hAnsi="Times New Roman" w:cs="Times New Roman"/>
                <w:bCs/>
                <w:sz w:val="28"/>
                <w:szCs w:val="28"/>
              </w:rPr>
            </w:pPr>
            <w:r w:rsidRPr="00F82B8E">
              <w:rPr>
                <w:rFonts w:ascii="Times New Roman" w:hAnsi="Times New Roman" w:cs="Times New Roman"/>
                <w:bCs/>
                <w:sz w:val="28"/>
                <w:szCs w:val="28"/>
              </w:rPr>
              <w:t>NORTHLAND BUILDERS LTD.</w:t>
            </w:r>
          </w:p>
          <w:p w14:paraId="6B15A95E" w14:textId="272D276D" w:rsidR="00F36FC9" w:rsidRPr="00F82B8E" w:rsidRDefault="00D4559D" w:rsidP="00D4559D">
            <w:pPr>
              <w:spacing w:line="240" w:lineRule="auto"/>
              <w:jc w:val="right"/>
              <w:rPr>
                <w:rFonts w:ascii="Times New Roman" w:hAnsi="Times New Roman" w:cs="Times New Roman"/>
                <w:sz w:val="28"/>
                <w:szCs w:val="28"/>
                <w:lang w:val="en-CA"/>
              </w:rPr>
            </w:pPr>
            <w:r w:rsidRPr="00F82B8E">
              <w:rPr>
                <w:rFonts w:ascii="Times New Roman" w:hAnsi="Times New Roman" w:cs="Times New Roman"/>
                <w:bCs/>
                <w:sz w:val="28"/>
                <w:szCs w:val="28"/>
              </w:rPr>
              <w:t>Defendant/Plaintiff by Counterclaim</w:t>
            </w:r>
          </w:p>
        </w:tc>
      </w:tr>
      <w:tr w:rsidR="00F36FC9" w:rsidRPr="00F82B8E" w14:paraId="0EAEFAEF" w14:textId="77777777" w:rsidTr="00ED47F2">
        <w:tc>
          <w:tcPr>
            <w:tcW w:w="6408" w:type="dxa"/>
          </w:tcPr>
          <w:p w14:paraId="1B38333C" w14:textId="77777777" w:rsidR="00D4559D" w:rsidRPr="00576C51" w:rsidRDefault="00F36FC9" w:rsidP="00D4559D">
            <w:pPr>
              <w:spacing w:after="0" w:line="240" w:lineRule="auto"/>
              <w:jc w:val="center"/>
              <w:rPr>
                <w:rFonts w:ascii="Times New Roman" w:hAnsi="Times New Roman" w:cs="Times New Roman"/>
                <w:b/>
                <w:bCs/>
                <w:sz w:val="28"/>
                <w:szCs w:val="28"/>
              </w:rPr>
            </w:pPr>
            <w:r w:rsidRPr="00576C51">
              <w:rPr>
                <w:rFonts w:ascii="Times New Roman" w:hAnsi="Times New Roman" w:cs="Times New Roman"/>
                <w:b/>
                <w:bCs/>
                <w:sz w:val="28"/>
                <w:szCs w:val="28"/>
                <w:lang w:val="en-CA"/>
              </w:rPr>
              <w:t>MEMORANDUM OF JUDGMENT</w:t>
            </w:r>
            <w:r w:rsidR="00D4559D" w:rsidRPr="00576C51">
              <w:rPr>
                <w:rFonts w:ascii="Times New Roman" w:hAnsi="Times New Roman" w:cs="Times New Roman"/>
                <w:b/>
                <w:bCs/>
                <w:sz w:val="28"/>
                <w:szCs w:val="28"/>
              </w:rPr>
              <w:t xml:space="preserve"> </w:t>
            </w:r>
          </w:p>
          <w:p w14:paraId="14FA5BC5" w14:textId="7BAC474C" w:rsidR="00D4559D" w:rsidRPr="00576C51" w:rsidRDefault="00D4559D" w:rsidP="00D4559D">
            <w:pPr>
              <w:spacing w:after="0" w:line="240" w:lineRule="auto"/>
              <w:jc w:val="center"/>
              <w:rPr>
                <w:rFonts w:ascii="Times New Roman" w:hAnsi="Times New Roman" w:cs="Times New Roman"/>
                <w:b/>
                <w:bCs/>
                <w:sz w:val="28"/>
                <w:szCs w:val="28"/>
              </w:rPr>
            </w:pPr>
            <w:r w:rsidRPr="00576C51">
              <w:rPr>
                <w:rFonts w:ascii="Times New Roman" w:hAnsi="Times New Roman" w:cs="Times New Roman"/>
                <w:b/>
                <w:bCs/>
                <w:sz w:val="28"/>
                <w:szCs w:val="28"/>
              </w:rPr>
              <w:t xml:space="preserve">ON APPLICATION </w:t>
            </w:r>
          </w:p>
          <w:p w14:paraId="244EBCC3" w14:textId="77777777" w:rsidR="00D4559D" w:rsidRPr="00576C51" w:rsidRDefault="00D4559D" w:rsidP="00D4559D">
            <w:pPr>
              <w:spacing w:after="0" w:line="240" w:lineRule="auto"/>
              <w:jc w:val="center"/>
              <w:rPr>
                <w:rFonts w:ascii="Times New Roman" w:hAnsi="Times New Roman" w:cs="Times New Roman"/>
                <w:b/>
                <w:bCs/>
                <w:sz w:val="28"/>
                <w:szCs w:val="28"/>
              </w:rPr>
            </w:pPr>
            <w:r w:rsidRPr="00576C51">
              <w:rPr>
                <w:rFonts w:ascii="Times New Roman" w:hAnsi="Times New Roman" w:cs="Times New Roman"/>
                <w:b/>
                <w:bCs/>
                <w:sz w:val="28"/>
                <w:szCs w:val="28"/>
              </w:rPr>
              <w:t xml:space="preserve">FOR SUMMARY JUDGMENT </w:t>
            </w:r>
          </w:p>
          <w:p w14:paraId="5F267D83" w14:textId="501DDA5B" w:rsidR="00F36FC9" w:rsidRPr="00576C51" w:rsidRDefault="00F36FC9" w:rsidP="00D4559D">
            <w:pPr>
              <w:spacing w:after="0" w:line="240" w:lineRule="auto"/>
              <w:jc w:val="center"/>
              <w:rPr>
                <w:rFonts w:ascii="Times New Roman" w:hAnsi="Times New Roman" w:cs="Times New Roman"/>
                <w:b/>
                <w:bCs/>
                <w:sz w:val="28"/>
                <w:szCs w:val="28"/>
              </w:rPr>
            </w:pPr>
            <w:r w:rsidRPr="00576C51">
              <w:rPr>
                <w:rFonts w:ascii="Times New Roman" w:hAnsi="Times New Roman" w:cs="Times New Roman"/>
                <w:b/>
                <w:bCs/>
                <w:sz w:val="28"/>
                <w:szCs w:val="28"/>
                <w:lang w:val="en-CA"/>
              </w:rPr>
              <w:t>OF</w:t>
            </w:r>
          </w:p>
          <w:p w14:paraId="4880C268" w14:textId="1A49761B" w:rsidR="00F36FC9" w:rsidRPr="00F82B8E" w:rsidRDefault="00F36FC9" w:rsidP="00FD663D">
            <w:pPr>
              <w:autoSpaceDE w:val="0"/>
              <w:autoSpaceDN w:val="0"/>
              <w:adjustRightInd w:val="0"/>
              <w:jc w:val="center"/>
              <w:rPr>
                <w:rFonts w:ascii="Times New Roman" w:hAnsi="Times New Roman" w:cs="Times New Roman"/>
                <w:sz w:val="28"/>
                <w:szCs w:val="28"/>
                <w:lang w:val="en-CA"/>
              </w:rPr>
            </w:pPr>
            <w:r w:rsidRPr="00576C51">
              <w:rPr>
                <w:rFonts w:ascii="Times New Roman" w:hAnsi="Times New Roman" w:cs="Times New Roman"/>
                <w:b/>
                <w:bCs/>
                <w:sz w:val="28"/>
                <w:szCs w:val="28"/>
                <w:lang w:val="en-CA"/>
              </w:rPr>
              <w:t>THE HONOURABLE JUSTICE ANNIE PICHÉ</w:t>
            </w:r>
          </w:p>
        </w:tc>
      </w:tr>
    </w:tbl>
    <w:p w14:paraId="69DD4C8F" w14:textId="77777777" w:rsidR="00F36FC9" w:rsidRPr="00F82B8E" w:rsidRDefault="00F36FC9" w:rsidP="00F36FC9">
      <w:pPr>
        <w:spacing w:after="0" w:line="240" w:lineRule="auto"/>
        <w:jc w:val="both"/>
        <w:rPr>
          <w:rFonts w:ascii="Times New Roman" w:hAnsi="Times New Roman" w:cs="Times New Roman"/>
          <w:sz w:val="28"/>
          <w:szCs w:val="28"/>
        </w:rPr>
        <w:sectPr w:rsidR="00F36FC9" w:rsidRPr="00F82B8E" w:rsidSect="00F36FC9">
          <w:pgSz w:w="12240" w:h="15840"/>
          <w:pgMar w:top="1440" w:right="810" w:bottom="1440" w:left="1440" w:header="720" w:footer="720" w:gutter="0"/>
          <w:cols w:space="720"/>
          <w:titlePg/>
          <w:docGrid w:linePitch="360"/>
        </w:sectPr>
      </w:pPr>
    </w:p>
    <w:p w14:paraId="69CEEA74" w14:textId="77777777" w:rsidR="00F36FC9" w:rsidRPr="00F82B8E" w:rsidRDefault="00F36FC9" w:rsidP="00F36FC9">
      <w:pPr>
        <w:tabs>
          <w:tab w:val="right" w:pos="4230"/>
        </w:tabs>
        <w:spacing w:after="0" w:line="240" w:lineRule="auto"/>
        <w:ind w:right="-432"/>
        <w:jc w:val="both"/>
        <w:rPr>
          <w:rFonts w:ascii="Times New Roman" w:hAnsi="Times New Roman" w:cs="Times New Roman"/>
          <w:sz w:val="28"/>
          <w:szCs w:val="28"/>
          <w:u w:val="single"/>
        </w:rPr>
      </w:pPr>
    </w:p>
    <w:p w14:paraId="4205628B" w14:textId="77777777" w:rsidR="00F36FC9" w:rsidRPr="00F82B8E" w:rsidRDefault="00F36FC9" w:rsidP="00F36FC9">
      <w:pPr>
        <w:tabs>
          <w:tab w:val="right" w:pos="4230"/>
        </w:tabs>
        <w:spacing w:after="0" w:line="240" w:lineRule="auto"/>
        <w:ind w:right="-432"/>
        <w:jc w:val="both"/>
        <w:rPr>
          <w:rFonts w:ascii="Times New Roman" w:hAnsi="Times New Roman" w:cs="Times New Roman"/>
          <w:sz w:val="28"/>
          <w:szCs w:val="28"/>
          <w:u w:val="single"/>
        </w:rPr>
      </w:pPr>
    </w:p>
    <w:p w14:paraId="6C152065" w14:textId="77777777" w:rsidR="003E489A" w:rsidRPr="00F82B8E" w:rsidRDefault="003E489A"/>
    <w:sectPr w:rsidR="003E489A" w:rsidRPr="00F82B8E" w:rsidSect="00F36FC9">
      <w:headerReference w:type="default" r:id="rId17"/>
      <w:headerReference w:type="first" r:id="rId18"/>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C0A6" w14:textId="77777777" w:rsidR="00794E1F" w:rsidRDefault="00794E1F">
      <w:pPr>
        <w:spacing w:after="0" w:line="240" w:lineRule="auto"/>
      </w:pPr>
      <w:r>
        <w:separator/>
      </w:r>
    </w:p>
  </w:endnote>
  <w:endnote w:type="continuationSeparator" w:id="0">
    <w:p w14:paraId="1A782052" w14:textId="77777777" w:rsidR="00794E1F" w:rsidRDefault="0079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5EF6" w14:textId="77777777" w:rsidR="00E6097D" w:rsidRDefault="00E60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9CFE" w14:textId="77777777" w:rsidR="00E6097D" w:rsidRDefault="00E60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9AF3" w14:textId="77777777" w:rsidR="00E6097D" w:rsidRDefault="00E60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FDA5" w14:textId="77777777" w:rsidR="00794E1F" w:rsidRDefault="00794E1F">
      <w:pPr>
        <w:spacing w:after="0" w:line="240" w:lineRule="auto"/>
      </w:pPr>
      <w:r>
        <w:separator/>
      </w:r>
    </w:p>
  </w:footnote>
  <w:footnote w:type="continuationSeparator" w:id="0">
    <w:p w14:paraId="7F925BF5" w14:textId="77777777" w:rsidR="00794E1F" w:rsidRDefault="0079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4A05" w14:textId="77777777" w:rsidR="00E6097D" w:rsidRDefault="00E60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58BE" w14:textId="77777777" w:rsidR="009C5152" w:rsidRPr="0032647A" w:rsidRDefault="009C5152">
    <w:pPr>
      <w:pStyle w:val="Header"/>
      <w:jc w:val="right"/>
      <w:rPr>
        <w:rFonts w:ascii="Times New Roman" w:hAnsi="Times New Roman" w:cs="Times New Roman"/>
        <w:sz w:val="24"/>
        <w:szCs w:val="24"/>
      </w:rPr>
    </w:pPr>
    <w:r w:rsidRPr="0032647A">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Pr="0032647A">
          <w:rPr>
            <w:rFonts w:ascii="Times New Roman" w:hAnsi="Times New Roman" w:cs="Times New Roman"/>
            <w:sz w:val="24"/>
            <w:szCs w:val="24"/>
          </w:rPr>
          <w:fldChar w:fldCharType="begin"/>
        </w:r>
        <w:r w:rsidRPr="0032647A">
          <w:rPr>
            <w:rFonts w:ascii="Times New Roman" w:hAnsi="Times New Roman" w:cs="Times New Roman"/>
            <w:sz w:val="24"/>
            <w:szCs w:val="24"/>
          </w:rPr>
          <w:instrText xml:space="preserve"> PAGE   \* MERGEFORMAT </w:instrText>
        </w:r>
        <w:r w:rsidRPr="003264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32647A">
          <w:rPr>
            <w:rFonts w:ascii="Times New Roman" w:hAnsi="Times New Roman" w:cs="Times New Roman"/>
            <w:noProof/>
            <w:sz w:val="24"/>
            <w:szCs w:val="24"/>
          </w:rPr>
          <w:fldChar w:fldCharType="end"/>
        </w:r>
      </w:sdtContent>
    </w:sdt>
  </w:p>
  <w:p w14:paraId="66336097" w14:textId="77777777" w:rsidR="009C5152" w:rsidRDefault="009C5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71B0" w14:textId="77777777" w:rsidR="009C5152" w:rsidRDefault="009C5152">
    <w:pPr>
      <w:pStyle w:val="Header"/>
      <w:jc w:val="right"/>
    </w:pPr>
  </w:p>
  <w:p w14:paraId="344434B8" w14:textId="77777777" w:rsidR="009C5152" w:rsidRDefault="009C5152" w:rsidP="005B5B19">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5A79" w14:textId="77777777" w:rsidR="009C5152" w:rsidRDefault="009C5152">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sdtContent>
    </w:sdt>
  </w:p>
  <w:p w14:paraId="41FB949F" w14:textId="77777777" w:rsidR="009C5152" w:rsidRDefault="009C51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A2C8" w14:textId="77777777" w:rsidR="009C5152" w:rsidRDefault="009C5152">
    <w:pPr>
      <w:pStyle w:val="Header"/>
      <w:jc w:val="right"/>
    </w:pPr>
  </w:p>
  <w:p w14:paraId="3AD9BC88" w14:textId="77777777" w:rsidR="009C5152" w:rsidRDefault="009C5152"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70A09"/>
    <w:multiLevelType w:val="hybridMultilevel"/>
    <w:tmpl w:val="D1705736"/>
    <w:lvl w:ilvl="0" w:tplc="059C944E">
      <w:start w:val="1"/>
      <w:numFmt w:val="decimal"/>
      <w:lvlText w:val="[%1]"/>
      <w:lvlJc w:val="left"/>
      <w:pPr>
        <w:ind w:left="0" w:firstLine="0"/>
      </w:pPr>
      <w:rPr>
        <w:rFonts w:ascii="Times New Roman" w:hAnsi="Times New Roman" w:hint="default"/>
        <w:b w:val="0"/>
        <w:i w:val="0"/>
        <w:sz w:val="28"/>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3F585EF7"/>
    <w:multiLevelType w:val="hybridMultilevel"/>
    <w:tmpl w:val="C24C85C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25506B5"/>
    <w:multiLevelType w:val="hybridMultilevel"/>
    <w:tmpl w:val="C362FE7C"/>
    <w:lvl w:ilvl="0" w:tplc="618CAE0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69401BA3"/>
    <w:multiLevelType w:val="hybridMultilevel"/>
    <w:tmpl w:val="D09688C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088579483">
    <w:abstractNumId w:val="0"/>
  </w:num>
  <w:num w:numId="2" w16cid:durableId="402722752">
    <w:abstractNumId w:val="3"/>
  </w:num>
  <w:num w:numId="3" w16cid:durableId="1079672492">
    <w:abstractNumId w:val="2"/>
  </w:num>
  <w:num w:numId="4" w16cid:durableId="75459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C9"/>
    <w:rsid w:val="0000023F"/>
    <w:rsid w:val="000018DE"/>
    <w:rsid w:val="0000436D"/>
    <w:rsid w:val="00007573"/>
    <w:rsid w:val="00007AFA"/>
    <w:rsid w:val="00010E62"/>
    <w:rsid w:val="00012D21"/>
    <w:rsid w:val="000131D7"/>
    <w:rsid w:val="000132FA"/>
    <w:rsid w:val="0001342B"/>
    <w:rsid w:val="00014057"/>
    <w:rsid w:val="0001433E"/>
    <w:rsid w:val="000149ED"/>
    <w:rsid w:val="0001643E"/>
    <w:rsid w:val="000166A9"/>
    <w:rsid w:val="000169E6"/>
    <w:rsid w:val="000219CB"/>
    <w:rsid w:val="000265A1"/>
    <w:rsid w:val="0002702D"/>
    <w:rsid w:val="00030D9A"/>
    <w:rsid w:val="0003266D"/>
    <w:rsid w:val="00033245"/>
    <w:rsid w:val="00033295"/>
    <w:rsid w:val="00036D5B"/>
    <w:rsid w:val="000375A6"/>
    <w:rsid w:val="0004045F"/>
    <w:rsid w:val="00041E42"/>
    <w:rsid w:val="00041F60"/>
    <w:rsid w:val="00042182"/>
    <w:rsid w:val="00045B79"/>
    <w:rsid w:val="00046E8B"/>
    <w:rsid w:val="0005037D"/>
    <w:rsid w:val="000505B8"/>
    <w:rsid w:val="00051033"/>
    <w:rsid w:val="000519DE"/>
    <w:rsid w:val="00051AD4"/>
    <w:rsid w:val="00051D42"/>
    <w:rsid w:val="00054144"/>
    <w:rsid w:val="00055A42"/>
    <w:rsid w:val="00062D78"/>
    <w:rsid w:val="000630C8"/>
    <w:rsid w:val="000640F5"/>
    <w:rsid w:val="00066277"/>
    <w:rsid w:val="00074CDF"/>
    <w:rsid w:val="00076527"/>
    <w:rsid w:val="00076FF4"/>
    <w:rsid w:val="000800F0"/>
    <w:rsid w:val="000803AE"/>
    <w:rsid w:val="0008191E"/>
    <w:rsid w:val="00084531"/>
    <w:rsid w:val="0008692E"/>
    <w:rsid w:val="00087444"/>
    <w:rsid w:val="00090EF2"/>
    <w:rsid w:val="0009271E"/>
    <w:rsid w:val="00092B10"/>
    <w:rsid w:val="0009324D"/>
    <w:rsid w:val="0009333B"/>
    <w:rsid w:val="00093579"/>
    <w:rsid w:val="00093B6F"/>
    <w:rsid w:val="00096914"/>
    <w:rsid w:val="000A0185"/>
    <w:rsid w:val="000A0801"/>
    <w:rsid w:val="000A20A2"/>
    <w:rsid w:val="000A28B9"/>
    <w:rsid w:val="000A28D9"/>
    <w:rsid w:val="000A429D"/>
    <w:rsid w:val="000A4CC9"/>
    <w:rsid w:val="000A5790"/>
    <w:rsid w:val="000A67C5"/>
    <w:rsid w:val="000A6D82"/>
    <w:rsid w:val="000B1277"/>
    <w:rsid w:val="000B1FED"/>
    <w:rsid w:val="000B2736"/>
    <w:rsid w:val="000B2E20"/>
    <w:rsid w:val="000B3EF7"/>
    <w:rsid w:val="000B4DAE"/>
    <w:rsid w:val="000B64E7"/>
    <w:rsid w:val="000B73A0"/>
    <w:rsid w:val="000B7817"/>
    <w:rsid w:val="000B7908"/>
    <w:rsid w:val="000C18E7"/>
    <w:rsid w:val="000C1CD4"/>
    <w:rsid w:val="000C2217"/>
    <w:rsid w:val="000C2DA4"/>
    <w:rsid w:val="000C3273"/>
    <w:rsid w:val="000C4083"/>
    <w:rsid w:val="000C5D27"/>
    <w:rsid w:val="000C65AA"/>
    <w:rsid w:val="000C66B2"/>
    <w:rsid w:val="000C6710"/>
    <w:rsid w:val="000C6732"/>
    <w:rsid w:val="000C75F6"/>
    <w:rsid w:val="000D53C4"/>
    <w:rsid w:val="000D6227"/>
    <w:rsid w:val="000D6655"/>
    <w:rsid w:val="000D7156"/>
    <w:rsid w:val="000E4B17"/>
    <w:rsid w:val="000E5098"/>
    <w:rsid w:val="000E56B6"/>
    <w:rsid w:val="000E6006"/>
    <w:rsid w:val="000E7AC6"/>
    <w:rsid w:val="000F1A3A"/>
    <w:rsid w:val="000F4DFF"/>
    <w:rsid w:val="000F6ADE"/>
    <w:rsid w:val="001003EE"/>
    <w:rsid w:val="001014DD"/>
    <w:rsid w:val="00101B0B"/>
    <w:rsid w:val="00102628"/>
    <w:rsid w:val="00102722"/>
    <w:rsid w:val="00103C95"/>
    <w:rsid w:val="001044BC"/>
    <w:rsid w:val="001046D1"/>
    <w:rsid w:val="001053B2"/>
    <w:rsid w:val="00105CF0"/>
    <w:rsid w:val="00106C78"/>
    <w:rsid w:val="00110672"/>
    <w:rsid w:val="001112C2"/>
    <w:rsid w:val="0011130E"/>
    <w:rsid w:val="001117CF"/>
    <w:rsid w:val="00111FBE"/>
    <w:rsid w:val="001122DD"/>
    <w:rsid w:val="00114195"/>
    <w:rsid w:val="00114F4A"/>
    <w:rsid w:val="00120380"/>
    <w:rsid w:val="0012079E"/>
    <w:rsid w:val="001217AD"/>
    <w:rsid w:val="00122F4B"/>
    <w:rsid w:val="001242AC"/>
    <w:rsid w:val="00124BDB"/>
    <w:rsid w:val="00126518"/>
    <w:rsid w:val="0012724F"/>
    <w:rsid w:val="001279DA"/>
    <w:rsid w:val="0013011E"/>
    <w:rsid w:val="00130E68"/>
    <w:rsid w:val="00131275"/>
    <w:rsid w:val="001317CF"/>
    <w:rsid w:val="001319A5"/>
    <w:rsid w:val="00131AA6"/>
    <w:rsid w:val="00132C6D"/>
    <w:rsid w:val="001333B6"/>
    <w:rsid w:val="00133932"/>
    <w:rsid w:val="00133DAB"/>
    <w:rsid w:val="001340D7"/>
    <w:rsid w:val="001347B3"/>
    <w:rsid w:val="001348D3"/>
    <w:rsid w:val="00136F96"/>
    <w:rsid w:val="00137568"/>
    <w:rsid w:val="00140C90"/>
    <w:rsid w:val="00142B39"/>
    <w:rsid w:val="00143FE0"/>
    <w:rsid w:val="00144754"/>
    <w:rsid w:val="00144B0E"/>
    <w:rsid w:val="00146022"/>
    <w:rsid w:val="001466E6"/>
    <w:rsid w:val="001511F7"/>
    <w:rsid w:val="00156241"/>
    <w:rsid w:val="001569CC"/>
    <w:rsid w:val="00156EA7"/>
    <w:rsid w:val="001609D6"/>
    <w:rsid w:val="0016177C"/>
    <w:rsid w:val="00162A19"/>
    <w:rsid w:val="001637E3"/>
    <w:rsid w:val="00163FC8"/>
    <w:rsid w:val="001640DF"/>
    <w:rsid w:val="00165637"/>
    <w:rsid w:val="00165EE1"/>
    <w:rsid w:val="00170DD9"/>
    <w:rsid w:val="00170DE6"/>
    <w:rsid w:val="00171BE1"/>
    <w:rsid w:val="001737E1"/>
    <w:rsid w:val="00173FF5"/>
    <w:rsid w:val="00174B61"/>
    <w:rsid w:val="00174D45"/>
    <w:rsid w:val="001752BE"/>
    <w:rsid w:val="001758ED"/>
    <w:rsid w:val="001811FB"/>
    <w:rsid w:val="00181893"/>
    <w:rsid w:val="00181FD0"/>
    <w:rsid w:val="00182BF4"/>
    <w:rsid w:val="001832E5"/>
    <w:rsid w:val="00183D0F"/>
    <w:rsid w:val="0018466F"/>
    <w:rsid w:val="00186AE0"/>
    <w:rsid w:val="001870D4"/>
    <w:rsid w:val="00190AE3"/>
    <w:rsid w:val="00190CDB"/>
    <w:rsid w:val="001911BB"/>
    <w:rsid w:val="0019299D"/>
    <w:rsid w:val="001936C9"/>
    <w:rsid w:val="00196F1C"/>
    <w:rsid w:val="00197CF1"/>
    <w:rsid w:val="001A21D3"/>
    <w:rsid w:val="001A22B2"/>
    <w:rsid w:val="001A318A"/>
    <w:rsid w:val="001A7145"/>
    <w:rsid w:val="001A7699"/>
    <w:rsid w:val="001A79E5"/>
    <w:rsid w:val="001B1D00"/>
    <w:rsid w:val="001B2605"/>
    <w:rsid w:val="001B6B6C"/>
    <w:rsid w:val="001C00C7"/>
    <w:rsid w:val="001C04AA"/>
    <w:rsid w:val="001C2011"/>
    <w:rsid w:val="001C2FF8"/>
    <w:rsid w:val="001C34D4"/>
    <w:rsid w:val="001C4306"/>
    <w:rsid w:val="001C4A4A"/>
    <w:rsid w:val="001C51FA"/>
    <w:rsid w:val="001C533E"/>
    <w:rsid w:val="001C5BB2"/>
    <w:rsid w:val="001C676D"/>
    <w:rsid w:val="001C6C10"/>
    <w:rsid w:val="001D0243"/>
    <w:rsid w:val="001D0DB3"/>
    <w:rsid w:val="001D162A"/>
    <w:rsid w:val="001D3700"/>
    <w:rsid w:val="001D396D"/>
    <w:rsid w:val="001D39E8"/>
    <w:rsid w:val="001D47B6"/>
    <w:rsid w:val="001D4D8F"/>
    <w:rsid w:val="001D56AA"/>
    <w:rsid w:val="001D5742"/>
    <w:rsid w:val="001D5BA6"/>
    <w:rsid w:val="001D5E1B"/>
    <w:rsid w:val="001D6005"/>
    <w:rsid w:val="001D7489"/>
    <w:rsid w:val="001D7883"/>
    <w:rsid w:val="001E011F"/>
    <w:rsid w:val="001E25B8"/>
    <w:rsid w:val="001E492B"/>
    <w:rsid w:val="001F0F49"/>
    <w:rsid w:val="001F1361"/>
    <w:rsid w:val="001F1A0B"/>
    <w:rsid w:val="001F48D9"/>
    <w:rsid w:val="001F518E"/>
    <w:rsid w:val="001F5C4D"/>
    <w:rsid w:val="001F6674"/>
    <w:rsid w:val="001F6AC9"/>
    <w:rsid w:val="001F6BAF"/>
    <w:rsid w:val="00200251"/>
    <w:rsid w:val="00200B76"/>
    <w:rsid w:val="00200E4A"/>
    <w:rsid w:val="0020105F"/>
    <w:rsid w:val="00201DBA"/>
    <w:rsid w:val="00201EE8"/>
    <w:rsid w:val="0020266E"/>
    <w:rsid w:val="00202A5D"/>
    <w:rsid w:val="00202BE4"/>
    <w:rsid w:val="00203FEE"/>
    <w:rsid w:val="00205219"/>
    <w:rsid w:val="00211BA1"/>
    <w:rsid w:val="00211D05"/>
    <w:rsid w:val="00212405"/>
    <w:rsid w:val="00213A36"/>
    <w:rsid w:val="00216B51"/>
    <w:rsid w:val="002202F9"/>
    <w:rsid w:val="00221606"/>
    <w:rsid w:val="002227C5"/>
    <w:rsid w:val="002230F4"/>
    <w:rsid w:val="00224E33"/>
    <w:rsid w:val="002250EA"/>
    <w:rsid w:val="0022537C"/>
    <w:rsid w:val="00226D89"/>
    <w:rsid w:val="00234A92"/>
    <w:rsid w:val="00234C98"/>
    <w:rsid w:val="00234EB5"/>
    <w:rsid w:val="0023519C"/>
    <w:rsid w:val="00237D0E"/>
    <w:rsid w:val="00237E23"/>
    <w:rsid w:val="00241B38"/>
    <w:rsid w:val="00244774"/>
    <w:rsid w:val="0024482B"/>
    <w:rsid w:val="00245DAD"/>
    <w:rsid w:val="00246E3E"/>
    <w:rsid w:val="00247CD4"/>
    <w:rsid w:val="00250129"/>
    <w:rsid w:val="002510A4"/>
    <w:rsid w:val="0025136A"/>
    <w:rsid w:val="00253D92"/>
    <w:rsid w:val="00254D4A"/>
    <w:rsid w:val="0025536D"/>
    <w:rsid w:val="00261C44"/>
    <w:rsid w:val="0026294A"/>
    <w:rsid w:val="00263368"/>
    <w:rsid w:val="0026425A"/>
    <w:rsid w:val="00264562"/>
    <w:rsid w:val="00267ACF"/>
    <w:rsid w:val="00270F6F"/>
    <w:rsid w:val="00271A94"/>
    <w:rsid w:val="00272742"/>
    <w:rsid w:val="00272935"/>
    <w:rsid w:val="0027549F"/>
    <w:rsid w:val="00276956"/>
    <w:rsid w:val="00276C17"/>
    <w:rsid w:val="00283045"/>
    <w:rsid w:val="0028330B"/>
    <w:rsid w:val="00284FCE"/>
    <w:rsid w:val="00287F24"/>
    <w:rsid w:val="0029140A"/>
    <w:rsid w:val="00291776"/>
    <w:rsid w:val="002A0BCC"/>
    <w:rsid w:val="002A0EC9"/>
    <w:rsid w:val="002A2A9B"/>
    <w:rsid w:val="002A2DA2"/>
    <w:rsid w:val="002A4971"/>
    <w:rsid w:val="002A5F2C"/>
    <w:rsid w:val="002B06AB"/>
    <w:rsid w:val="002B2A7E"/>
    <w:rsid w:val="002B4093"/>
    <w:rsid w:val="002B76B0"/>
    <w:rsid w:val="002B7DB4"/>
    <w:rsid w:val="002C1126"/>
    <w:rsid w:val="002C4F59"/>
    <w:rsid w:val="002C7CF2"/>
    <w:rsid w:val="002D07CC"/>
    <w:rsid w:val="002D0F62"/>
    <w:rsid w:val="002D11D4"/>
    <w:rsid w:val="002D5103"/>
    <w:rsid w:val="002E0E8E"/>
    <w:rsid w:val="002E3C85"/>
    <w:rsid w:val="002E5A14"/>
    <w:rsid w:val="002E62A4"/>
    <w:rsid w:val="002E6563"/>
    <w:rsid w:val="002E7AA0"/>
    <w:rsid w:val="002F038F"/>
    <w:rsid w:val="002F1042"/>
    <w:rsid w:val="002F230D"/>
    <w:rsid w:val="002F3457"/>
    <w:rsid w:val="002F5DA9"/>
    <w:rsid w:val="003001C0"/>
    <w:rsid w:val="00304CE5"/>
    <w:rsid w:val="003051D5"/>
    <w:rsid w:val="0030543F"/>
    <w:rsid w:val="00307E49"/>
    <w:rsid w:val="00310BEC"/>
    <w:rsid w:val="00310EDA"/>
    <w:rsid w:val="00310FE7"/>
    <w:rsid w:val="00311F90"/>
    <w:rsid w:val="003123FA"/>
    <w:rsid w:val="00315105"/>
    <w:rsid w:val="00315C03"/>
    <w:rsid w:val="003161DA"/>
    <w:rsid w:val="00317D7F"/>
    <w:rsid w:val="003206CF"/>
    <w:rsid w:val="00323004"/>
    <w:rsid w:val="0032419D"/>
    <w:rsid w:val="00324B87"/>
    <w:rsid w:val="00324DF0"/>
    <w:rsid w:val="00325301"/>
    <w:rsid w:val="00325FD7"/>
    <w:rsid w:val="003261C5"/>
    <w:rsid w:val="00327AFD"/>
    <w:rsid w:val="00331E1D"/>
    <w:rsid w:val="00332382"/>
    <w:rsid w:val="00334AC6"/>
    <w:rsid w:val="003350DD"/>
    <w:rsid w:val="00335B99"/>
    <w:rsid w:val="00335E9F"/>
    <w:rsid w:val="00336CF3"/>
    <w:rsid w:val="00337E7E"/>
    <w:rsid w:val="00344707"/>
    <w:rsid w:val="00344AE3"/>
    <w:rsid w:val="0034629E"/>
    <w:rsid w:val="0034722C"/>
    <w:rsid w:val="00347D95"/>
    <w:rsid w:val="00352244"/>
    <w:rsid w:val="00352F0A"/>
    <w:rsid w:val="00354771"/>
    <w:rsid w:val="00355F54"/>
    <w:rsid w:val="00356515"/>
    <w:rsid w:val="00356B4C"/>
    <w:rsid w:val="00356CD8"/>
    <w:rsid w:val="00357D7C"/>
    <w:rsid w:val="00360B45"/>
    <w:rsid w:val="00360EF5"/>
    <w:rsid w:val="003626AB"/>
    <w:rsid w:val="003677A1"/>
    <w:rsid w:val="00367DBD"/>
    <w:rsid w:val="00372796"/>
    <w:rsid w:val="003729B7"/>
    <w:rsid w:val="003731B0"/>
    <w:rsid w:val="003757F3"/>
    <w:rsid w:val="003771D2"/>
    <w:rsid w:val="00377308"/>
    <w:rsid w:val="003802EA"/>
    <w:rsid w:val="003808CE"/>
    <w:rsid w:val="0038136C"/>
    <w:rsid w:val="0038288C"/>
    <w:rsid w:val="003837FC"/>
    <w:rsid w:val="00383E6A"/>
    <w:rsid w:val="00383FC5"/>
    <w:rsid w:val="003876C1"/>
    <w:rsid w:val="0038790F"/>
    <w:rsid w:val="00392102"/>
    <w:rsid w:val="0039400D"/>
    <w:rsid w:val="00395E47"/>
    <w:rsid w:val="003968FB"/>
    <w:rsid w:val="00397C13"/>
    <w:rsid w:val="003A00FB"/>
    <w:rsid w:val="003A0415"/>
    <w:rsid w:val="003A2447"/>
    <w:rsid w:val="003A2E57"/>
    <w:rsid w:val="003A3649"/>
    <w:rsid w:val="003A5D47"/>
    <w:rsid w:val="003A62BA"/>
    <w:rsid w:val="003A6ED1"/>
    <w:rsid w:val="003B2313"/>
    <w:rsid w:val="003B33B7"/>
    <w:rsid w:val="003B4383"/>
    <w:rsid w:val="003B4721"/>
    <w:rsid w:val="003B52EB"/>
    <w:rsid w:val="003B63C1"/>
    <w:rsid w:val="003B65A3"/>
    <w:rsid w:val="003B6674"/>
    <w:rsid w:val="003B78D0"/>
    <w:rsid w:val="003C2CC1"/>
    <w:rsid w:val="003C2F55"/>
    <w:rsid w:val="003C394E"/>
    <w:rsid w:val="003C576B"/>
    <w:rsid w:val="003C59D0"/>
    <w:rsid w:val="003C5BB6"/>
    <w:rsid w:val="003C5EA5"/>
    <w:rsid w:val="003C774F"/>
    <w:rsid w:val="003D0EBA"/>
    <w:rsid w:val="003D1026"/>
    <w:rsid w:val="003D12AB"/>
    <w:rsid w:val="003D213F"/>
    <w:rsid w:val="003D26E4"/>
    <w:rsid w:val="003D2E66"/>
    <w:rsid w:val="003D47B1"/>
    <w:rsid w:val="003D4F5D"/>
    <w:rsid w:val="003D5103"/>
    <w:rsid w:val="003D5237"/>
    <w:rsid w:val="003D5836"/>
    <w:rsid w:val="003D66BB"/>
    <w:rsid w:val="003D6799"/>
    <w:rsid w:val="003D7CAA"/>
    <w:rsid w:val="003E1DEC"/>
    <w:rsid w:val="003E1EF5"/>
    <w:rsid w:val="003E47AD"/>
    <w:rsid w:val="003E489A"/>
    <w:rsid w:val="003E53E8"/>
    <w:rsid w:val="003E6B24"/>
    <w:rsid w:val="003E6B69"/>
    <w:rsid w:val="003F1054"/>
    <w:rsid w:val="003F1145"/>
    <w:rsid w:val="003F176E"/>
    <w:rsid w:val="003F2AAA"/>
    <w:rsid w:val="003F3C4F"/>
    <w:rsid w:val="003F4211"/>
    <w:rsid w:val="003F4F7F"/>
    <w:rsid w:val="003F4FB6"/>
    <w:rsid w:val="00401DBF"/>
    <w:rsid w:val="00402488"/>
    <w:rsid w:val="00403056"/>
    <w:rsid w:val="00404D4B"/>
    <w:rsid w:val="00406919"/>
    <w:rsid w:val="0040759B"/>
    <w:rsid w:val="004076E5"/>
    <w:rsid w:val="00412AB2"/>
    <w:rsid w:val="00412C33"/>
    <w:rsid w:val="00414CF8"/>
    <w:rsid w:val="00415CC3"/>
    <w:rsid w:val="00417026"/>
    <w:rsid w:val="00420610"/>
    <w:rsid w:val="004207DF"/>
    <w:rsid w:val="004232FF"/>
    <w:rsid w:val="00425078"/>
    <w:rsid w:val="0042559E"/>
    <w:rsid w:val="00426CB6"/>
    <w:rsid w:val="004314F0"/>
    <w:rsid w:val="00431D1A"/>
    <w:rsid w:val="00431FDA"/>
    <w:rsid w:val="004336FA"/>
    <w:rsid w:val="004371D6"/>
    <w:rsid w:val="0044036B"/>
    <w:rsid w:val="004403BB"/>
    <w:rsid w:val="0044106A"/>
    <w:rsid w:val="00441FB4"/>
    <w:rsid w:val="00443D9B"/>
    <w:rsid w:val="00444AB1"/>
    <w:rsid w:val="00445D7F"/>
    <w:rsid w:val="004469E3"/>
    <w:rsid w:val="004477CD"/>
    <w:rsid w:val="00447BC5"/>
    <w:rsid w:val="004521BA"/>
    <w:rsid w:val="00452FAD"/>
    <w:rsid w:val="00452FC9"/>
    <w:rsid w:val="00454C79"/>
    <w:rsid w:val="0045590C"/>
    <w:rsid w:val="00455B1C"/>
    <w:rsid w:val="004573CA"/>
    <w:rsid w:val="00457882"/>
    <w:rsid w:val="004605F3"/>
    <w:rsid w:val="0046077B"/>
    <w:rsid w:val="004610E0"/>
    <w:rsid w:val="00461D93"/>
    <w:rsid w:val="00463D9B"/>
    <w:rsid w:val="00465DD1"/>
    <w:rsid w:val="00467830"/>
    <w:rsid w:val="0047047F"/>
    <w:rsid w:val="0047305C"/>
    <w:rsid w:val="004744B8"/>
    <w:rsid w:val="0047477A"/>
    <w:rsid w:val="00480AA8"/>
    <w:rsid w:val="00481127"/>
    <w:rsid w:val="004817DB"/>
    <w:rsid w:val="00482788"/>
    <w:rsid w:val="00483B2B"/>
    <w:rsid w:val="004843DF"/>
    <w:rsid w:val="004867F5"/>
    <w:rsid w:val="00487EDE"/>
    <w:rsid w:val="00490D19"/>
    <w:rsid w:val="00491746"/>
    <w:rsid w:val="00492232"/>
    <w:rsid w:val="00494C39"/>
    <w:rsid w:val="00496F1A"/>
    <w:rsid w:val="0049721A"/>
    <w:rsid w:val="004A0693"/>
    <w:rsid w:val="004A0FA3"/>
    <w:rsid w:val="004A7707"/>
    <w:rsid w:val="004A77E4"/>
    <w:rsid w:val="004B07C2"/>
    <w:rsid w:val="004B0A9E"/>
    <w:rsid w:val="004B1BD5"/>
    <w:rsid w:val="004B32B9"/>
    <w:rsid w:val="004B4441"/>
    <w:rsid w:val="004B556C"/>
    <w:rsid w:val="004B55F1"/>
    <w:rsid w:val="004B587E"/>
    <w:rsid w:val="004B6577"/>
    <w:rsid w:val="004C0A5F"/>
    <w:rsid w:val="004C2C58"/>
    <w:rsid w:val="004C714A"/>
    <w:rsid w:val="004D0032"/>
    <w:rsid w:val="004D0D0E"/>
    <w:rsid w:val="004D1EFF"/>
    <w:rsid w:val="004D2E8D"/>
    <w:rsid w:val="004D309D"/>
    <w:rsid w:val="004D3719"/>
    <w:rsid w:val="004D7CFA"/>
    <w:rsid w:val="004E01AA"/>
    <w:rsid w:val="004E3E77"/>
    <w:rsid w:val="004E3EAA"/>
    <w:rsid w:val="004E7618"/>
    <w:rsid w:val="004F1470"/>
    <w:rsid w:val="004F1D25"/>
    <w:rsid w:val="004F1D5E"/>
    <w:rsid w:val="004F3F65"/>
    <w:rsid w:val="004F43B1"/>
    <w:rsid w:val="004F43EB"/>
    <w:rsid w:val="004F7138"/>
    <w:rsid w:val="004F7C3A"/>
    <w:rsid w:val="00500F30"/>
    <w:rsid w:val="005010C3"/>
    <w:rsid w:val="0050231F"/>
    <w:rsid w:val="00502905"/>
    <w:rsid w:val="00504AFC"/>
    <w:rsid w:val="00504FCE"/>
    <w:rsid w:val="005051B2"/>
    <w:rsid w:val="00505CAD"/>
    <w:rsid w:val="00511588"/>
    <w:rsid w:val="00516E55"/>
    <w:rsid w:val="0051723D"/>
    <w:rsid w:val="00517798"/>
    <w:rsid w:val="00522A42"/>
    <w:rsid w:val="00522FFB"/>
    <w:rsid w:val="00525740"/>
    <w:rsid w:val="00527445"/>
    <w:rsid w:val="00530259"/>
    <w:rsid w:val="00533049"/>
    <w:rsid w:val="00533BD8"/>
    <w:rsid w:val="0053493E"/>
    <w:rsid w:val="00535A3A"/>
    <w:rsid w:val="00535ADC"/>
    <w:rsid w:val="00536C17"/>
    <w:rsid w:val="00540460"/>
    <w:rsid w:val="005434C8"/>
    <w:rsid w:val="00545404"/>
    <w:rsid w:val="005457B9"/>
    <w:rsid w:val="00547285"/>
    <w:rsid w:val="00547796"/>
    <w:rsid w:val="00552A29"/>
    <w:rsid w:val="00554095"/>
    <w:rsid w:val="00554D64"/>
    <w:rsid w:val="005570A8"/>
    <w:rsid w:val="005577C2"/>
    <w:rsid w:val="0056022A"/>
    <w:rsid w:val="005620B3"/>
    <w:rsid w:val="00562696"/>
    <w:rsid w:val="00562C5C"/>
    <w:rsid w:val="0056615B"/>
    <w:rsid w:val="00567478"/>
    <w:rsid w:val="00572FEF"/>
    <w:rsid w:val="00575D79"/>
    <w:rsid w:val="00576A9B"/>
    <w:rsid w:val="00576AFF"/>
    <w:rsid w:val="00576C51"/>
    <w:rsid w:val="00577133"/>
    <w:rsid w:val="00577521"/>
    <w:rsid w:val="00577B78"/>
    <w:rsid w:val="00581888"/>
    <w:rsid w:val="0058267E"/>
    <w:rsid w:val="005829EB"/>
    <w:rsid w:val="005844F1"/>
    <w:rsid w:val="0058548B"/>
    <w:rsid w:val="0058661F"/>
    <w:rsid w:val="00586BD0"/>
    <w:rsid w:val="00586FB7"/>
    <w:rsid w:val="005870B6"/>
    <w:rsid w:val="00587AF5"/>
    <w:rsid w:val="00591669"/>
    <w:rsid w:val="00594E82"/>
    <w:rsid w:val="00596524"/>
    <w:rsid w:val="005974DE"/>
    <w:rsid w:val="005978A6"/>
    <w:rsid w:val="00597CD6"/>
    <w:rsid w:val="005A0D4C"/>
    <w:rsid w:val="005A4935"/>
    <w:rsid w:val="005A4A5C"/>
    <w:rsid w:val="005A5636"/>
    <w:rsid w:val="005A6135"/>
    <w:rsid w:val="005A6C60"/>
    <w:rsid w:val="005B0599"/>
    <w:rsid w:val="005B0CB8"/>
    <w:rsid w:val="005B1726"/>
    <w:rsid w:val="005B1957"/>
    <w:rsid w:val="005B2707"/>
    <w:rsid w:val="005B2E10"/>
    <w:rsid w:val="005B30C3"/>
    <w:rsid w:val="005B3ADD"/>
    <w:rsid w:val="005B5A43"/>
    <w:rsid w:val="005B64A3"/>
    <w:rsid w:val="005B721A"/>
    <w:rsid w:val="005B767B"/>
    <w:rsid w:val="005C24D4"/>
    <w:rsid w:val="005C24EB"/>
    <w:rsid w:val="005C48A5"/>
    <w:rsid w:val="005C6355"/>
    <w:rsid w:val="005D2C55"/>
    <w:rsid w:val="005D2D64"/>
    <w:rsid w:val="005D3530"/>
    <w:rsid w:val="005D4B1B"/>
    <w:rsid w:val="005D4CF7"/>
    <w:rsid w:val="005D5FFD"/>
    <w:rsid w:val="005D6B5E"/>
    <w:rsid w:val="005D7328"/>
    <w:rsid w:val="005E2536"/>
    <w:rsid w:val="005E2FD5"/>
    <w:rsid w:val="005E3CC7"/>
    <w:rsid w:val="005E7C11"/>
    <w:rsid w:val="005E7FCB"/>
    <w:rsid w:val="005F09A1"/>
    <w:rsid w:val="005F23E3"/>
    <w:rsid w:val="005F34C7"/>
    <w:rsid w:val="005F594A"/>
    <w:rsid w:val="005F6AFC"/>
    <w:rsid w:val="00600E66"/>
    <w:rsid w:val="006017A9"/>
    <w:rsid w:val="00601BA6"/>
    <w:rsid w:val="0060457B"/>
    <w:rsid w:val="00604CCF"/>
    <w:rsid w:val="00604D68"/>
    <w:rsid w:val="00605179"/>
    <w:rsid w:val="0060655F"/>
    <w:rsid w:val="00606924"/>
    <w:rsid w:val="00607252"/>
    <w:rsid w:val="00610B65"/>
    <w:rsid w:val="00610EBE"/>
    <w:rsid w:val="00611E32"/>
    <w:rsid w:val="006138CD"/>
    <w:rsid w:val="006143D4"/>
    <w:rsid w:val="0061496F"/>
    <w:rsid w:val="00615129"/>
    <w:rsid w:val="006151EC"/>
    <w:rsid w:val="006178D8"/>
    <w:rsid w:val="00617A5D"/>
    <w:rsid w:val="00617C35"/>
    <w:rsid w:val="00620D5B"/>
    <w:rsid w:val="006218A8"/>
    <w:rsid w:val="00622B20"/>
    <w:rsid w:val="0062550B"/>
    <w:rsid w:val="00627E9F"/>
    <w:rsid w:val="00634739"/>
    <w:rsid w:val="00635A0F"/>
    <w:rsid w:val="00635A86"/>
    <w:rsid w:val="00636407"/>
    <w:rsid w:val="00636A84"/>
    <w:rsid w:val="00640DEF"/>
    <w:rsid w:val="00645E87"/>
    <w:rsid w:val="00646752"/>
    <w:rsid w:val="0064753C"/>
    <w:rsid w:val="006478E1"/>
    <w:rsid w:val="00651287"/>
    <w:rsid w:val="006515BA"/>
    <w:rsid w:val="0065329E"/>
    <w:rsid w:val="0065340C"/>
    <w:rsid w:val="00655145"/>
    <w:rsid w:val="00664BBC"/>
    <w:rsid w:val="006660CF"/>
    <w:rsid w:val="006667F2"/>
    <w:rsid w:val="006720FD"/>
    <w:rsid w:val="006724B9"/>
    <w:rsid w:val="00672512"/>
    <w:rsid w:val="00672E79"/>
    <w:rsid w:val="00673D02"/>
    <w:rsid w:val="006741F6"/>
    <w:rsid w:val="00676D7E"/>
    <w:rsid w:val="00680424"/>
    <w:rsid w:val="006809A4"/>
    <w:rsid w:val="00680BD7"/>
    <w:rsid w:val="00680DA4"/>
    <w:rsid w:val="00681785"/>
    <w:rsid w:val="0068393D"/>
    <w:rsid w:val="00683FCE"/>
    <w:rsid w:val="006848DF"/>
    <w:rsid w:val="006856C2"/>
    <w:rsid w:val="006861C8"/>
    <w:rsid w:val="0068679D"/>
    <w:rsid w:val="00686C6B"/>
    <w:rsid w:val="0069059B"/>
    <w:rsid w:val="006919D0"/>
    <w:rsid w:val="006920D1"/>
    <w:rsid w:val="0069246F"/>
    <w:rsid w:val="006936F6"/>
    <w:rsid w:val="0069439B"/>
    <w:rsid w:val="006975DB"/>
    <w:rsid w:val="006A04B8"/>
    <w:rsid w:val="006A1F32"/>
    <w:rsid w:val="006A2266"/>
    <w:rsid w:val="006A271B"/>
    <w:rsid w:val="006A2830"/>
    <w:rsid w:val="006A41AB"/>
    <w:rsid w:val="006A47C1"/>
    <w:rsid w:val="006A5E79"/>
    <w:rsid w:val="006B06EB"/>
    <w:rsid w:val="006B0AB7"/>
    <w:rsid w:val="006B13DF"/>
    <w:rsid w:val="006B2831"/>
    <w:rsid w:val="006B4862"/>
    <w:rsid w:val="006B6AB4"/>
    <w:rsid w:val="006B6C6E"/>
    <w:rsid w:val="006C1306"/>
    <w:rsid w:val="006C14FF"/>
    <w:rsid w:val="006C3312"/>
    <w:rsid w:val="006C4FF1"/>
    <w:rsid w:val="006C708A"/>
    <w:rsid w:val="006C7107"/>
    <w:rsid w:val="006C7858"/>
    <w:rsid w:val="006D161C"/>
    <w:rsid w:val="006D2998"/>
    <w:rsid w:val="006D2D5D"/>
    <w:rsid w:val="006D3A7A"/>
    <w:rsid w:val="006D3DA5"/>
    <w:rsid w:val="006D3F06"/>
    <w:rsid w:val="006D514B"/>
    <w:rsid w:val="006E097E"/>
    <w:rsid w:val="006E27BE"/>
    <w:rsid w:val="006E3769"/>
    <w:rsid w:val="006E3E63"/>
    <w:rsid w:val="006E412C"/>
    <w:rsid w:val="006E5205"/>
    <w:rsid w:val="006E5C0D"/>
    <w:rsid w:val="006F0D34"/>
    <w:rsid w:val="006F2B5E"/>
    <w:rsid w:val="006F4AF4"/>
    <w:rsid w:val="006F520F"/>
    <w:rsid w:val="006F5BB5"/>
    <w:rsid w:val="006F68F6"/>
    <w:rsid w:val="006F69B0"/>
    <w:rsid w:val="006F7DEA"/>
    <w:rsid w:val="00700946"/>
    <w:rsid w:val="00700D2F"/>
    <w:rsid w:val="00701232"/>
    <w:rsid w:val="0070287E"/>
    <w:rsid w:val="00702DCE"/>
    <w:rsid w:val="00704A23"/>
    <w:rsid w:val="0070732F"/>
    <w:rsid w:val="00710D1F"/>
    <w:rsid w:val="007119BB"/>
    <w:rsid w:val="007122CF"/>
    <w:rsid w:val="00712C34"/>
    <w:rsid w:val="00713B5C"/>
    <w:rsid w:val="00714315"/>
    <w:rsid w:val="00714513"/>
    <w:rsid w:val="00714F3F"/>
    <w:rsid w:val="0072149D"/>
    <w:rsid w:val="00721775"/>
    <w:rsid w:val="00721B8A"/>
    <w:rsid w:val="00723B19"/>
    <w:rsid w:val="00727E5B"/>
    <w:rsid w:val="007301A6"/>
    <w:rsid w:val="00731539"/>
    <w:rsid w:val="00731F8D"/>
    <w:rsid w:val="00733034"/>
    <w:rsid w:val="007350FD"/>
    <w:rsid w:val="00735583"/>
    <w:rsid w:val="007403CD"/>
    <w:rsid w:val="007418A0"/>
    <w:rsid w:val="00742181"/>
    <w:rsid w:val="00743E2E"/>
    <w:rsid w:val="0074525C"/>
    <w:rsid w:val="00751094"/>
    <w:rsid w:val="007511A7"/>
    <w:rsid w:val="007525D8"/>
    <w:rsid w:val="007528DE"/>
    <w:rsid w:val="00752A2E"/>
    <w:rsid w:val="007530CA"/>
    <w:rsid w:val="007535C5"/>
    <w:rsid w:val="00754605"/>
    <w:rsid w:val="00755011"/>
    <w:rsid w:val="00755CD6"/>
    <w:rsid w:val="00757B33"/>
    <w:rsid w:val="0076232E"/>
    <w:rsid w:val="00762F25"/>
    <w:rsid w:val="007630E6"/>
    <w:rsid w:val="007636B1"/>
    <w:rsid w:val="0076446B"/>
    <w:rsid w:val="0076592E"/>
    <w:rsid w:val="00766A9E"/>
    <w:rsid w:val="007677AE"/>
    <w:rsid w:val="00771158"/>
    <w:rsid w:val="007750D0"/>
    <w:rsid w:val="00775656"/>
    <w:rsid w:val="00776CA8"/>
    <w:rsid w:val="00776FA4"/>
    <w:rsid w:val="007771E8"/>
    <w:rsid w:val="007803E3"/>
    <w:rsid w:val="00780CFC"/>
    <w:rsid w:val="00783EF8"/>
    <w:rsid w:val="00786C58"/>
    <w:rsid w:val="00787D6B"/>
    <w:rsid w:val="00787EE8"/>
    <w:rsid w:val="0079132A"/>
    <w:rsid w:val="00792295"/>
    <w:rsid w:val="00792852"/>
    <w:rsid w:val="00792EE1"/>
    <w:rsid w:val="00793818"/>
    <w:rsid w:val="00794E1F"/>
    <w:rsid w:val="00794F2D"/>
    <w:rsid w:val="0079506F"/>
    <w:rsid w:val="00795750"/>
    <w:rsid w:val="007966CF"/>
    <w:rsid w:val="00796A4F"/>
    <w:rsid w:val="00796A8A"/>
    <w:rsid w:val="007979E1"/>
    <w:rsid w:val="007A086E"/>
    <w:rsid w:val="007A0F5B"/>
    <w:rsid w:val="007A1069"/>
    <w:rsid w:val="007A13C7"/>
    <w:rsid w:val="007A25BF"/>
    <w:rsid w:val="007A328F"/>
    <w:rsid w:val="007A5373"/>
    <w:rsid w:val="007A658F"/>
    <w:rsid w:val="007A740D"/>
    <w:rsid w:val="007B0465"/>
    <w:rsid w:val="007B1F01"/>
    <w:rsid w:val="007B361E"/>
    <w:rsid w:val="007B3632"/>
    <w:rsid w:val="007B61B1"/>
    <w:rsid w:val="007B6FDA"/>
    <w:rsid w:val="007B7CA4"/>
    <w:rsid w:val="007C104F"/>
    <w:rsid w:val="007C117F"/>
    <w:rsid w:val="007C3CCD"/>
    <w:rsid w:val="007C4447"/>
    <w:rsid w:val="007C5238"/>
    <w:rsid w:val="007C6122"/>
    <w:rsid w:val="007C6A61"/>
    <w:rsid w:val="007C700A"/>
    <w:rsid w:val="007C7248"/>
    <w:rsid w:val="007D081D"/>
    <w:rsid w:val="007D1EBB"/>
    <w:rsid w:val="007D3880"/>
    <w:rsid w:val="007D7F11"/>
    <w:rsid w:val="007E03D6"/>
    <w:rsid w:val="007E092C"/>
    <w:rsid w:val="007E0E5A"/>
    <w:rsid w:val="007E1C12"/>
    <w:rsid w:val="007E1EC7"/>
    <w:rsid w:val="007E30F1"/>
    <w:rsid w:val="007E6A3D"/>
    <w:rsid w:val="007E7FB1"/>
    <w:rsid w:val="007F1A25"/>
    <w:rsid w:val="007F3A44"/>
    <w:rsid w:val="007F55D5"/>
    <w:rsid w:val="007F5832"/>
    <w:rsid w:val="007F589E"/>
    <w:rsid w:val="007F58E9"/>
    <w:rsid w:val="007F79CF"/>
    <w:rsid w:val="008006D5"/>
    <w:rsid w:val="008014F2"/>
    <w:rsid w:val="008017F6"/>
    <w:rsid w:val="00802AB3"/>
    <w:rsid w:val="0080357F"/>
    <w:rsid w:val="00804C70"/>
    <w:rsid w:val="00805193"/>
    <w:rsid w:val="00805A5D"/>
    <w:rsid w:val="00805C41"/>
    <w:rsid w:val="0081184F"/>
    <w:rsid w:val="00812520"/>
    <w:rsid w:val="00812E4C"/>
    <w:rsid w:val="00821829"/>
    <w:rsid w:val="00823A72"/>
    <w:rsid w:val="008258C8"/>
    <w:rsid w:val="00826A58"/>
    <w:rsid w:val="00826D97"/>
    <w:rsid w:val="00830366"/>
    <w:rsid w:val="00830772"/>
    <w:rsid w:val="008308E1"/>
    <w:rsid w:val="008312E8"/>
    <w:rsid w:val="008329AD"/>
    <w:rsid w:val="00833C1A"/>
    <w:rsid w:val="008359AB"/>
    <w:rsid w:val="00836ECF"/>
    <w:rsid w:val="008371DB"/>
    <w:rsid w:val="008372C0"/>
    <w:rsid w:val="0083739F"/>
    <w:rsid w:val="008376E4"/>
    <w:rsid w:val="00837FC0"/>
    <w:rsid w:val="008400B6"/>
    <w:rsid w:val="00841355"/>
    <w:rsid w:val="00842189"/>
    <w:rsid w:val="0084304D"/>
    <w:rsid w:val="008450E5"/>
    <w:rsid w:val="00845DAB"/>
    <w:rsid w:val="008462CF"/>
    <w:rsid w:val="00851529"/>
    <w:rsid w:val="008518D8"/>
    <w:rsid w:val="00854632"/>
    <w:rsid w:val="00856FB2"/>
    <w:rsid w:val="0086015E"/>
    <w:rsid w:val="00862321"/>
    <w:rsid w:val="00863DF2"/>
    <w:rsid w:val="00864C5B"/>
    <w:rsid w:val="00865BF2"/>
    <w:rsid w:val="00865DDA"/>
    <w:rsid w:val="00873154"/>
    <w:rsid w:val="00873D9E"/>
    <w:rsid w:val="00874736"/>
    <w:rsid w:val="00875C68"/>
    <w:rsid w:val="008760A9"/>
    <w:rsid w:val="00876F96"/>
    <w:rsid w:val="00877032"/>
    <w:rsid w:val="00877481"/>
    <w:rsid w:val="0088043D"/>
    <w:rsid w:val="0088077A"/>
    <w:rsid w:val="00880861"/>
    <w:rsid w:val="00880CD1"/>
    <w:rsid w:val="008831F8"/>
    <w:rsid w:val="00884A1D"/>
    <w:rsid w:val="00885C13"/>
    <w:rsid w:val="00886122"/>
    <w:rsid w:val="00887220"/>
    <w:rsid w:val="00887FB2"/>
    <w:rsid w:val="00891016"/>
    <w:rsid w:val="008913AF"/>
    <w:rsid w:val="00891D33"/>
    <w:rsid w:val="00892A24"/>
    <w:rsid w:val="0089596D"/>
    <w:rsid w:val="008978CA"/>
    <w:rsid w:val="00897F1C"/>
    <w:rsid w:val="008A3E55"/>
    <w:rsid w:val="008A4955"/>
    <w:rsid w:val="008A50A1"/>
    <w:rsid w:val="008A63C6"/>
    <w:rsid w:val="008B003E"/>
    <w:rsid w:val="008B00D0"/>
    <w:rsid w:val="008B14BD"/>
    <w:rsid w:val="008B42A7"/>
    <w:rsid w:val="008B4A4D"/>
    <w:rsid w:val="008B4F71"/>
    <w:rsid w:val="008B5D9B"/>
    <w:rsid w:val="008B6CF9"/>
    <w:rsid w:val="008B6F7A"/>
    <w:rsid w:val="008B7BA1"/>
    <w:rsid w:val="008B7F8C"/>
    <w:rsid w:val="008C1161"/>
    <w:rsid w:val="008C26CD"/>
    <w:rsid w:val="008C2786"/>
    <w:rsid w:val="008C6B2E"/>
    <w:rsid w:val="008C75F0"/>
    <w:rsid w:val="008D04E9"/>
    <w:rsid w:val="008D2F7A"/>
    <w:rsid w:val="008D46E0"/>
    <w:rsid w:val="008D48B0"/>
    <w:rsid w:val="008D6B38"/>
    <w:rsid w:val="008D6E97"/>
    <w:rsid w:val="008E0557"/>
    <w:rsid w:val="008E67D3"/>
    <w:rsid w:val="008E71CA"/>
    <w:rsid w:val="008F085C"/>
    <w:rsid w:val="008F129F"/>
    <w:rsid w:val="008F1F6D"/>
    <w:rsid w:val="008F4E93"/>
    <w:rsid w:val="008F5292"/>
    <w:rsid w:val="008F5343"/>
    <w:rsid w:val="008F5D85"/>
    <w:rsid w:val="008F7295"/>
    <w:rsid w:val="008F7BB7"/>
    <w:rsid w:val="009002CE"/>
    <w:rsid w:val="0090033F"/>
    <w:rsid w:val="00901EF6"/>
    <w:rsid w:val="00902EB6"/>
    <w:rsid w:val="009071A8"/>
    <w:rsid w:val="0090769C"/>
    <w:rsid w:val="00907E04"/>
    <w:rsid w:val="009124BA"/>
    <w:rsid w:val="00912552"/>
    <w:rsid w:val="009126EC"/>
    <w:rsid w:val="00912C95"/>
    <w:rsid w:val="00912FDD"/>
    <w:rsid w:val="00915DA0"/>
    <w:rsid w:val="00916688"/>
    <w:rsid w:val="00921795"/>
    <w:rsid w:val="0092330F"/>
    <w:rsid w:val="00923465"/>
    <w:rsid w:val="00924966"/>
    <w:rsid w:val="0092569C"/>
    <w:rsid w:val="0093039F"/>
    <w:rsid w:val="0093056E"/>
    <w:rsid w:val="00931A41"/>
    <w:rsid w:val="00931DAC"/>
    <w:rsid w:val="00933846"/>
    <w:rsid w:val="009373A9"/>
    <w:rsid w:val="00937E59"/>
    <w:rsid w:val="00940097"/>
    <w:rsid w:val="00941A6C"/>
    <w:rsid w:val="00944EA9"/>
    <w:rsid w:val="0094599C"/>
    <w:rsid w:val="00946C0F"/>
    <w:rsid w:val="00950A07"/>
    <w:rsid w:val="00952149"/>
    <w:rsid w:val="00953045"/>
    <w:rsid w:val="0095467D"/>
    <w:rsid w:val="00954815"/>
    <w:rsid w:val="00955E00"/>
    <w:rsid w:val="00955F09"/>
    <w:rsid w:val="0095634B"/>
    <w:rsid w:val="00957F7B"/>
    <w:rsid w:val="0096025E"/>
    <w:rsid w:val="009621EB"/>
    <w:rsid w:val="009623FE"/>
    <w:rsid w:val="00962F23"/>
    <w:rsid w:val="00966899"/>
    <w:rsid w:val="00967BE8"/>
    <w:rsid w:val="0097116F"/>
    <w:rsid w:val="009718F8"/>
    <w:rsid w:val="009728FC"/>
    <w:rsid w:val="00975C8A"/>
    <w:rsid w:val="009762D6"/>
    <w:rsid w:val="00976E00"/>
    <w:rsid w:val="00980929"/>
    <w:rsid w:val="009816EB"/>
    <w:rsid w:val="00982933"/>
    <w:rsid w:val="00982B63"/>
    <w:rsid w:val="00982C2C"/>
    <w:rsid w:val="00983518"/>
    <w:rsid w:val="00985334"/>
    <w:rsid w:val="00985CC8"/>
    <w:rsid w:val="00990E74"/>
    <w:rsid w:val="00993718"/>
    <w:rsid w:val="00993AF3"/>
    <w:rsid w:val="00993EE3"/>
    <w:rsid w:val="009955F6"/>
    <w:rsid w:val="00995E2B"/>
    <w:rsid w:val="009A0E5F"/>
    <w:rsid w:val="009A13FA"/>
    <w:rsid w:val="009A2409"/>
    <w:rsid w:val="009A3914"/>
    <w:rsid w:val="009A741E"/>
    <w:rsid w:val="009A745B"/>
    <w:rsid w:val="009A7E4A"/>
    <w:rsid w:val="009B025D"/>
    <w:rsid w:val="009B0F12"/>
    <w:rsid w:val="009B0F22"/>
    <w:rsid w:val="009B119C"/>
    <w:rsid w:val="009B2E85"/>
    <w:rsid w:val="009B49F2"/>
    <w:rsid w:val="009B4AAB"/>
    <w:rsid w:val="009C079E"/>
    <w:rsid w:val="009C123D"/>
    <w:rsid w:val="009C125D"/>
    <w:rsid w:val="009C1B10"/>
    <w:rsid w:val="009C3340"/>
    <w:rsid w:val="009C3BDB"/>
    <w:rsid w:val="009C43A4"/>
    <w:rsid w:val="009C5152"/>
    <w:rsid w:val="009C5158"/>
    <w:rsid w:val="009C5871"/>
    <w:rsid w:val="009C633B"/>
    <w:rsid w:val="009C6737"/>
    <w:rsid w:val="009C7941"/>
    <w:rsid w:val="009C7FD4"/>
    <w:rsid w:val="009D04E3"/>
    <w:rsid w:val="009D1D08"/>
    <w:rsid w:val="009D290C"/>
    <w:rsid w:val="009D2FCA"/>
    <w:rsid w:val="009D378D"/>
    <w:rsid w:val="009D42EF"/>
    <w:rsid w:val="009D7633"/>
    <w:rsid w:val="009E03A2"/>
    <w:rsid w:val="009E3C3A"/>
    <w:rsid w:val="009E400E"/>
    <w:rsid w:val="009E4180"/>
    <w:rsid w:val="009E4F0D"/>
    <w:rsid w:val="009E5186"/>
    <w:rsid w:val="009E5EF9"/>
    <w:rsid w:val="009F031A"/>
    <w:rsid w:val="009F1606"/>
    <w:rsid w:val="009F2298"/>
    <w:rsid w:val="009F3A66"/>
    <w:rsid w:val="009F3BFB"/>
    <w:rsid w:val="009F3E05"/>
    <w:rsid w:val="009F4422"/>
    <w:rsid w:val="009F4EE3"/>
    <w:rsid w:val="009F6AAA"/>
    <w:rsid w:val="009F7D25"/>
    <w:rsid w:val="00A0049F"/>
    <w:rsid w:val="00A004D0"/>
    <w:rsid w:val="00A01F18"/>
    <w:rsid w:val="00A02343"/>
    <w:rsid w:val="00A02755"/>
    <w:rsid w:val="00A027A2"/>
    <w:rsid w:val="00A03BAB"/>
    <w:rsid w:val="00A04040"/>
    <w:rsid w:val="00A0479C"/>
    <w:rsid w:val="00A0602E"/>
    <w:rsid w:val="00A06809"/>
    <w:rsid w:val="00A06B6E"/>
    <w:rsid w:val="00A12BE1"/>
    <w:rsid w:val="00A13331"/>
    <w:rsid w:val="00A13B87"/>
    <w:rsid w:val="00A14056"/>
    <w:rsid w:val="00A14F8A"/>
    <w:rsid w:val="00A160EB"/>
    <w:rsid w:val="00A16EAE"/>
    <w:rsid w:val="00A20189"/>
    <w:rsid w:val="00A20D04"/>
    <w:rsid w:val="00A2189F"/>
    <w:rsid w:val="00A2344E"/>
    <w:rsid w:val="00A2387B"/>
    <w:rsid w:val="00A26D07"/>
    <w:rsid w:val="00A271D4"/>
    <w:rsid w:val="00A27415"/>
    <w:rsid w:val="00A27E17"/>
    <w:rsid w:val="00A31A30"/>
    <w:rsid w:val="00A31D02"/>
    <w:rsid w:val="00A35D25"/>
    <w:rsid w:val="00A35DC0"/>
    <w:rsid w:val="00A36E66"/>
    <w:rsid w:val="00A37A2F"/>
    <w:rsid w:val="00A40A1D"/>
    <w:rsid w:val="00A42A62"/>
    <w:rsid w:val="00A43AEB"/>
    <w:rsid w:val="00A43D6B"/>
    <w:rsid w:val="00A46290"/>
    <w:rsid w:val="00A467C0"/>
    <w:rsid w:val="00A47AD6"/>
    <w:rsid w:val="00A50B3E"/>
    <w:rsid w:val="00A51E95"/>
    <w:rsid w:val="00A53266"/>
    <w:rsid w:val="00A54304"/>
    <w:rsid w:val="00A5477A"/>
    <w:rsid w:val="00A548CB"/>
    <w:rsid w:val="00A56326"/>
    <w:rsid w:val="00A567B5"/>
    <w:rsid w:val="00A61BB5"/>
    <w:rsid w:val="00A61CF3"/>
    <w:rsid w:val="00A61E33"/>
    <w:rsid w:val="00A62111"/>
    <w:rsid w:val="00A62983"/>
    <w:rsid w:val="00A64819"/>
    <w:rsid w:val="00A648B8"/>
    <w:rsid w:val="00A6509C"/>
    <w:rsid w:val="00A66929"/>
    <w:rsid w:val="00A66B6F"/>
    <w:rsid w:val="00A66EA3"/>
    <w:rsid w:val="00A66F55"/>
    <w:rsid w:val="00A6796D"/>
    <w:rsid w:val="00A67BC6"/>
    <w:rsid w:val="00A701DE"/>
    <w:rsid w:val="00A70A5D"/>
    <w:rsid w:val="00A72DE4"/>
    <w:rsid w:val="00A7492C"/>
    <w:rsid w:val="00A7520E"/>
    <w:rsid w:val="00A75337"/>
    <w:rsid w:val="00A81E7E"/>
    <w:rsid w:val="00A82166"/>
    <w:rsid w:val="00A84CCD"/>
    <w:rsid w:val="00A86060"/>
    <w:rsid w:val="00A86DC4"/>
    <w:rsid w:val="00A9006B"/>
    <w:rsid w:val="00A90260"/>
    <w:rsid w:val="00A91012"/>
    <w:rsid w:val="00A932C4"/>
    <w:rsid w:val="00A93BDF"/>
    <w:rsid w:val="00A93DD6"/>
    <w:rsid w:val="00A958C9"/>
    <w:rsid w:val="00AA0937"/>
    <w:rsid w:val="00AA237A"/>
    <w:rsid w:val="00AA2A57"/>
    <w:rsid w:val="00AA34DC"/>
    <w:rsid w:val="00AA4312"/>
    <w:rsid w:val="00AA4A66"/>
    <w:rsid w:val="00AA51AF"/>
    <w:rsid w:val="00AA62C1"/>
    <w:rsid w:val="00AB0158"/>
    <w:rsid w:val="00AB0546"/>
    <w:rsid w:val="00AB0752"/>
    <w:rsid w:val="00AB218C"/>
    <w:rsid w:val="00AB21E2"/>
    <w:rsid w:val="00AB32D2"/>
    <w:rsid w:val="00AB37D2"/>
    <w:rsid w:val="00AB50B0"/>
    <w:rsid w:val="00AB5373"/>
    <w:rsid w:val="00AB60A3"/>
    <w:rsid w:val="00AC03EC"/>
    <w:rsid w:val="00AC257E"/>
    <w:rsid w:val="00AC4472"/>
    <w:rsid w:val="00AD254C"/>
    <w:rsid w:val="00AD25D6"/>
    <w:rsid w:val="00AD2F48"/>
    <w:rsid w:val="00AD4763"/>
    <w:rsid w:val="00AD7DB4"/>
    <w:rsid w:val="00AE0558"/>
    <w:rsid w:val="00AE0978"/>
    <w:rsid w:val="00AE291D"/>
    <w:rsid w:val="00AE2F97"/>
    <w:rsid w:val="00AE336F"/>
    <w:rsid w:val="00AE3BFD"/>
    <w:rsid w:val="00AE4136"/>
    <w:rsid w:val="00AE4B0C"/>
    <w:rsid w:val="00AF01CA"/>
    <w:rsid w:val="00AF026D"/>
    <w:rsid w:val="00AF13BA"/>
    <w:rsid w:val="00AF1799"/>
    <w:rsid w:val="00AF2F2A"/>
    <w:rsid w:val="00AF4A79"/>
    <w:rsid w:val="00AF4FA7"/>
    <w:rsid w:val="00AF4FBC"/>
    <w:rsid w:val="00AF53E9"/>
    <w:rsid w:val="00AF5F15"/>
    <w:rsid w:val="00AF6A67"/>
    <w:rsid w:val="00AF746F"/>
    <w:rsid w:val="00B00757"/>
    <w:rsid w:val="00B013F8"/>
    <w:rsid w:val="00B04F2C"/>
    <w:rsid w:val="00B0515A"/>
    <w:rsid w:val="00B0677F"/>
    <w:rsid w:val="00B06C61"/>
    <w:rsid w:val="00B076DD"/>
    <w:rsid w:val="00B104D8"/>
    <w:rsid w:val="00B12872"/>
    <w:rsid w:val="00B130F2"/>
    <w:rsid w:val="00B131D1"/>
    <w:rsid w:val="00B15A0B"/>
    <w:rsid w:val="00B165F4"/>
    <w:rsid w:val="00B17947"/>
    <w:rsid w:val="00B22207"/>
    <w:rsid w:val="00B22EA2"/>
    <w:rsid w:val="00B24A24"/>
    <w:rsid w:val="00B25068"/>
    <w:rsid w:val="00B255FE"/>
    <w:rsid w:val="00B25EFE"/>
    <w:rsid w:val="00B265C4"/>
    <w:rsid w:val="00B27B33"/>
    <w:rsid w:val="00B30109"/>
    <w:rsid w:val="00B3116D"/>
    <w:rsid w:val="00B313A6"/>
    <w:rsid w:val="00B31B6D"/>
    <w:rsid w:val="00B32713"/>
    <w:rsid w:val="00B32EC6"/>
    <w:rsid w:val="00B352B7"/>
    <w:rsid w:val="00B36E30"/>
    <w:rsid w:val="00B3755F"/>
    <w:rsid w:val="00B408AA"/>
    <w:rsid w:val="00B41771"/>
    <w:rsid w:val="00B43810"/>
    <w:rsid w:val="00B44E27"/>
    <w:rsid w:val="00B4573D"/>
    <w:rsid w:val="00B46E54"/>
    <w:rsid w:val="00B470F7"/>
    <w:rsid w:val="00B4797F"/>
    <w:rsid w:val="00B47BCE"/>
    <w:rsid w:val="00B47CBF"/>
    <w:rsid w:val="00B50764"/>
    <w:rsid w:val="00B50ED3"/>
    <w:rsid w:val="00B52159"/>
    <w:rsid w:val="00B5227B"/>
    <w:rsid w:val="00B524D4"/>
    <w:rsid w:val="00B528B3"/>
    <w:rsid w:val="00B52E65"/>
    <w:rsid w:val="00B55FC1"/>
    <w:rsid w:val="00B57EB1"/>
    <w:rsid w:val="00B603A7"/>
    <w:rsid w:val="00B62530"/>
    <w:rsid w:val="00B63193"/>
    <w:rsid w:val="00B637A3"/>
    <w:rsid w:val="00B67F25"/>
    <w:rsid w:val="00B71FF6"/>
    <w:rsid w:val="00B73195"/>
    <w:rsid w:val="00B74197"/>
    <w:rsid w:val="00B74936"/>
    <w:rsid w:val="00B76128"/>
    <w:rsid w:val="00B76E36"/>
    <w:rsid w:val="00B7754D"/>
    <w:rsid w:val="00B827CB"/>
    <w:rsid w:val="00B82E97"/>
    <w:rsid w:val="00B8332C"/>
    <w:rsid w:val="00B839B8"/>
    <w:rsid w:val="00B83C9B"/>
    <w:rsid w:val="00B84B11"/>
    <w:rsid w:val="00B86E8D"/>
    <w:rsid w:val="00B90727"/>
    <w:rsid w:val="00B91152"/>
    <w:rsid w:val="00B926B9"/>
    <w:rsid w:val="00B92A20"/>
    <w:rsid w:val="00B93DE7"/>
    <w:rsid w:val="00B9513E"/>
    <w:rsid w:val="00B95B3F"/>
    <w:rsid w:val="00B95E69"/>
    <w:rsid w:val="00BA0812"/>
    <w:rsid w:val="00BA1C9D"/>
    <w:rsid w:val="00BA2B31"/>
    <w:rsid w:val="00BA3FB4"/>
    <w:rsid w:val="00BA587B"/>
    <w:rsid w:val="00BA5F7C"/>
    <w:rsid w:val="00BA70EA"/>
    <w:rsid w:val="00BB1C29"/>
    <w:rsid w:val="00BB4856"/>
    <w:rsid w:val="00BB4C3A"/>
    <w:rsid w:val="00BB6ABB"/>
    <w:rsid w:val="00BC225D"/>
    <w:rsid w:val="00BC37A9"/>
    <w:rsid w:val="00BC3CF1"/>
    <w:rsid w:val="00BC4EEF"/>
    <w:rsid w:val="00BC6144"/>
    <w:rsid w:val="00BC68B8"/>
    <w:rsid w:val="00BC7F0E"/>
    <w:rsid w:val="00BD10D4"/>
    <w:rsid w:val="00BD10EA"/>
    <w:rsid w:val="00BD1910"/>
    <w:rsid w:val="00BD2B4A"/>
    <w:rsid w:val="00BD3F23"/>
    <w:rsid w:val="00BD6D90"/>
    <w:rsid w:val="00BD7050"/>
    <w:rsid w:val="00BE0E52"/>
    <w:rsid w:val="00BE1ECE"/>
    <w:rsid w:val="00BE25AB"/>
    <w:rsid w:val="00BE354F"/>
    <w:rsid w:val="00BE35C7"/>
    <w:rsid w:val="00BE3D64"/>
    <w:rsid w:val="00BE5637"/>
    <w:rsid w:val="00BE5D2E"/>
    <w:rsid w:val="00BE5FA2"/>
    <w:rsid w:val="00BE6164"/>
    <w:rsid w:val="00BE6B38"/>
    <w:rsid w:val="00BE6C67"/>
    <w:rsid w:val="00BE7A9C"/>
    <w:rsid w:val="00BF063D"/>
    <w:rsid w:val="00BF2407"/>
    <w:rsid w:val="00BF240D"/>
    <w:rsid w:val="00BF2BC9"/>
    <w:rsid w:val="00BF2C10"/>
    <w:rsid w:val="00BF2C3B"/>
    <w:rsid w:val="00BF5C99"/>
    <w:rsid w:val="00BF6A43"/>
    <w:rsid w:val="00C00260"/>
    <w:rsid w:val="00C00733"/>
    <w:rsid w:val="00C01FB7"/>
    <w:rsid w:val="00C0239D"/>
    <w:rsid w:val="00C0378C"/>
    <w:rsid w:val="00C039F5"/>
    <w:rsid w:val="00C07715"/>
    <w:rsid w:val="00C11F1F"/>
    <w:rsid w:val="00C12911"/>
    <w:rsid w:val="00C12BCF"/>
    <w:rsid w:val="00C13BF1"/>
    <w:rsid w:val="00C14C04"/>
    <w:rsid w:val="00C163E1"/>
    <w:rsid w:val="00C17A0C"/>
    <w:rsid w:val="00C21CE1"/>
    <w:rsid w:val="00C228AC"/>
    <w:rsid w:val="00C23056"/>
    <w:rsid w:val="00C23214"/>
    <w:rsid w:val="00C25ADC"/>
    <w:rsid w:val="00C26589"/>
    <w:rsid w:val="00C26935"/>
    <w:rsid w:val="00C27CBE"/>
    <w:rsid w:val="00C30DB1"/>
    <w:rsid w:val="00C315A4"/>
    <w:rsid w:val="00C32298"/>
    <w:rsid w:val="00C3290C"/>
    <w:rsid w:val="00C3439D"/>
    <w:rsid w:val="00C34FEB"/>
    <w:rsid w:val="00C409A1"/>
    <w:rsid w:val="00C4189B"/>
    <w:rsid w:val="00C41E66"/>
    <w:rsid w:val="00C44364"/>
    <w:rsid w:val="00C448D1"/>
    <w:rsid w:val="00C44F3E"/>
    <w:rsid w:val="00C459B2"/>
    <w:rsid w:val="00C46574"/>
    <w:rsid w:val="00C50C90"/>
    <w:rsid w:val="00C51CB6"/>
    <w:rsid w:val="00C5243C"/>
    <w:rsid w:val="00C5258F"/>
    <w:rsid w:val="00C54D53"/>
    <w:rsid w:val="00C556B0"/>
    <w:rsid w:val="00C56502"/>
    <w:rsid w:val="00C570D4"/>
    <w:rsid w:val="00C60045"/>
    <w:rsid w:val="00C62AB0"/>
    <w:rsid w:val="00C6301B"/>
    <w:rsid w:val="00C63D0C"/>
    <w:rsid w:val="00C6649D"/>
    <w:rsid w:val="00C666BE"/>
    <w:rsid w:val="00C67881"/>
    <w:rsid w:val="00C71AEC"/>
    <w:rsid w:val="00C731F0"/>
    <w:rsid w:val="00C7463A"/>
    <w:rsid w:val="00C755BF"/>
    <w:rsid w:val="00C75EE2"/>
    <w:rsid w:val="00C76560"/>
    <w:rsid w:val="00C76F70"/>
    <w:rsid w:val="00C7764D"/>
    <w:rsid w:val="00C801E5"/>
    <w:rsid w:val="00C8029C"/>
    <w:rsid w:val="00C806B3"/>
    <w:rsid w:val="00C80E9E"/>
    <w:rsid w:val="00C813B3"/>
    <w:rsid w:val="00C821A7"/>
    <w:rsid w:val="00C82248"/>
    <w:rsid w:val="00C823B6"/>
    <w:rsid w:val="00C827DF"/>
    <w:rsid w:val="00C82E6A"/>
    <w:rsid w:val="00C82F55"/>
    <w:rsid w:val="00C83CCB"/>
    <w:rsid w:val="00C855DC"/>
    <w:rsid w:val="00C8584C"/>
    <w:rsid w:val="00C85E7A"/>
    <w:rsid w:val="00C903EC"/>
    <w:rsid w:val="00C91EE9"/>
    <w:rsid w:val="00C93D73"/>
    <w:rsid w:val="00C94270"/>
    <w:rsid w:val="00C9608E"/>
    <w:rsid w:val="00C961F8"/>
    <w:rsid w:val="00CA0AF5"/>
    <w:rsid w:val="00CA1565"/>
    <w:rsid w:val="00CA1CA0"/>
    <w:rsid w:val="00CA1D36"/>
    <w:rsid w:val="00CA5A65"/>
    <w:rsid w:val="00CA6B1F"/>
    <w:rsid w:val="00CA6FAF"/>
    <w:rsid w:val="00CA7313"/>
    <w:rsid w:val="00CA7586"/>
    <w:rsid w:val="00CB213E"/>
    <w:rsid w:val="00CB2AB2"/>
    <w:rsid w:val="00CB2E3C"/>
    <w:rsid w:val="00CB2FE9"/>
    <w:rsid w:val="00CB53E5"/>
    <w:rsid w:val="00CB5567"/>
    <w:rsid w:val="00CB6B75"/>
    <w:rsid w:val="00CB77B6"/>
    <w:rsid w:val="00CB7E86"/>
    <w:rsid w:val="00CC00F2"/>
    <w:rsid w:val="00CC0D7A"/>
    <w:rsid w:val="00CC272B"/>
    <w:rsid w:val="00CC2E7D"/>
    <w:rsid w:val="00CC307A"/>
    <w:rsid w:val="00CC5B16"/>
    <w:rsid w:val="00CD3762"/>
    <w:rsid w:val="00CD4E3F"/>
    <w:rsid w:val="00CD6055"/>
    <w:rsid w:val="00CD75A7"/>
    <w:rsid w:val="00CE01B5"/>
    <w:rsid w:val="00CE0E67"/>
    <w:rsid w:val="00CE10E6"/>
    <w:rsid w:val="00CE139A"/>
    <w:rsid w:val="00CE3201"/>
    <w:rsid w:val="00CE3EDE"/>
    <w:rsid w:val="00CE5271"/>
    <w:rsid w:val="00CE5D71"/>
    <w:rsid w:val="00CF08AA"/>
    <w:rsid w:val="00CF1271"/>
    <w:rsid w:val="00CF1DED"/>
    <w:rsid w:val="00CF2D92"/>
    <w:rsid w:val="00CF54B4"/>
    <w:rsid w:val="00CF61B6"/>
    <w:rsid w:val="00D0035F"/>
    <w:rsid w:val="00D00CA7"/>
    <w:rsid w:val="00D037AF"/>
    <w:rsid w:val="00D03C97"/>
    <w:rsid w:val="00D0469E"/>
    <w:rsid w:val="00D0475A"/>
    <w:rsid w:val="00D101D1"/>
    <w:rsid w:val="00D13BC8"/>
    <w:rsid w:val="00D153CD"/>
    <w:rsid w:val="00D166DC"/>
    <w:rsid w:val="00D17305"/>
    <w:rsid w:val="00D202B3"/>
    <w:rsid w:val="00D21597"/>
    <w:rsid w:val="00D21DB0"/>
    <w:rsid w:val="00D221AA"/>
    <w:rsid w:val="00D30506"/>
    <w:rsid w:val="00D325D8"/>
    <w:rsid w:val="00D338EA"/>
    <w:rsid w:val="00D33917"/>
    <w:rsid w:val="00D35DD1"/>
    <w:rsid w:val="00D35F7C"/>
    <w:rsid w:val="00D365A0"/>
    <w:rsid w:val="00D36CA2"/>
    <w:rsid w:val="00D36D5E"/>
    <w:rsid w:val="00D4153F"/>
    <w:rsid w:val="00D41C9B"/>
    <w:rsid w:val="00D42371"/>
    <w:rsid w:val="00D430E1"/>
    <w:rsid w:val="00D4559D"/>
    <w:rsid w:val="00D45A6F"/>
    <w:rsid w:val="00D45BF4"/>
    <w:rsid w:val="00D476F5"/>
    <w:rsid w:val="00D50B46"/>
    <w:rsid w:val="00D51DAA"/>
    <w:rsid w:val="00D52971"/>
    <w:rsid w:val="00D5479B"/>
    <w:rsid w:val="00D54C57"/>
    <w:rsid w:val="00D557B0"/>
    <w:rsid w:val="00D560AA"/>
    <w:rsid w:val="00D60FDF"/>
    <w:rsid w:val="00D62CF0"/>
    <w:rsid w:val="00D64078"/>
    <w:rsid w:val="00D649E0"/>
    <w:rsid w:val="00D676A4"/>
    <w:rsid w:val="00D67AA2"/>
    <w:rsid w:val="00D74479"/>
    <w:rsid w:val="00D74ACB"/>
    <w:rsid w:val="00D754D3"/>
    <w:rsid w:val="00D76075"/>
    <w:rsid w:val="00D76AF1"/>
    <w:rsid w:val="00D77632"/>
    <w:rsid w:val="00D80BBC"/>
    <w:rsid w:val="00D80BDB"/>
    <w:rsid w:val="00D8211F"/>
    <w:rsid w:val="00D8227E"/>
    <w:rsid w:val="00D82C77"/>
    <w:rsid w:val="00D84DED"/>
    <w:rsid w:val="00D851A1"/>
    <w:rsid w:val="00D851C2"/>
    <w:rsid w:val="00D85338"/>
    <w:rsid w:val="00D86DD7"/>
    <w:rsid w:val="00D9107A"/>
    <w:rsid w:val="00D91658"/>
    <w:rsid w:val="00D93102"/>
    <w:rsid w:val="00D93920"/>
    <w:rsid w:val="00D94BD7"/>
    <w:rsid w:val="00D95DC0"/>
    <w:rsid w:val="00D9765F"/>
    <w:rsid w:val="00DA1E4E"/>
    <w:rsid w:val="00DA2442"/>
    <w:rsid w:val="00DA2648"/>
    <w:rsid w:val="00DA3F10"/>
    <w:rsid w:val="00DA3F47"/>
    <w:rsid w:val="00DA3F71"/>
    <w:rsid w:val="00DA4B06"/>
    <w:rsid w:val="00DA550F"/>
    <w:rsid w:val="00DA6F6C"/>
    <w:rsid w:val="00DB015B"/>
    <w:rsid w:val="00DB01A7"/>
    <w:rsid w:val="00DB09A9"/>
    <w:rsid w:val="00DB1473"/>
    <w:rsid w:val="00DB1E7D"/>
    <w:rsid w:val="00DB21EA"/>
    <w:rsid w:val="00DB3523"/>
    <w:rsid w:val="00DB3FC1"/>
    <w:rsid w:val="00DB7DB5"/>
    <w:rsid w:val="00DC376A"/>
    <w:rsid w:val="00DC4961"/>
    <w:rsid w:val="00DC4FA4"/>
    <w:rsid w:val="00DC7852"/>
    <w:rsid w:val="00DD111E"/>
    <w:rsid w:val="00DD202A"/>
    <w:rsid w:val="00DD2329"/>
    <w:rsid w:val="00DD3463"/>
    <w:rsid w:val="00DD49EC"/>
    <w:rsid w:val="00DD4FC6"/>
    <w:rsid w:val="00DD5441"/>
    <w:rsid w:val="00DE11BD"/>
    <w:rsid w:val="00DE1342"/>
    <w:rsid w:val="00DE1CE2"/>
    <w:rsid w:val="00DE3EE3"/>
    <w:rsid w:val="00DE5BBD"/>
    <w:rsid w:val="00DE7221"/>
    <w:rsid w:val="00DE74D1"/>
    <w:rsid w:val="00DF109E"/>
    <w:rsid w:val="00DF5C9B"/>
    <w:rsid w:val="00DF78AF"/>
    <w:rsid w:val="00E013F3"/>
    <w:rsid w:val="00E017B8"/>
    <w:rsid w:val="00E057EC"/>
    <w:rsid w:val="00E0602D"/>
    <w:rsid w:val="00E06CB2"/>
    <w:rsid w:val="00E0783C"/>
    <w:rsid w:val="00E1014B"/>
    <w:rsid w:val="00E10A0B"/>
    <w:rsid w:val="00E10FF9"/>
    <w:rsid w:val="00E1165F"/>
    <w:rsid w:val="00E12DBC"/>
    <w:rsid w:val="00E13C63"/>
    <w:rsid w:val="00E13DED"/>
    <w:rsid w:val="00E14167"/>
    <w:rsid w:val="00E16D11"/>
    <w:rsid w:val="00E24347"/>
    <w:rsid w:val="00E248F8"/>
    <w:rsid w:val="00E24A57"/>
    <w:rsid w:val="00E30216"/>
    <w:rsid w:val="00E305F3"/>
    <w:rsid w:val="00E30DAF"/>
    <w:rsid w:val="00E31F62"/>
    <w:rsid w:val="00E32E8A"/>
    <w:rsid w:val="00E335B3"/>
    <w:rsid w:val="00E35807"/>
    <w:rsid w:val="00E36A4D"/>
    <w:rsid w:val="00E36D35"/>
    <w:rsid w:val="00E37B69"/>
    <w:rsid w:val="00E40026"/>
    <w:rsid w:val="00E41BC2"/>
    <w:rsid w:val="00E42F0B"/>
    <w:rsid w:val="00E442A9"/>
    <w:rsid w:val="00E44E6A"/>
    <w:rsid w:val="00E45442"/>
    <w:rsid w:val="00E46FC1"/>
    <w:rsid w:val="00E47382"/>
    <w:rsid w:val="00E509CC"/>
    <w:rsid w:val="00E50DD5"/>
    <w:rsid w:val="00E51884"/>
    <w:rsid w:val="00E51C26"/>
    <w:rsid w:val="00E52017"/>
    <w:rsid w:val="00E537BD"/>
    <w:rsid w:val="00E54D8A"/>
    <w:rsid w:val="00E553CB"/>
    <w:rsid w:val="00E55C54"/>
    <w:rsid w:val="00E56924"/>
    <w:rsid w:val="00E56C39"/>
    <w:rsid w:val="00E6097D"/>
    <w:rsid w:val="00E65578"/>
    <w:rsid w:val="00E65A8D"/>
    <w:rsid w:val="00E67784"/>
    <w:rsid w:val="00E7018D"/>
    <w:rsid w:val="00E70373"/>
    <w:rsid w:val="00E70C3D"/>
    <w:rsid w:val="00E71BD3"/>
    <w:rsid w:val="00E752F3"/>
    <w:rsid w:val="00E8025C"/>
    <w:rsid w:val="00E8075E"/>
    <w:rsid w:val="00E811A1"/>
    <w:rsid w:val="00E83190"/>
    <w:rsid w:val="00E859AE"/>
    <w:rsid w:val="00E871B2"/>
    <w:rsid w:val="00E91AAB"/>
    <w:rsid w:val="00E94180"/>
    <w:rsid w:val="00E941B8"/>
    <w:rsid w:val="00E947D6"/>
    <w:rsid w:val="00E950B1"/>
    <w:rsid w:val="00E95232"/>
    <w:rsid w:val="00E963F9"/>
    <w:rsid w:val="00E967D0"/>
    <w:rsid w:val="00E96F84"/>
    <w:rsid w:val="00E97177"/>
    <w:rsid w:val="00EA0220"/>
    <w:rsid w:val="00EA16A2"/>
    <w:rsid w:val="00EA4419"/>
    <w:rsid w:val="00EB0BC7"/>
    <w:rsid w:val="00EB2972"/>
    <w:rsid w:val="00EB5CAF"/>
    <w:rsid w:val="00EB5E27"/>
    <w:rsid w:val="00EB78D1"/>
    <w:rsid w:val="00EC3FB0"/>
    <w:rsid w:val="00EC64FB"/>
    <w:rsid w:val="00EC6A7A"/>
    <w:rsid w:val="00EC7340"/>
    <w:rsid w:val="00EC7458"/>
    <w:rsid w:val="00ED099B"/>
    <w:rsid w:val="00ED14AC"/>
    <w:rsid w:val="00ED2E1C"/>
    <w:rsid w:val="00ED3958"/>
    <w:rsid w:val="00ED4066"/>
    <w:rsid w:val="00ED5936"/>
    <w:rsid w:val="00ED7881"/>
    <w:rsid w:val="00ED7901"/>
    <w:rsid w:val="00EE05A9"/>
    <w:rsid w:val="00EE06B0"/>
    <w:rsid w:val="00EE1AC4"/>
    <w:rsid w:val="00EE2916"/>
    <w:rsid w:val="00EE4D2C"/>
    <w:rsid w:val="00EE59D5"/>
    <w:rsid w:val="00EE7199"/>
    <w:rsid w:val="00EE79BB"/>
    <w:rsid w:val="00EF261F"/>
    <w:rsid w:val="00EF31A1"/>
    <w:rsid w:val="00EF334B"/>
    <w:rsid w:val="00EF4A6C"/>
    <w:rsid w:val="00EF5E3F"/>
    <w:rsid w:val="00EF76D8"/>
    <w:rsid w:val="00EF7CBE"/>
    <w:rsid w:val="00F0420F"/>
    <w:rsid w:val="00F05430"/>
    <w:rsid w:val="00F05A51"/>
    <w:rsid w:val="00F05DC9"/>
    <w:rsid w:val="00F066DD"/>
    <w:rsid w:val="00F06789"/>
    <w:rsid w:val="00F06C38"/>
    <w:rsid w:val="00F07B4D"/>
    <w:rsid w:val="00F119E1"/>
    <w:rsid w:val="00F13050"/>
    <w:rsid w:val="00F1468A"/>
    <w:rsid w:val="00F1468B"/>
    <w:rsid w:val="00F1506B"/>
    <w:rsid w:val="00F16278"/>
    <w:rsid w:val="00F16A39"/>
    <w:rsid w:val="00F21C2A"/>
    <w:rsid w:val="00F21EB2"/>
    <w:rsid w:val="00F22F16"/>
    <w:rsid w:val="00F23087"/>
    <w:rsid w:val="00F25BA3"/>
    <w:rsid w:val="00F31ED1"/>
    <w:rsid w:val="00F36FC9"/>
    <w:rsid w:val="00F4296F"/>
    <w:rsid w:val="00F42D41"/>
    <w:rsid w:val="00F4772E"/>
    <w:rsid w:val="00F50086"/>
    <w:rsid w:val="00F50527"/>
    <w:rsid w:val="00F51C1D"/>
    <w:rsid w:val="00F5230F"/>
    <w:rsid w:val="00F53670"/>
    <w:rsid w:val="00F53EF3"/>
    <w:rsid w:val="00F55FDA"/>
    <w:rsid w:val="00F619C8"/>
    <w:rsid w:val="00F62138"/>
    <w:rsid w:val="00F62B9C"/>
    <w:rsid w:val="00F63761"/>
    <w:rsid w:val="00F64EA3"/>
    <w:rsid w:val="00F6624F"/>
    <w:rsid w:val="00F670FA"/>
    <w:rsid w:val="00F7098C"/>
    <w:rsid w:val="00F709B9"/>
    <w:rsid w:val="00F7158E"/>
    <w:rsid w:val="00F71FA7"/>
    <w:rsid w:val="00F75609"/>
    <w:rsid w:val="00F7562A"/>
    <w:rsid w:val="00F81FAF"/>
    <w:rsid w:val="00F82B8E"/>
    <w:rsid w:val="00F82C9B"/>
    <w:rsid w:val="00F86B4B"/>
    <w:rsid w:val="00F90A04"/>
    <w:rsid w:val="00F9163A"/>
    <w:rsid w:val="00F91737"/>
    <w:rsid w:val="00F93555"/>
    <w:rsid w:val="00F9470D"/>
    <w:rsid w:val="00F94D36"/>
    <w:rsid w:val="00F96AD2"/>
    <w:rsid w:val="00F96D73"/>
    <w:rsid w:val="00F96FDC"/>
    <w:rsid w:val="00F97025"/>
    <w:rsid w:val="00FA33A8"/>
    <w:rsid w:val="00FA3A7E"/>
    <w:rsid w:val="00FA45EC"/>
    <w:rsid w:val="00FA5462"/>
    <w:rsid w:val="00FA6810"/>
    <w:rsid w:val="00FA73B4"/>
    <w:rsid w:val="00FA75AD"/>
    <w:rsid w:val="00FA7F09"/>
    <w:rsid w:val="00FA7F54"/>
    <w:rsid w:val="00FC13C3"/>
    <w:rsid w:val="00FC1CBD"/>
    <w:rsid w:val="00FC2FF9"/>
    <w:rsid w:val="00FC48F1"/>
    <w:rsid w:val="00FC4A44"/>
    <w:rsid w:val="00FC59A5"/>
    <w:rsid w:val="00FD0690"/>
    <w:rsid w:val="00FD1487"/>
    <w:rsid w:val="00FD1AFE"/>
    <w:rsid w:val="00FD23FD"/>
    <w:rsid w:val="00FD44B5"/>
    <w:rsid w:val="00FD663D"/>
    <w:rsid w:val="00FD7187"/>
    <w:rsid w:val="00FD7C77"/>
    <w:rsid w:val="00FE0927"/>
    <w:rsid w:val="00FE0BD5"/>
    <w:rsid w:val="00FE14C2"/>
    <w:rsid w:val="00FE16A4"/>
    <w:rsid w:val="00FE1AF9"/>
    <w:rsid w:val="00FE1D2C"/>
    <w:rsid w:val="00FE2D0D"/>
    <w:rsid w:val="00FE32D6"/>
    <w:rsid w:val="00FE3892"/>
    <w:rsid w:val="00FE3E72"/>
    <w:rsid w:val="00FE41CF"/>
    <w:rsid w:val="00FE6312"/>
    <w:rsid w:val="00FE648F"/>
    <w:rsid w:val="00FE7F2F"/>
    <w:rsid w:val="00FF178C"/>
    <w:rsid w:val="00FF1E1D"/>
    <w:rsid w:val="00FF1FE6"/>
    <w:rsid w:val="00FF24F2"/>
    <w:rsid w:val="00FF278B"/>
    <w:rsid w:val="00FF4F1F"/>
    <w:rsid w:val="00FF5234"/>
    <w:rsid w:val="00FF58C8"/>
    <w:rsid w:val="00FF5C8C"/>
    <w:rsid w:val="00FF6871"/>
    <w:rsid w:val="00FF6955"/>
    <w:rsid w:val="00FF733F"/>
    <w:rsid w:val="00FF7B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05F8"/>
  <w15:chartTrackingRefBased/>
  <w15:docId w15:val="{61100FAA-54E7-4E1C-82D4-5481D27D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C9"/>
    <w:pPr>
      <w:spacing w:after="200" w:line="276" w:lineRule="auto"/>
    </w:pPr>
    <w:rPr>
      <w:rFonts w:eastAsiaTheme="minorEastAsia"/>
      <w:kern w:val="0"/>
      <w:lang w:eastAsia="en-CA"/>
      <w14:ligatures w14:val="none"/>
    </w:rPr>
  </w:style>
  <w:style w:type="paragraph" w:styleId="Heading1">
    <w:name w:val="heading 1"/>
    <w:basedOn w:val="Normal"/>
    <w:next w:val="Normal"/>
    <w:link w:val="Heading1Char"/>
    <w:uiPriority w:val="9"/>
    <w:qFormat/>
    <w:rsid w:val="00F36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FC9"/>
    <w:rPr>
      <w:rFonts w:eastAsiaTheme="majorEastAsia" w:cstheme="majorBidi"/>
      <w:color w:val="272727" w:themeColor="text1" w:themeTint="D8"/>
    </w:rPr>
  </w:style>
  <w:style w:type="paragraph" w:styleId="Title">
    <w:name w:val="Title"/>
    <w:basedOn w:val="Normal"/>
    <w:next w:val="Normal"/>
    <w:link w:val="TitleChar"/>
    <w:uiPriority w:val="10"/>
    <w:qFormat/>
    <w:rsid w:val="00F36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FC9"/>
    <w:pPr>
      <w:spacing w:before="160"/>
      <w:jc w:val="center"/>
    </w:pPr>
    <w:rPr>
      <w:i/>
      <w:iCs/>
      <w:color w:val="404040" w:themeColor="text1" w:themeTint="BF"/>
    </w:rPr>
  </w:style>
  <w:style w:type="character" w:customStyle="1" w:styleId="QuoteChar">
    <w:name w:val="Quote Char"/>
    <w:basedOn w:val="DefaultParagraphFont"/>
    <w:link w:val="Quote"/>
    <w:uiPriority w:val="29"/>
    <w:rsid w:val="00F36FC9"/>
    <w:rPr>
      <w:i/>
      <w:iCs/>
      <w:color w:val="404040" w:themeColor="text1" w:themeTint="BF"/>
    </w:rPr>
  </w:style>
  <w:style w:type="paragraph" w:styleId="ListParagraph">
    <w:name w:val="List Paragraph"/>
    <w:basedOn w:val="Normal"/>
    <w:uiPriority w:val="34"/>
    <w:qFormat/>
    <w:rsid w:val="00F36FC9"/>
    <w:pPr>
      <w:ind w:left="720"/>
      <w:contextualSpacing/>
    </w:pPr>
  </w:style>
  <w:style w:type="character" w:styleId="IntenseEmphasis">
    <w:name w:val="Intense Emphasis"/>
    <w:basedOn w:val="DefaultParagraphFont"/>
    <w:uiPriority w:val="21"/>
    <w:qFormat/>
    <w:rsid w:val="00F36FC9"/>
    <w:rPr>
      <w:i/>
      <w:iCs/>
      <w:color w:val="0F4761" w:themeColor="accent1" w:themeShade="BF"/>
    </w:rPr>
  </w:style>
  <w:style w:type="paragraph" w:styleId="IntenseQuote">
    <w:name w:val="Intense Quote"/>
    <w:basedOn w:val="Normal"/>
    <w:next w:val="Normal"/>
    <w:link w:val="IntenseQuoteChar"/>
    <w:uiPriority w:val="30"/>
    <w:qFormat/>
    <w:rsid w:val="00F36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FC9"/>
    <w:rPr>
      <w:i/>
      <w:iCs/>
      <w:color w:val="0F4761" w:themeColor="accent1" w:themeShade="BF"/>
    </w:rPr>
  </w:style>
  <w:style w:type="character" w:styleId="IntenseReference">
    <w:name w:val="Intense Reference"/>
    <w:basedOn w:val="DefaultParagraphFont"/>
    <w:uiPriority w:val="32"/>
    <w:qFormat/>
    <w:rsid w:val="00F36FC9"/>
    <w:rPr>
      <w:b/>
      <w:bCs/>
      <w:smallCaps/>
      <w:color w:val="0F4761" w:themeColor="accent1" w:themeShade="BF"/>
      <w:spacing w:val="5"/>
    </w:rPr>
  </w:style>
  <w:style w:type="paragraph" w:styleId="Header">
    <w:name w:val="header"/>
    <w:basedOn w:val="Normal"/>
    <w:link w:val="HeaderChar"/>
    <w:uiPriority w:val="99"/>
    <w:unhideWhenUsed/>
    <w:rsid w:val="00F36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FC9"/>
    <w:rPr>
      <w:rFonts w:eastAsiaTheme="minorEastAsia"/>
      <w:kern w:val="0"/>
      <w:lang w:eastAsia="en-CA"/>
      <w14:ligatures w14:val="none"/>
    </w:rPr>
  </w:style>
  <w:style w:type="paragraph" w:styleId="NoSpacing">
    <w:name w:val="No Spacing"/>
    <w:uiPriority w:val="1"/>
    <w:qFormat/>
    <w:rsid w:val="00F36FC9"/>
    <w:pPr>
      <w:spacing w:after="0" w:line="240" w:lineRule="auto"/>
      <w:jc w:val="both"/>
    </w:pPr>
    <w:rPr>
      <w:rFonts w:ascii="Arial" w:hAnsi="Arial"/>
      <w:kern w:val="0"/>
      <w:lang w:val="en-US"/>
      <w14:ligatures w14:val="none"/>
    </w:rPr>
  </w:style>
  <w:style w:type="table" w:styleId="TableGrid">
    <w:name w:val="Table Grid"/>
    <w:basedOn w:val="TableNormal"/>
    <w:uiPriority w:val="59"/>
    <w:rsid w:val="00F36FC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E5FA2"/>
    <w:rPr>
      <w:color w:val="467886" w:themeColor="hyperlink"/>
      <w:u w:val="single"/>
    </w:rPr>
  </w:style>
  <w:style w:type="character" w:styleId="UnresolvedMention">
    <w:name w:val="Unresolved Mention"/>
    <w:basedOn w:val="DefaultParagraphFont"/>
    <w:uiPriority w:val="99"/>
    <w:semiHidden/>
    <w:unhideWhenUsed/>
    <w:rsid w:val="00BE5FA2"/>
    <w:rPr>
      <w:color w:val="605E5C"/>
      <w:shd w:val="clear" w:color="auto" w:fill="E1DFDD"/>
    </w:rPr>
  </w:style>
  <w:style w:type="character" w:styleId="CommentReference">
    <w:name w:val="annotation reference"/>
    <w:basedOn w:val="DefaultParagraphFont"/>
    <w:uiPriority w:val="99"/>
    <w:semiHidden/>
    <w:unhideWhenUsed/>
    <w:rsid w:val="00051AD4"/>
    <w:rPr>
      <w:sz w:val="16"/>
      <w:szCs w:val="16"/>
    </w:rPr>
  </w:style>
  <w:style w:type="paragraph" w:styleId="CommentText">
    <w:name w:val="annotation text"/>
    <w:basedOn w:val="Normal"/>
    <w:link w:val="CommentTextChar"/>
    <w:uiPriority w:val="99"/>
    <w:unhideWhenUsed/>
    <w:rsid w:val="00051AD4"/>
    <w:pPr>
      <w:spacing w:line="240" w:lineRule="auto"/>
    </w:pPr>
    <w:rPr>
      <w:sz w:val="20"/>
      <w:szCs w:val="20"/>
    </w:rPr>
  </w:style>
  <w:style w:type="character" w:customStyle="1" w:styleId="CommentTextChar">
    <w:name w:val="Comment Text Char"/>
    <w:basedOn w:val="DefaultParagraphFont"/>
    <w:link w:val="CommentText"/>
    <w:uiPriority w:val="99"/>
    <w:rsid w:val="00051AD4"/>
    <w:rPr>
      <w:rFonts w:eastAsiaTheme="minorEastAsia"/>
      <w:kern w:val="0"/>
      <w:sz w:val="20"/>
      <w:szCs w:val="20"/>
      <w:lang w:eastAsia="en-CA"/>
      <w14:ligatures w14:val="none"/>
    </w:rPr>
  </w:style>
  <w:style w:type="paragraph" w:styleId="CommentSubject">
    <w:name w:val="annotation subject"/>
    <w:basedOn w:val="CommentText"/>
    <w:next w:val="CommentText"/>
    <w:link w:val="CommentSubjectChar"/>
    <w:uiPriority w:val="99"/>
    <w:semiHidden/>
    <w:unhideWhenUsed/>
    <w:rsid w:val="00051AD4"/>
    <w:rPr>
      <w:b/>
      <w:bCs/>
    </w:rPr>
  </w:style>
  <w:style w:type="character" w:customStyle="1" w:styleId="CommentSubjectChar">
    <w:name w:val="Comment Subject Char"/>
    <w:basedOn w:val="CommentTextChar"/>
    <w:link w:val="CommentSubject"/>
    <w:uiPriority w:val="99"/>
    <w:semiHidden/>
    <w:rsid w:val="00051AD4"/>
    <w:rPr>
      <w:rFonts w:eastAsiaTheme="minorEastAsia"/>
      <w:b/>
      <w:bCs/>
      <w:kern w:val="0"/>
      <w:sz w:val="20"/>
      <w:szCs w:val="20"/>
      <w:lang w:eastAsia="en-CA"/>
      <w14:ligatures w14:val="none"/>
    </w:rPr>
  </w:style>
  <w:style w:type="paragraph" w:customStyle="1" w:styleId="paranondepar-altn">
    <w:name w:val="paranondepar-altn"/>
    <w:basedOn w:val="Normal"/>
    <w:rsid w:val="00B911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ltc">
    <w:name w:val="citation-altc"/>
    <w:basedOn w:val="Normal"/>
    <w:rsid w:val="00B911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ex3-missing">
    <w:name w:val="reflex3-missing"/>
    <w:basedOn w:val="DefaultParagraphFont"/>
    <w:rsid w:val="00B91152"/>
  </w:style>
  <w:style w:type="paragraph" w:styleId="Footer">
    <w:name w:val="footer"/>
    <w:basedOn w:val="Normal"/>
    <w:link w:val="FooterChar"/>
    <w:uiPriority w:val="99"/>
    <w:unhideWhenUsed/>
    <w:rsid w:val="00E60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7D"/>
    <w:rPr>
      <w:rFonts w:eastAsiaTheme="minorEastAsia"/>
      <w:kern w:val="0"/>
      <w:lang w:eastAsia="en-CA"/>
      <w14:ligatures w14:val="none"/>
    </w:rPr>
  </w:style>
  <w:style w:type="paragraph" w:styleId="Revision">
    <w:name w:val="Revision"/>
    <w:hidden/>
    <w:uiPriority w:val="99"/>
    <w:semiHidden/>
    <w:rsid w:val="000B1FED"/>
    <w:pPr>
      <w:spacing w:after="0" w:line="240" w:lineRule="auto"/>
    </w:pPr>
    <w:rPr>
      <w:rFonts w:eastAsiaTheme="minorEastAsia"/>
      <w:kern w:val="0"/>
      <w:lang w:eastAsia="en-CA"/>
      <w14:ligatures w14:val="none"/>
    </w:rPr>
  </w:style>
  <w:style w:type="paragraph" w:styleId="FootnoteText">
    <w:name w:val="footnote text"/>
    <w:basedOn w:val="Normal"/>
    <w:link w:val="FootnoteTextChar"/>
    <w:uiPriority w:val="99"/>
    <w:semiHidden/>
    <w:unhideWhenUsed/>
    <w:rsid w:val="00A047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479C"/>
    <w:rPr>
      <w:rFonts w:eastAsiaTheme="minorEastAsia"/>
      <w:kern w:val="0"/>
      <w:sz w:val="20"/>
      <w:szCs w:val="20"/>
      <w:lang w:eastAsia="en-CA"/>
      <w14:ligatures w14:val="none"/>
    </w:rPr>
  </w:style>
  <w:style w:type="character" w:styleId="FootnoteReference">
    <w:name w:val="footnote reference"/>
    <w:basedOn w:val="DefaultParagraphFont"/>
    <w:uiPriority w:val="99"/>
    <w:semiHidden/>
    <w:unhideWhenUsed/>
    <w:rsid w:val="00A047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7000">
      <w:bodyDiv w:val="1"/>
      <w:marLeft w:val="0"/>
      <w:marRight w:val="0"/>
      <w:marTop w:val="0"/>
      <w:marBottom w:val="0"/>
      <w:divBdr>
        <w:top w:val="none" w:sz="0" w:space="0" w:color="auto"/>
        <w:left w:val="none" w:sz="0" w:space="0" w:color="auto"/>
        <w:bottom w:val="none" w:sz="0" w:space="0" w:color="auto"/>
        <w:right w:val="none" w:sz="0" w:space="0" w:color="auto"/>
      </w:divBdr>
      <w:divsChild>
        <w:div w:id="178549432">
          <w:marLeft w:val="0"/>
          <w:marRight w:val="0"/>
          <w:marTop w:val="0"/>
          <w:marBottom w:val="0"/>
          <w:divBdr>
            <w:top w:val="none" w:sz="0" w:space="0" w:color="auto"/>
            <w:left w:val="none" w:sz="0" w:space="0" w:color="auto"/>
            <w:bottom w:val="none" w:sz="0" w:space="0" w:color="auto"/>
            <w:right w:val="none" w:sz="0" w:space="0" w:color="auto"/>
          </w:divBdr>
        </w:div>
        <w:div w:id="732118487">
          <w:marLeft w:val="0"/>
          <w:marRight w:val="0"/>
          <w:marTop w:val="0"/>
          <w:marBottom w:val="0"/>
          <w:divBdr>
            <w:top w:val="none" w:sz="0" w:space="0" w:color="auto"/>
            <w:left w:val="none" w:sz="0" w:space="0" w:color="auto"/>
            <w:bottom w:val="none" w:sz="0" w:space="0" w:color="auto"/>
            <w:right w:val="none" w:sz="0" w:space="0" w:color="auto"/>
          </w:divBdr>
        </w:div>
      </w:divsChild>
    </w:div>
    <w:div w:id="99182775">
      <w:bodyDiv w:val="1"/>
      <w:marLeft w:val="0"/>
      <w:marRight w:val="0"/>
      <w:marTop w:val="0"/>
      <w:marBottom w:val="0"/>
      <w:divBdr>
        <w:top w:val="none" w:sz="0" w:space="0" w:color="auto"/>
        <w:left w:val="none" w:sz="0" w:space="0" w:color="auto"/>
        <w:bottom w:val="none" w:sz="0" w:space="0" w:color="auto"/>
        <w:right w:val="none" w:sz="0" w:space="0" w:color="auto"/>
      </w:divBdr>
    </w:div>
    <w:div w:id="348871463">
      <w:bodyDiv w:val="1"/>
      <w:marLeft w:val="0"/>
      <w:marRight w:val="0"/>
      <w:marTop w:val="0"/>
      <w:marBottom w:val="0"/>
      <w:divBdr>
        <w:top w:val="none" w:sz="0" w:space="0" w:color="auto"/>
        <w:left w:val="none" w:sz="0" w:space="0" w:color="auto"/>
        <w:bottom w:val="none" w:sz="0" w:space="0" w:color="auto"/>
        <w:right w:val="none" w:sz="0" w:space="0" w:color="auto"/>
      </w:divBdr>
    </w:div>
    <w:div w:id="354161339">
      <w:bodyDiv w:val="1"/>
      <w:marLeft w:val="0"/>
      <w:marRight w:val="0"/>
      <w:marTop w:val="0"/>
      <w:marBottom w:val="0"/>
      <w:divBdr>
        <w:top w:val="none" w:sz="0" w:space="0" w:color="auto"/>
        <w:left w:val="none" w:sz="0" w:space="0" w:color="auto"/>
        <w:bottom w:val="none" w:sz="0" w:space="0" w:color="auto"/>
        <w:right w:val="none" w:sz="0" w:space="0" w:color="auto"/>
      </w:divBdr>
    </w:div>
    <w:div w:id="433553147">
      <w:bodyDiv w:val="1"/>
      <w:marLeft w:val="0"/>
      <w:marRight w:val="0"/>
      <w:marTop w:val="0"/>
      <w:marBottom w:val="0"/>
      <w:divBdr>
        <w:top w:val="none" w:sz="0" w:space="0" w:color="auto"/>
        <w:left w:val="none" w:sz="0" w:space="0" w:color="auto"/>
        <w:bottom w:val="none" w:sz="0" w:space="0" w:color="auto"/>
        <w:right w:val="none" w:sz="0" w:space="0" w:color="auto"/>
      </w:divBdr>
      <w:divsChild>
        <w:div w:id="2120249886">
          <w:marLeft w:val="0"/>
          <w:marRight w:val="0"/>
          <w:marTop w:val="0"/>
          <w:marBottom w:val="0"/>
          <w:divBdr>
            <w:top w:val="none" w:sz="0" w:space="0" w:color="auto"/>
            <w:left w:val="none" w:sz="0" w:space="0" w:color="auto"/>
            <w:bottom w:val="none" w:sz="0" w:space="0" w:color="auto"/>
            <w:right w:val="none" w:sz="0" w:space="0" w:color="auto"/>
          </w:divBdr>
        </w:div>
        <w:div w:id="539904242">
          <w:marLeft w:val="0"/>
          <w:marRight w:val="0"/>
          <w:marTop w:val="0"/>
          <w:marBottom w:val="0"/>
          <w:divBdr>
            <w:top w:val="none" w:sz="0" w:space="0" w:color="auto"/>
            <w:left w:val="none" w:sz="0" w:space="0" w:color="auto"/>
            <w:bottom w:val="none" w:sz="0" w:space="0" w:color="auto"/>
            <w:right w:val="none" w:sz="0" w:space="0" w:color="auto"/>
          </w:divBdr>
        </w:div>
      </w:divsChild>
    </w:div>
    <w:div w:id="452135697">
      <w:bodyDiv w:val="1"/>
      <w:marLeft w:val="0"/>
      <w:marRight w:val="0"/>
      <w:marTop w:val="0"/>
      <w:marBottom w:val="0"/>
      <w:divBdr>
        <w:top w:val="none" w:sz="0" w:space="0" w:color="auto"/>
        <w:left w:val="none" w:sz="0" w:space="0" w:color="auto"/>
        <w:bottom w:val="none" w:sz="0" w:space="0" w:color="auto"/>
        <w:right w:val="none" w:sz="0" w:space="0" w:color="auto"/>
      </w:divBdr>
    </w:div>
    <w:div w:id="489252726">
      <w:bodyDiv w:val="1"/>
      <w:marLeft w:val="0"/>
      <w:marRight w:val="0"/>
      <w:marTop w:val="0"/>
      <w:marBottom w:val="0"/>
      <w:divBdr>
        <w:top w:val="none" w:sz="0" w:space="0" w:color="auto"/>
        <w:left w:val="none" w:sz="0" w:space="0" w:color="auto"/>
        <w:bottom w:val="none" w:sz="0" w:space="0" w:color="auto"/>
        <w:right w:val="none" w:sz="0" w:space="0" w:color="auto"/>
      </w:divBdr>
    </w:div>
    <w:div w:id="712459067">
      <w:bodyDiv w:val="1"/>
      <w:marLeft w:val="0"/>
      <w:marRight w:val="0"/>
      <w:marTop w:val="0"/>
      <w:marBottom w:val="0"/>
      <w:divBdr>
        <w:top w:val="none" w:sz="0" w:space="0" w:color="auto"/>
        <w:left w:val="none" w:sz="0" w:space="0" w:color="auto"/>
        <w:bottom w:val="none" w:sz="0" w:space="0" w:color="auto"/>
        <w:right w:val="none" w:sz="0" w:space="0" w:color="auto"/>
      </w:divBdr>
    </w:div>
    <w:div w:id="714043951">
      <w:bodyDiv w:val="1"/>
      <w:marLeft w:val="0"/>
      <w:marRight w:val="0"/>
      <w:marTop w:val="0"/>
      <w:marBottom w:val="0"/>
      <w:divBdr>
        <w:top w:val="none" w:sz="0" w:space="0" w:color="auto"/>
        <w:left w:val="none" w:sz="0" w:space="0" w:color="auto"/>
        <w:bottom w:val="none" w:sz="0" w:space="0" w:color="auto"/>
        <w:right w:val="none" w:sz="0" w:space="0" w:color="auto"/>
      </w:divBdr>
    </w:div>
    <w:div w:id="769663104">
      <w:bodyDiv w:val="1"/>
      <w:marLeft w:val="0"/>
      <w:marRight w:val="0"/>
      <w:marTop w:val="0"/>
      <w:marBottom w:val="0"/>
      <w:divBdr>
        <w:top w:val="none" w:sz="0" w:space="0" w:color="auto"/>
        <w:left w:val="none" w:sz="0" w:space="0" w:color="auto"/>
        <w:bottom w:val="none" w:sz="0" w:space="0" w:color="auto"/>
        <w:right w:val="none" w:sz="0" w:space="0" w:color="auto"/>
      </w:divBdr>
    </w:div>
    <w:div w:id="843738876">
      <w:bodyDiv w:val="1"/>
      <w:marLeft w:val="0"/>
      <w:marRight w:val="0"/>
      <w:marTop w:val="0"/>
      <w:marBottom w:val="0"/>
      <w:divBdr>
        <w:top w:val="none" w:sz="0" w:space="0" w:color="auto"/>
        <w:left w:val="none" w:sz="0" w:space="0" w:color="auto"/>
        <w:bottom w:val="none" w:sz="0" w:space="0" w:color="auto"/>
        <w:right w:val="none" w:sz="0" w:space="0" w:color="auto"/>
      </w:divBdr>
    </w:div>
    <w:div w:id="858348368">
      <w:bodyDiv w:val="1"/>
      <w:marLeft w:val="0"/>
      <w:marRight w:val="0"/>
      <w:marTop w:val="0"/>
      <w:marBottom w:val="0"/>
      <w:divBdr>
        <w:top w:val="none" w:sz="0" w:space="0" w:color="auto"/>
        <w:left w:val="none" w:sz="0" w:space="0" w:color="auto"/>
        <w:bottom w:val="none" w:sz="0" w:space="0" w:color="auto"/>
        <w:right w:val="none" w:sz="0" w:space="0" w:color="auto"/>
      </w:divBdr>
    </w:div>
    <w:div w:id="904754320">
      <w:bodyDiv w:val="1"/>
      <w:marLeft w:val="0"/>
      <w:marRight w:val="0"/>
      <w:marTop w:val="0"/>
      <w:marBottom w:val="0"/>
      <w:divBdr>
        <w:top w:val="none" w:sz="0" w:space="0" w:color="auto"/>
        <w:left w:val="none" w:sz="0" w:space="0" w:color="auto"/>
        <w:bottom w:val="none" w:sz="0" w:space="0" w:color="auto"/>
        <w:right w:val="none" w:sz="0" w:space="0" w:color="auto"/>
      </w:divBdr>
    </w:div>
    <w:div w:id="929121211">
      <w:bodyDiv w:val="1"/>
      <w:marLeft w:val="0"/>
      <w:marRight w:val="0"/>
      <w:marTop w:val="0"/>
      <w:marBottom w:val="0"/>
      <w:divBdr>
        <w:top w:val="none" w:sz="0" w:space="0" w:color="auto"/>
        <w:left w:val="none" w:sz="0" w:space="0" w:color="auto"/>
        <w:bottom w:val="none" w:sz="0" w:space="0" w:color="auto"/>
        <w:right w:val="none" w:sz="0" w:space="0" w:color="auto"/>
      </w:divBdr>
    </w:div>
    <w:div w:id="929896520">
      <w:bodyDiv w:val="1"/>
      <w:marLeft w:val="0"/>
      <w:marRight w:val="0"/>
      <w:marTop w:val="0"/>
      <w:marBottom w:val="0"/>
      <w:divBdr>
        <w:top w:val="none" w:sz="0" w:space="0" w:color="auto"/>
        <w:left w:val="none" w:sz="0" w:space="0" w:color="auto"/>
        <w:bottom w:val="none" w:sz="0" w:space="0" w:color="auto"/>
        <w:right w:val="none" w:sz="0" w:space="0" w:color="auto"/>
      </w:divBdr>
    </w:div>
    <w:div w:id="1010181849">
      <w:bodyDiv w:val="1"/>
      <w:marLeft w:val="0"/>
      <w:marRight w:val="0"/>
      <w:marTop w:val="0"/>
      <w:marBottom w:val="0"/>
      <w:divBdr>
        <w:top w:val="none" w:sz="0" w:space="0" w:color="auto"/>
        <w:left w:val="none" w:sz="0" w:space="0" w:color="auto"/>
        <w:bottom w:val="none" w:sz="0" w:space="0" w:color="auto"/>
        <w:right w:val="none" w:sz="0" w:space="0" w:color="auto"/>
      </w:divBdr>
    </w:div>
    <w:div w:id="1067529026">
      <w:bodyDiv w:val="1"/>
      <w:marLeft w:val="0"/>
      <w:marRight w:val="0"/>
      <w:marTop w:val="0"/>
      <w:marBottom w:val="0"/>
      <w:divBdr>
        <w:top w:val="none" w:sz="0" w:space="0" w:color="auto"/>
        <w:left w:val="none" w:sz="0" w:space="0" w:color="auto"/>
        <w:bottom w:val="none" w:sz="0" w:space="0" w:color="auto"/>
        <w:right w:val="none" w:sz="0" w:space="0" w:color="auto"/>
      </w:divBdr>
    </w:div>
    <w:div w:id="1187250808">
      <w:bodyDiv w:val="1"/>
      <w:marLeft w:val="0"/>
      <w:marRight w:val="0"/>
      <w:marTop w:val="0"/>
      <w:marBottom w:val="0"/>
      <w:divBdr>
        <w:top w:val="none" w:sz="0" w:space="0" w:color="auto"/>
        <w:left w:val="none" w:sz="0" w:space="0" w:color="auto"/>
        <w:bottom w:val="none" w:sz="0" w:space="0" w:color="auto"/>
        <w:right w:val="none" w:sz="0" w:space="0" w:color="auto"/>
      </w:divBdr>
    </w:div>
    <w:div w:id="1238515143">
      <w:bodyDiv w:val="1"/>
      <w:marLeft w:val="0"/>
      <w:marRight w:val="0"/>
      <w:marTop w:val="0"/>
      <w:marBottom w:val="0"/>
      <w:divBdr>
        <w:top w:val="none" w:sz="0" w:space="0" w:color="auto"/>
        <w:left w:val="none" w:sz="0" w:space="0" w:color="auto"/>
        <w:bottom w:val="none" w:sz="0" w:space="0" w:color="auto"/>
        <w:right w:val="none" w:sz="0" w:space="0" w:color="auto"/>
      </w:divBdr>
    </w:div>
    <w:div w:id="1294361841">
      <w:bodyDiv w:val="1"/>
      <w:marLeft w:val="0"/>
      <w:marRight w:val="0"/>
      <w:marTop w:val="0"/>
      <w:marBottom w:val="0"/>
      <w:divBdr>
        <w:top w:val="none" w:sz="0" w:space="0" w:color="auto"/>
        <w:left w:val="none" w:sz="0" w:space="0" w:color="auto"/>
        <w:bottom w:val="none" w:sz="0" w:space="0" w:color="auto"/>
        <w:right w:val="none" w:sz="0" w:space="0" w:color="auto"/>
      </w:divBdr>
    </w:div>
    <w:div w:id="1304652843">
      <w:bodyDiv w:val="1"/>
      <w:marLeft w:val="0"/>
      <w:marRight w:val="0"/>
      <w:marTop w:val="0"/>
      <w:marBottom w:val="0"/>
      <w:divBdr>
        <w:top w:val="none" w:sz="0" w:space="0" w:color="auto"/>
        <w:left w:val="none" w:sz="0" w:space="0" w:color="auto"/>
        <w:bottom w:val="none" w:sz="0" w:space="0" w:color="auto"/>
        <w:right w:val="none" w:sz="0" w:space="0" w:color="auto"/>
      </w:divBdr>
      <w:divsChild>
        <w:div w:id="494685898">
          <w:marLeft w:val="0"/>
          <w:marRight w:val="0"/>
          <w:marTop w:val="0"/>
          <w:marBottom w:val="0"/>
          <w:divBdr>
            <w:top w:val="none" w:sz="0" w:space="0" w:color="auto"/>
            <w:left w:val="none" w:sz="0" w:space="0" w:color="auto"/>
            <w:bottom w:val="none" w:sz="0" w:space="0" w:color="auto"/>
            <w:right w:val="none" w:sz="0" w:space="0" w:color="auto"/>
          </w:divBdr>
        </w:div>
        <w:div w:id="1019814616">
          <w:marLeft w:val="0"/>
          <w:marRight w:val="0"/>
          <w:marTop w:val="0"/>
          <w:marBottom w:val="0"/>
          <w:divBdr>
            <w:top w:val="none" w:sz="0" w:space="0" w:color="auto"/>
            <w:left w:val="none" w:sz="0" w:space="0" w:color="auto"/>
            <w:bottom w:val="none" w:sz="0" w:space="0" w:color="auto"/>
            <w:right w:val="none" w:sz="0" w:space="0" w:color="auto"/>
          </w:divBdr>
        </w:div>
      </w:divsChild>
    </w:div>
    <w:div w:id="1412846795">
      <w:bodyDiv w:val="1"/>
      <w:marLeft w:val="0"/>
      <w:marRight w:val="0"/>
      <w:marTop w:val="0"/>
      <w:marBottom w:val="0"/>
      <w:divBdr>
        <w:top w:val="none" w:sz="0" w:space="0" w:color="auto"/>
        <w:left w:val="none" w:sz="0" w:space="0" w:color="auto"/>
        <w:bottom w:val="none" w:sz="0" w:space="0" w:color="auto"/>
        <w:right w:val="none" w:sz="0" w:space="0" w:color="auto"/>
      </w:divBdr>
    </w:div>
    <w:div w:id="1439912695">
      <w:bodyDiv w:val="1"/>
      <w:marLeft w:val="0"/>
      <w:marRight w:val="0"/>
      <w:marTop w:val="0"/>
      <w:marBottom w:val="0"/>
      <w:divBdr>
        <w:top w:val="none" w:sz="0" w:space="0" w:color="auto"/>
        <w:left w:val="none" w:sz="0" w:space="0" w:color="auto"/>
        <w:bottom w:val="none" w:sz="0" w:space="0" w:color="auto"/>
        <w:right w:val="none" w:sz="0" w:space="0" w:color="auto"/>
      </w:divBdr>
    </w:div>
    <w:div w:id="1460564652">
      <w:bodyDiv w:val="1"/>
      <w:marLeft w:val="0"/>
      <w:marRight w:val="0"/>
      <w:marTop w:val="0"/>
      <w:marBottom w:val="0"/>
      <w:divBdr>
        <w:top w:val="none" w:sz="0" w:space="0" w:color="auto"/>
        <w:left w:val="none" w:sz="0" w:space="0" w:color="auto"/>
        <w:bottom w:val="none" w:sz="0" w:space="0" w:color="auto"/>
        <w:right w:val="none" w:sz="0" w:space="0" w:color="auto"/>
      </w:divBdr>
      <w:divsChild>
        <w:div w:id="769355515">
          <w:marLeft w:val="0"/>
          <w:marRight w:val="0"/>
          <w:marTop w:val="0"/>
          <w:marBottom w:val="0"/>
          <w:divBdr>
            <w:top w:val="none" w:sz="0" w:space="0" w:color="auto"/>
            <w:left w:val="none" w:sz="0" w:space="0" w:color="auto"/>
            <w:bottom w:val="none" w:sz="0" w:space="0" w:color="auto"/>
            <w:right w:val="none" w:sz="0" w:space="0" w:color="auto"/>
          </w:divBdr>
        </w:div>
        <w:div w:id="1198271450">
          <w:marLeft w:val="0"/>
          <w:marRight w:val="0"/>
          <w:marTop w:val="0"/>
          <w:marBottom w:val="0"/>
          <w:divBdr>
            <w:top w:val="none" w:sz="0" w:space="0" w:color="auto"/>
            <w:left w:val="none" w:sz="0" w:space="0" w:color="auto"/>
            <w:bottom w:val="none" w:sz="0" w:space="0" w:color="auto"/>
            <w:right w:val="none" w:sz="0" w:space="0" w:color="auto"/>
          </w:divBdr>
        </w:div>
      </w:divsChild>
    </w:div>
    <w:div w:id="1488742253">
      <w:bodyDiv w:val="1"/>
      <w:marLeft w:val="0"/>
      <w:marRight w:val="0"/>
      <w:marTop w:val="0"/>
      <w:marBottom w:val="0"/>
      <w:divBdr>
        <w:top w:val="none" w:sz="0" w:space="0" w:color="auto"/>
        <w:left w:val="none" w:sz="0" w:space="0" w:color="auto"/>
        <w:bottom w:val="none" w:sz="0" w:space="0" w:color="auto"/>
        <w:right w:val="none" w:sz="0" w:space="0" w:color="auto"/>
      </w:divBdr>
    </w:div>
    <w:div w:id="1568682109">
      <w:bodyDiv w:val="1"/>
      <w:marLeft w:val="0"/>
      <w:marRight w:val="0"/>
      <w:marTop w:val="0"/>
      <w:marBottom w:val="0"/>
      <w:divBdr>
        <w:top w:val="none" w:sz="0" w:space="0" w:color="auto"/>
        <w:left w:val="none" w:sz="0" w:space="0" w:color="auto"/>
        <w:bottom w:val="none" w:sz="0" w:space="0" w:color="auto"/>
        <w:right w:val="none" w:sz="0" w:space="0" w:color="auto"/>
      </w:divBdr>
    </w:div>
    <w:div w:id="1743061496">
      <w:bodyDiv w:val="1"/>
      <w:marLeft w:val="0"/>
      <w:marRight w:val="0"/>
      <w:marTop w:val="0"/>
      <w:marBottom w:val="0"/>
      <w:divBdr>
        <w:top w:val="none" w:sz="0" w:space="0" w:color="auto"/>
        <w:left w:val="none" w:sz="0" w:space="0" w:color="auto"/>
        <w:bottom w:val="none" w:sz="0" w:space="0" w:color="auto"/>
        <w:right w:val="none" w:sz="0" w:space="0" w:color="auto"/>
      </w:divBdr>
    </w:div>
    <w:div w:id="1781097041">
      <w:bodyDiv w:val="1"/>
      <w:marLeft w:val="0"/>
      <w:marRight w:val="0"/>
      <w:marTop w:val="0"/>
      <w:marBottom w:val="0"/>
      <w:divBdr>
        <w:top w:val="none" w:sz="0" w:space="0" w:color="auto"/>
        <w:left w:val="none" w:sz="0" w:space="0" w:color="auto"/>
        <w:bottom w:val="none" w:sz="0" w:space="0" w:color="auto"/>
        <w:right w:val="none" w:sz="0" w:space="0" w:color="auto"/>
      </w:divBdr>
    </w:div>
    <w:div w:id="1816870983">
      <w:bodyDiv w:val="1"/>
      <w:marLeft w:val="0"/>
      <w:marRight w:val="0"/>
      <w:marTop w:val="0"/>
      <w:marBottom w:val="0"/>
      <w:divBdr>
        <w:top w:val="none" w:sz="0" w:space="0" w:color="auto"/>
        <w:left w:val="none" w:sz="0" w:space="0" w:color="auto"/>
        <w:bottom w:val="none" w:sz="0" w:space="0" w:color="auto"/>
        <w:right w:val="none" w:sz="0" w:space="0" w:color="auto"/>
      </w:divBdr>
    </w:div>
    <w:div w:id="2095011158">
      <w:bodyDiv w:val="1"/>
      <w:marLeft w:val="0"/>
      <w:marRight w:val="0"/>
      <w:marTop w:val="0"/>
      <w:marBottom w:val="0"/>
      <w:divBdr>
        <w:top w:val="none" w:sz="0" w:space="0" w:color="auto"/>
        <w:left w:val="none" w:sz="0" w:space="0" w:color="auto"/>
        <w:bottom w:val="none" w:sz="0" w:space="0" w:color="auto"/>
        <w:right w:val="none" w:sz="0" w:space="0" w:color="auto"/>
      </w:divBdr>
    </w:div>
    <w:div w:id="2143382718">
      <w:bodyDiv w:val="1"/>
      <w:marLeft w:val="0"/>
      <w:marRight w:val="0"/>
      <w:marTop w:val="0"/>
      <w:marBottom w:val="0"/>
      <w:divBdr>
        <w:top w:val="none" w:sz="0" w:space="0" w:color="auto"/>
        <w:left w:val="none" w:sz="0" w:space="0" w:color="auto"/>
        <w:bottom w:val="none" w:sz="0" w:space="0" w:color="auto"/>
        <w:right w:val="none" w:sz="0" w:space="0" w:color="auto"/>
      </w:divBdr>
      <w:divsChild>
        <w:div w:id="14997">
          <w:marLeft w:val="0"/>
          <w:marRight w:val="0"/>
          <w:marTop w:val="0"/>
          <w:marBottom w:val="0"/>
          <w:divBdr>
            <w:top w:val="none" w:sz="0" w:space="0" w:color="auto"/>
            <w:left w:val="none" w:sz="0" w:space="0" w:color="auto"/>
            <w:bottom w:val="none" w:sz="0" w:space="0" w:color="auto"/>
            <w:right w:val="none" w:sz="0" w:space="0" w:color="auto"/>
          </w:divBdr>
        </w:div>
        <w:div w:id="155344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DCB8-D8CD-438D-B981-5B4923FD656C}">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868AABA6-D687-4459-A47B-C07CF78B4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ECAEF-D4AA-4152-AB84-C6CCB294701C}">
  <ds:schemaRefs>
    <ds:schemaRef ds:uri="http://schemas.microsoft.com/sharepoint/v3/contenttype/forms"/>
  </ds:schemaRefs>
</ds:datastoreItem>
</file>

<file path=customXml/itemProps4.xml><?xml version="1.0" encoding="utf-8"?>
<ds:datastoreItem xmlns:ds="http://schemas.openxmlformats.org/officeDocument/2006/customXml" ds:itemID="{C419CF31-B6A0-403B-8970-D97DD966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7583</Words>
  <Characters>43225</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Piché</dc:creator>
  <cp:keywords/>
  <dc:description/>
  <cp:lastModifiedBy>Tyler Vibert</cp:lastModifiedBy>
  <cp:revision>2</cp:revision>
  <cp:lastPrinted>2025-08-06T15:37:00Z</cp:lastPrinted>
  <dcterms:created xsi:type="dcterms:W3CDTF">2025-08-07T15:23:00Z</dcterms:created>
  <dcterms:modified xsi:type="dcterms:W3CDTF">2025-08-07T15:23:00Z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2025-06-11T17:29:54Z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33f349d5-507c-455e-a96e-aaed0434e146</vt:lpwstr>
  </property>
  <property fmtid="{D5CDD505-2E9C-101B-9397-08002B2CF9AE}" pid="8" name="MSIP_Label_defa4170-0d19-0005-0004-bc88714345d2_ContentBits">
    <vt:lpwstr>0</vt:lpwstr>
  </property>
  <property fmtid="{D5CDD505-2E9C-101B-9397-08002B2CF9AE}" pid="9" name="ContentTypeId">
    <vt:lpwstr>0x010100598070878C79D4408E9B8E13FB885CC9</vt:lpwstr>
  </property>
  <property fmtid="{D5CDD505-2E9C-101B-9397-08002B2CF9AE}" pid="10" name="MediaServiceImageTags">
    <vt:lpwstr/>
  </property>
</Properties>
</file>