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D2C7" w14:textId="130678C2" w:rsidR="00BD5D9C" w:rsidRDefault="005E3D87" w:rsidP="00B073C7">
      <w:pPr>
        <w:spacing w:after="0" w:line="240" w:lineRule="auto"/>
        <w:ind w:right="634"/>
        <w:rPr>
          <w:rFonts w:ascii="Times New Roman" w:hAnsi="Times New Roman" w:cs="Times New Roman"/>
          <w:iCs/>
          <w:sz w:val="24"/>
          <w:szCs w:val="24"/>
        </w:rPr>
      </w:pPr>
      <w:r>
        <w:rPr>
          <w:rFonts w:ascii="Times New Roman" w:hAnsi="Times New Roman" w:cs="Times New Roman"/>
          <w:i/>
          <w:sz w:val="24"/>
          <w:szCs w:val="24"/>
        </w:rPr>
        <w:t>Acho Dene Koe First Nation v Paramount Resources Ltd,</w:t>
      </w:r>
      <w:r w:rsidR="00BD5D9C" w:rsidRPr="00D053FB">
        <w:rPr>
          <w:rFonts w:ascii="Times New Roman" w:hAnsi="Times New Roman" w:cs="Times New Roman"/>
          <w:i/>
          <w:sz w:val="24"/>
          <w:szCs w:val="24"/>
        </w:rPr>
        <w:t xml:space="preserve"> </w:t>
      </w:r>
      <w:r w:rsidR="00BD5D9C" w:rsidRPr="00D053FB">
        <w:rPr>
          <w:rFonts w:ascii="Times New Roman" w:hAnsi="Times New Roman" w:cs="Times New Roman"/>
          <w:iCs/>
          <w:sz w:val="24"/>
          <w:szCs w:val="24"/>
        </w:rPr>
        <w:t>20</w:t>
      </w:r>
      <w:r>
        <w:rPr>
          <w:rFonts w:ascii="Times New Roman" w:hAnsi="Times New Roman" w:cs="Times New Roman"/>
          <w:iCs/>
          <w:sz w:val="24"/>
          <w:szCs w:val="24"/>
        </w:rPr>
        <w:t xml:space="preserve">25 </w:t>
      </w:r>
      <w:r w:rsidR="00BD5D9C" w:rsidRPr="00D053FB">
        <w:rPr>
          <w:rFonts w:ascii="Times New Roman" w:hAnsi="Times New Roman" w:cs="Times New Roman"/>
          <w:iCs/>
          <w:sz w:val="24"/>
          <w:szCs w:val="24"/>
        </w:rPr>
        <w:t xml:space="preserve">NWTSC </w:t>
      </w:r>
      <w:r w:rsidR="00B32978">
        <w:rPr>
          <w:rFonts w:ascii="Times New Roman" w:hAnsi="Times New Roman" w:cs="Times New Roman"/>
          <w:iCs/>
          <w:sz w:val="24"/>
          <w:szCs w:val="24"/>
        </w:rPr>
        <w:t>65</w:t>
      </w:r>
    </w:p>
    <w:p w14:paraId="789A4625" w14:textId="77777777" w:rsidR="00F17715" w:rsidRPr="00D053FB" w:rsidRDefault="00F17715" w:rsidP="00B073C7">
      <w:pPr>
        <w:spacing w:after="0" w:line="240" w:lineRule="auto"/>
        <w:ind w:right="634"/>
        <w:rPr>
          <w:rFonts w:ascii="Times New Roman" w:hAnsi="Times New Roman" w:cs="Times New Roman"/>
          <w:iCs/>
          <w:sz w:val="24"/>
          <w:szCs w:val="24"/>
        </w:rPr>
      </w:pPr>
    </w:p>
    <w:p w14:paraId="7BD203EA" w14:textId="0A1169DC" w:rsidR="00BD5D9C" w:rsidRPr="00D053FB" w:rsidRDefault="00BD5D9C" w:rsidP="00BD5D9C">
      <w:pPr>
        <w:spacing w:after="0" w:line="240" w:lineRule="auto"/>
        <w:jc w:val="right"/>
        <w:rPr>
          <w:rFonts w:ascii="Times New Roman" w:hAnsi="Times New Roman" w:cs="Times New Roman"/>
          <w:sz w:val="28"/>
          <w:szCs w:val="28"/>
        </w:rPr>
      </w:pPr>
      <w:r w:rsidRPr="00D053FB">
        <w:rPr>
          <w:rFonts w:ascii="Times New Roman" w:hAnsi="Times New Roman" w:cs="Times New Roman"/>
          <w:sz w:val="28"/>
          <w:szCs w:val="28"/>
        </w:rPr>
        <w:fldChar w:fldCharType="begin"/>
      </w:r>
      <w:r w:rsidRPr="00D053FB">
        <w:rPr>
          <w:rFonts w:ascii="Times New Roman" w:hAnsi="Times New Roman" w:cs="Times New Roman"/>
          <w:sz w:val="28"/>
          <w:szCs w:val="28"/>
        </w:rPr>
        <w:instrText xml:space="preserve"> SEQ CHAPTER \h \r 1</w:instrText>
      </w:r>
      <w:r w:rsidRPr="00D053FB">
        <w:rPr>
          <w:rFonts w:ascii="Times New Roman" w:hAnsi="Times New Roman" w:cs="Times New Roman"/>
          <w:sz w:val="28"/>
          <w:szCs w:val="28"/>
        </w:rPr>
        <w:fldChar w:fldCharType="end"/>
      </w:r>
      <w:r w:rsidRPr="00D053FB">
        <w:rPr>
          <w:rFonts w:ascii="Times New Roman" w:hAnsi="Times New Roman" w:cs="Times New Roman"/>
          <w:sz w:val="28"/>
          <w:szCs w:val="28"/>
        </w:rPr>
        <w:t xml:space="preserve">Date: </w:t>
      </w:r>
      <w:bookmarkStart w:id="0" w:name="1"/>
      <w:bookmarkEnd w:id="0"/>
      <w:r w:rsidRPr="00D053FB">
        <w:rPr>
          <w:rFonts w:ascii="Times New Roman" w:hAnsi="Times New Roman" w:cs="Times New Roman"/>
          <w:sz w:val="28"/>
          <w:szCs w:val="28"/>
        </w:rPr>
        <w:t xml:space="preserve"> 2025</w:t>
      </w:r>
      <w:r w:rsidR="005E3D87">
        <w:rPr>
          <w:rFonts w:ascii="Times New Roman" w:hAnsi="Times New Roman" w:cs="Times New Roman"/>
          <w:sz w:val="28"/>
          <w:szCs w:val="28"/>
        </w:rPr>
        <w:t>-09</w:t>
      </w:r>
      <w:r w:rsidRPr="00E01CC6">
        <w:rPr>
          <w:rFonts w:ascii="Times New Roman" w:hAnsi="Times New Roman" w:cs="Times New Roman"/>
          <w:sz w:val="28"/>
          <w:szCs w:val="28"/>
        </w:rPr>
        <w:t>-</w:t>
      </w:r>
      <w:r w:rsidR="00E01CC6">
        <w:rPr>
          <w:rFonts w:ascii="Times New Roman" w:hAnsi="Times New Roman" w:cs="Times New Roman"/>
          <w:sz w:val="28"/>
          <w:szCs w:val="28"/>
        </w:rPr>
        <w:t>12</w:t>
      </w:r>
    </w:p>
    <w:p w14:paraId="42ED304D" w14:textId="1781F539" w:rsidR="00BD5D9C" w:rsidRPr="00D053FB" w:rsidRDefault="00BD5D9C" w:rsidP="00BD5D9C">
      <w:pPr>
        <w:spacing w:after="0" w:line="240" w:lineRule="auto"/>
        <w:jc w:val="right"/>
        <w:rPr>
          <w:rFonts w:ascii="Times New Roman" w:hAnsi="Times New Roman" w:cs="Times New Roman"/>
          <w:sz w:val="28"/>
          <w:szCs w:val="28"/>
        </w:rPr>
      </w:pPr>
      <w:r w:rsidRPr="00D053FB">
        <w:rPr>
          <w:rFonts w:ascii="Times New Roman" w:hAnsi="Times New Roman" w:cs="Times New Roman"/>
          <w:sz w:val="28"/>
          <w:szCs w:val="28"/>
        </w:rPr>
        <w:t>S</w:t>
      </w:r>
      <w:r w:rsidR="005E3D87">
        <w:rPr>
          <w:rFonts w:ascii="Times New Roman" w:hAnsi="Times New Roman" w:cs="Times New Roman"/>
          <w:sz w:val="28"/>
          <w:szCs w:val="28"/>
        </w:rPr>
        <w:t>-1-CV-2020-000</w:t>
      </w:r>
      <w:r w:rsidR="00E01CC6">
        <w:rPr>
          <w:rFonts w:ascii="Times New Roman" w:hAnsi="Times New Roman" w:cs="Times New Roman"/>
          <w:sz w:val="28"/>
          <w:szCs w:val="28"/>
        </w:rPr>
        <w:t xml:space="preserve"> </w:t>
      </w:r>
      <w:r w:rsidR="005E3D87">
        <w:rPr>
          <w:rFonts w:ascii="Times New Roman" w:hAnsi="Times New Roman" w:cs="Times New Roman"/>
          <w:sz w:val="28"/>
          <w:szCs w:val="28"/>
        </w:rPr>
        <w:t>239</w:t>
      </w:r>
    </w:p>
    <w:p w14:paraId="2062E366" w14:textId="77777777" w:rsidR="00BD5D9C" w:rsidRPr="00D053FB" w:rsidRDefault="00BD5D9C" w:rsidP="00BD5D9C">
      <w:pPr>
        <w:spacing w:after="0" w:line="240" w:lineRule="auto"/>
        <w:jc w:val="right"/>
        <w:rPr>
          <w:rFonts w:ascii="Times New Roman" w:hAnsi="Times New Roman" w:cs="Times New Roman"/>
          <w:sz w:val="28"/>
          <w:szCs w:val="28"/>
        </w:rPr>
      </w:pPr>
    </w:p>
    <w:p w14:paraId="0CBA8957" w14:textId="77777777" w:rsidR="00BD5D9C" w:rsidRPr="005B3C55" w:rsidRDefault="00BD5D9C" w:rsidP="00BD5D9C">
      <w:pPr>
        <w:spacing w:line="240" w:lineRule="auto"/>
        <w:jc w:val="center"/>
        <w:rPr>
          <w:rFonts w:ascii="Times New Roman" w:hAnsi="Times New Roman" w:cs="Times New Roman"/>
          <w:b/>
          <w:bCs/>
          <w:sz w:val="28"/>
          <w:szCs w:val="28"/>
        </w:rPr>
      </w:pPr>
      <w:r w:rsidRPr="005B3C55">
        <w:rPr>
          <w:rFonts w:ascii="Times New Roman" w:hAnsi="Times New Roman" w:cs="Times New Roman"/>
          <w:b/>
          <w:bCs/>
          <w:sz w:val="28"/>
          <w:szCs w:val="28"/>
        </w:rPr>
        <w:t>IN THE SUPREME COURT OF THE NORTHWEST TERRITORIES</w:t>
      </w:r>
    </w:p>
    <w:p w14:paraId="6B337471" w14:textId="77777777" w:rsidR="00BD5D9C" w:rsidRPr="005B3C55" w:rsidRDefault="00BD5D9C" w:rsidP="00BD5D9C">
      <w:pPr>
        <w:spacing w:line="240" w:lineRule="auto"/>
        <w:rPr>
          <w:rFonts w:ascii="Times New Roman" w:hAnsi="Times New Roman" w:cs="Times New Roman"/>
          <w:b/>
          <w:bCs/>
          <w:sz w:val="28"/>
          <w:szCs w:val="28"/>
        </w:rPr>
      </w:pPr>
      <w:r w:rsidRPr="005B3C55">
        <w:rPr>
          <w:rFonts w:ascii="Times New Roman" w:hAnsi="Times New Roman" w:cs="Times New Roman"/>
          <w:b/>
          <w:bCs/>
          <w:sz w:val="28"/>
          <w:szCs w:val="28"/>
        </w:rPr>
        <w:t>BETWEEN:</w:t>
      </w:r>
    </w:p>
    <w:p w14:paraId="300708D7" w14:textId="329871DD" w:rsidR="00BD5D9C" w:rsidRPr="00D053FB" w:rsidRDefault="00BD5D9C" w:rsidP="00BD5D9C">
      <w:pPr>
        <w:spacing w:line="240" w:lineRule="auto"/>
        <w:jc w:val="center"/>
        <w:rPr>
          <w:rFonts w:ascii="Times New Roman" w:hAnsi="Times New Roman" w:cs="Times New Roman"/>
          <w:sz w:val="28"/>
          <w:szCs w:val="28"/>
        </w:rPr>
      </w:pPr>
      <w:r w:rsidRPr="00D053FB">
        <w:rPr>
          <w:rFonts w:ascii="Times New Roman" w:hAnsi="Times New Roman" w:cs="Times New Roman"/>
          <w:sz w:val="28"/>
          <w:szCs w:val="28"/>
        </w:rPr>
        <w:t>ACHO DENE KOE FIRST NATION</w:t>
      </w:r>
    </w:p>
    <w:p w14:paraId="18EAE844" w14:textId="6FBA2477" w:rsidR="00BD5D9C" w:rsidRPr="00D053FB" w:rsidRDefault="00BD5D9C" w:rsidP="00BD5D9C">
      <w:pPr>
        <w:spacing w:line="240" w:lineRule="auto"/>
        <w:contextualSpacing/>
        <w:jc w:val="right"/>
        <w:rPr>
          <w:rFonts w:ascii="Times New Roman" w:eastAsia="Calibri" w:hAnsi="Times New Roman" w:cs="Times New Roman"/>
          <w:sz w:val="28"/>
          <w:szCs w:val="28"/>
        </w:rPr>
      </w:pPr>
      <w:r w:rsidRPr="00D053FB">
        <w:rPr>
          <w:rFonts w:ascii="Times New Roman" w:eastAsia="Calibri" w:hAnsi="Times New Roman" w:cs="Times New Roman"/>
          <w:sz w:val="28"/>
          <w:szCs w:val="28"/>
        </w:rPr>
        <w:t>Plaintiff/Applicant</w:t>
      </w:r>
    </w:p>
    <w:p w14:paraId="06DD291C" w14:textId="77777777" w:rsidR="00BD5D9C" w:rsidRPr="00D053FB" w:rsidRDefault="00BD5D9C" w:rsidP="00BD5D9C">
      <w:pPr>
        <w:spacing w:line="240" w:lineRule="auto"/>
        <w:jc w:val="center"/>
        <w:rPr>
          <w:rFonts w:ascii="Times New Roman" w:hAnsi="Times New Roman" w:cs="Times New Roman"/>
          <w:sz w:val="28"/>
          <w:szCs w:val="28"/>
        </w:rPr>
      </w:pPr>
    </w:p>
    <w:p w14:paraId="6D7ED7AF" w14:textId="77777777" w:rsidR="00BD5D9C" w:rsidRPr="00D053FB" w:rsidRDefault="00BD5D9C" w:rsidP="00BD5D9C">
      <w:pPr>
        <w:spacing w:line="240" w:lineRule="auto"/>
        <w:jc w:val="center"/>
        <w:rPr>
          <w:rFonts w:ascii="Times New Roman" w:hAnsi="Times New Roman" w:cs="Times New Roman"/>
          <w:sz w:val="28"/>
          <w:szCs w:val="28"/>
        </w:rPr>
      </w:pPr>
      <w:r w:rsidRPr="00D053FB">
        <w:rPr>
          <w:rFonts w:ascii="Times New Roman" w:hAnsi="Times New Roman" w:cs="Times New Roman"/>
          <w:sz w:val="28"/>
          <w:szCs w:val="28"/>
        </w:rPr>
        <w:t>-and-</w:t>
      </w:r>
    </w:p>
    <w:p w14:paraId="36253D7A" w14:textId="77777777" w:rsidR="00BD5D9C" w:rsidRPr="00D053FB" w:rsidRDefault="00BD5D9C" w:rsidP="00BD5D9C">
      <w:pPr>
        <w:spacing w:line="240" w:lineRule="auto"/>
        <w:jc w:val="center"/>
        <w:rPr>
          <w:rFonts w:ascii="Times New Roman" w:hAnsi="Times New Roman" w:cs="Times New Roman"/>
          <w:sz w:val="28"/>
          <w:szCs w:val="28"/>
        </w:rPr>
      </w:pPr>
    </w:p>
    <w:p w14:paraId="4DB4302F" w14:textId="4F79C04F" w:rsidR="00BD5D9C" w:rsidRDefault="00BD5D9C" w:rsidP="00BD5D9C">
      <w:pPr>
        <w:spacing w:line="240" w:lineRule="auto"/>
        <w:jc w:val="center"/>
        <w:rPr>
          <w:rFonts w:ascii="Times New Roman" w:hAnsi="Times New Roman" w:cs="Times New Roman"/>
          <w:sz w:val="28"/>
          <w:szCs w:val="28"/>
        </w:rPr>
      </w:pPr>
      <w:r w:rsidRPr="00D053FB">
        <w:rPr>
          <w:rFonts w:ascii="Times New Roman" w:hAnsi="Times New Roman" w:cs="Times New Roman"/>
          <w:sz w:val="28"/>
          <w:szCs w:val="28"/>
        </w:rPr>
        <w:t>PARAMOUNT RESOURCES LTD.</w:t>
      </w:r>
    </w:p>
    <w:p w14:paraId="14A96420" w14:textId="74B06469" w:rsidR="00BD5D9C" w:rsidRPr="00D053FB" w:rsidRDefault="00BD5D9C" w:rsidP="00BD5D9C">
      <w:pPr>
        <w:spacing w:line="240" w:lineRule="auto"/>
        <w:contextualSpacing/>
        <w:jc w:val="right"/>
        <w:rPr>
          <w:rFonts w:ascii="Times New Roman" w:hAnsi="Times New Roman" w:cs="Times New Roman"/>
          <w:sz w:val="28"/>
          <w:szCs w:val="28"/>
        </w:rPr>
      </w:pPr>
      <w:r w:rsidRPr="00D053FB">
        <w:rPr>
          <w:rFonts w:ascii="Times New Roman" w:hAnsi="Times New Roman" w:cs="Times New Roman"/>
          <w:sz w:val="28"/>
          <w:szCs w:val="28"/>
        </w:rPr>
        <w:t>Defendant/Respondent</w:t>
      </w:r>
    </w:p>
    <w:p w14:paraId="70E4F267" w14:textId="77777777" w:rsidR="00BD5D9C" w:rsidRPr="00D053FB" w:rsidRDefault="00BD5D9C" w:rsidP="00BD5D9C">
      <w:pPr>
        <w:spacing w:after="0" w:line="240" w:lineRule="auto"/>
        <w:jc w:val="both"/>
        <w:rPr>
          <w:rFonts w:ascii="Times New Roman" w:hAnsi="Times New Roman" w:cs="Times New Roman"/>
          <w:b/>
          <w:sz w:val="28"/>
          <w:szCs w:val="28"/>
        </w:rPr>
      </w:pPr>
    </w:p>
    <w:p w14:paraId="1A344D56" w14:textId="77777777" w:rsidR="00BD5D9C" w:rsidRPr="00D053FB" w:rsidRDefault="00BD5D9C" w:rsidP="00BD5D9C">
      <w:pPr>
        <w:spacing w:after="0" w:line="240" w:lineRule="auto"/>
        <w:jc w:val="both"/>
        <w:rPr>
          <w:rFonts w:ascii="Times New Roman" w:hAnsi="Times New Roman" w:cs="Times New Roman"/>
          <w:b/>
          <w:sz w:val="28"/>
          <w:szCs w:val="28"/>
        </w:rPr>
      </w:pPr>
    </w:p>
    <w:p w14:paraId="5FF0D77B" w14:textId="77777777" w:rsidR="006E45F5" w:rsidRPr="006E45F5" w:rsidRDefault="00BD5D9C" w:rsidP="00135F1E">
      <w:pPr>
        <w:spacing w:after="0"/>
        <w:jc w:val="center"/>
        <w:rPr>
          <w:rFonts w:ascii="Times New Roman" w:hAnsi="Times New Roman" w:cs="Times New Roman"/>
          <w:b/>
          <w:sz w:val="28"/>
          <w:szCs w:val="28"/>
        </w:rPr>
      </w:pPr>
      <w:r w:rsidRPr="006E45F5">
        <w:rPr>
          <w:rFonts w:ascii="Times New Roman" w:hAnsi="Times New Roman" w:cs="Times New Roman"/>
          <w:b/>
          <w:sz w:val="28"/>
          <w:szCs w:val="28"/>
        </w:rPr>
        <w:t xml:space="preserve">MEMORANDUM OF JUDGMENT  </w:t>
      </w:r>
    </w:p>
    <w:p w14:paraId="63878FB7" w14:textId="302A4048" w:rsidR="00BD5D9C" w:rsidRPr="00D053FB" w:rsidRDefault="006E45F5" w:rsidP="00135F1E">
      <w:pPr>
        <w:spacing w:after="0"/>
        <w:jc w:val="center"/>
        <w:rPr>
          <w:rFonts w:ascii="Times New Roman" w:hAnsi="Times New Roman" w:cs="Times New Roman"/>
          <w:b/>
          <w:sz w:val="28"/>
          <w:szCs w:val="28"/>
        </w:rPr>
      </w:pPr>
      <w:r w:rsidRPr="006E45F5">
        <w:rPr>
          <w:rFonts w:ascii="Times New Roman" w:hAnsi="Times New Roman" w:cs="Times New Roman"/>
          <w:b/>
          <w:sz w:val="28"/>
          <w:szCs w:val="28"/>
        </w:rPr>
        <w:t>ON SUMMARY JUDGMENT APPLICATION</w:t>
      </w:r>
    </w:p>
    <w:p w14:paraId="62A73C57" w14:textId="77777777" w:rsidR="00BD5D9C" w:rsidRPr="00D053FB" w:rsidRDefault="00BD5D9C" w:rsidP="00BD5D9C">
      <w:pPr>
        <w:pStyle w:val="ListParagraph"/>
        <w:spacing w:after="0" w:line="240" w:lineRule="auto"/>
        <w:ind w:left="0"/>
        <w:jc w:val="both"/>
        <w:rPr>
          <w:rFonts w:ascii="Times New Roman" w:hAnsi="Times New Roman" w:cs="Times New Roman"/>
          <w:b/>
          <w:sz w:val="28"/>
          <w:szCs w:val="28"/>
        </w:rPr>
      </w:pPr>
    </w:p>
    <w:p w14:paraId="44C2CA32" w14:textId="77777777" w:rsidR="00BD5D9C" w:rsidRPr="00D053FB" w:rsidRDefault="00BD5D9C" w:rsidP="00BD5D9C">
      <w:pPr>
        <w:pStyle w:val="ListParagraph"/>
        <w:spacing w:after="0" w:line="240" w:lineRule="auto"/>
        <w:ind w:left="0"/>
        <w:jc w:val="both"/>
        <w:rPr>
          <w:rFonts w:ascii="Times New Roman" w:hAnsi="Times New Roman" w:cs="Times New Roman"/>
          <w:b/>
          <w:sz w:val="28"/>
          <w:szCs w:val="28"/>
        </w:rPr>
      </w:pPr>
      <w:r w:rsidRPr="00D053FB">
        <w:rPr>
          <w:rFonts w:ascii="Times New Roman" w:hAnsi="Times New Roman" w:cs="Times New Roman"/>
          <w:b/>
          <w:sz w:val="28"/>
          <w:szCs w:val="28"/>
        </w:rPr>
        <w:t>OVERVIEW</w:t>
      </w:r>
    </w:p>
    <w:p w14:paraId="7FD3ABEA" w14:textId="77777777" w:rsidR="00BD5D9C" w:rsidRPr="00D053FB" w:rsidRDefault="00BD5D9C" w:rsidP="00BD5D9C">
      <w:pPr>
        <w:pStyle w:val="ListParagraph"/>
        <w:spacing w:after="0" w:line="240" w:lineRule="auto"/>
        <w:ind w:left="0"/>
        <w:jc w:val="both"/>
        <w:rPr>
          <w:rFonts w:ascii="Times New Roman" w:hAnsi="Times New Roman" w:cs="Times New Roman"/>
          <w:bCs/>
          <w:sz w:val="28"/>
          <w:szCs w:val="28"/>
        </w:rPr>
      </w:pPr>
    </w:p>
    <w:p w14:paraId="6A947734" w14:textId="3F34D357" w:rsidR="00C222E2" w:rsidRPr="00D053FB" w:rsidRDefault="00621320" w:rsidP="002E1A09">
      <w:pPr>
        <w:pStyle w:val="ListParagraph"/>
        <w:numPr>
          <w:ilvl w:val="0"/>
          <w:numId w:val="1"/>
        </w:numPr>
        <w:spacing w:after="0" w:line="240" w:lineRule="auto"/>
        <w:contextualSpacing w:val="0"/>
        <w:jc w:val="both"/>
        <w:rPr>
          <w:rFonts w:ascii="Times New Roman" w:hAnsi="Times New Roman" w:cs="Times New Roman"/>
          <w:bCs/>
          <w:sz w:val="28"/>
          <w:szCs w:val="28"/>
        </w:rPr>
      </w:pPr>
      <w:r w:rsidRPr="00D053FB">
        <w:rPr>
          <w:rFonts w:ascii="Times New Roman" w:hAnsi="Times New Roman" w:cs="Times New Roman"/>
          <w:bCs/>
          <w:sz w:val="28"/>
          <w:szCs w:val="28"/>
        </w:rPr>
        <w:t xml:space="preserve">In 1999, </w:t>
      </w:r>
      <w:r w:rsidR="00E91A8E" w:rsidRPr="00D053FB">
        <w:rPr>
          <w:rFonts w:ascii="Times New Roman" w:hAnsi="Times New Roman" w:cs="Times New Roman"/>
          <w:bCs/>
          <w:sz w:val="28"/>
          <w:szCs w:val="28"/>
        </w:rPr>
        <w:t xml:space="preserve">the </w:t>
      </w:r>
      <w:r w:rsidRPr="00D053FB">
        <w:rPr>
          <w:rFonts w:ascii="Times New Roman" w:hAnsi="Times New Roman" w:cs="Times New Roman"/>
          <w:bCs/>
          <w:sz w:val="28"/>
          <w:szCs w:val="28"/>
        </w:rPr>
        <w:t>Acho Dene Koe First Nation</w:t>
      </w:r>
      <w:r w:rsidR="002C79BC" w:rsidRPr="00D053FB">
        <w:rPr>
          <w:rFonts w:ascii="Times New Roman" w:hAnsi="Times New Roman" w:cs="Times New Roman"/>
          <w:bCs/>
          <w:sz w:val="28"/>
          <w:szCs w:val="28"/>
        </w:rPr>
        <w:t xml:space="preserve"> (ADK)</w:t>
      </w:r>
      <w:r w:rsidR="00B569E2" w:rsidRPr="00D053FB">
        <w:rPr>
          <w:rFonts w:ascii="Times New Roman" w:hAnsi="Times New Roman" w:cs="Times New Roman"/>
          <w:bCs/>
          <w:sz w:val="28"/>
          <w:szCs w:val="28"/>
        </w:rPr>
        <w:t xml:space="preserve"> </w:t>
      </w:r>
      <w:r w:rsidR="00965E63" w:rsidRPr="00D053FB">
        <w:rPr>
          <w:rFonts w:ascii="Times New Roman" w:hAnsi="Times New Roman" w:cs="Times New Roman"/>
          <w:bCs/>
          <w:sz w:val="28"/>
          <w:szCs w:val="28"/>
        </w:rPr>
        <w:t>and Paramount Resources Ltd. (Paramount)</w:t>
      </w:r>
      <w:r w:rsidR="005C153A" w:rsidRPr="00D053FB">
        <w:rPr>
          <w:rFonts w:ascii="Times New Roman" w:hAnsi="Times New Roman" w:cs="Times New Roman"/>
          <w:bCs/>
          <w:sz w:val="28"/>
          <w:szCs w:val="28"/>
        </w:rPr>
        <w:t xml:space="preserve">, </w:t>
      </w:r>
      <w:r w:rsidR="00323763" w:rsidRPr="00D053FB">
        <w:rPr>
          <w:rFonts w:ascii="Times New Roman" w:hAnsi="Times New Roman" w:cs="Times New Roman"/>
          <w:bCs/>
          <w:sz w:val="28"/>
          <w:szCs w:val="28"/>
        </w:rPr>
        <w:t xml:space="preserve">a </w:t>
      </w:r>
      <w:r w:rsidR="00127C3E" w:rsidRPr="00D053FB">
        <w:rPr>
          <w:rFonts w:ascii="Times New Roman" w:hAnsi="Times New Roman" w:cs="Times New Roman"/>
          <w:bCs/>
          <w:sz w:val="28"/>
          <w:szCs w:val="28"/>
        </w:rPr>
        <w:t xml:space="preserve">corporate </w:t>
      </w:r>
      <w:r w:rsidR="00334DAC">
        <w:rPr>
          <w:rFonts w:ascii="Times New Roman" w:hAnsi="Times New Roman" w:cs="Times New Roman"/>
          <w:bCs/>
          <w:sz w:val="28"/>
          <w:szCs w:val="28"/>
        </w:rPr>
        <w:t xml:space="preserve">body </w:t>
      </w:r>
      <w:r w:rsidR="00232BBF" w:rsidRPr="00D053FB">
        <w:rPr>
          <w:rFonts w:ascii="Times New Roman" w:hAnsi="Times New Roman" w:cs="Times New Roman"/>
          <w:bCs/>
          <w:sz w:val="28"/>
          <w:szCs w:val="28"/>
        </w:rPr>
        <w:t xml:space="preserve">involved in </w:t>
      </w:r>
      <w:r w:rsidR="00506381" w:rsidRPr="00D053FB">
        <w:rPr>
          <w:rFonts w:ascii="Times New Roman" w:hAnsi="Times New Roman" w:cs="Times New Roman"/>
          <w:bCs/>
          <w:sz w:val="28"/>
          <w:szCs w:val="28"/>
        </w:rPr>
        <w:t xml:space="preserve">the </w:t>
      </w:r>
      <w:r w:rsidR="00232BBF" w:rsidRPr="00D053FB">
        <w:rPr>
          <w:rFonts w:ascii="Times New Roman" w:hAnsi="Times New Roman" w:cs="Times New Roman"/>
          <w:bCs/>
          <w:sz w:val="28"/>
          <w:szCs w:val="28"/>
        </w:rPr>
        <w:t>production of</w:t>
      </w:r>
      <w:r w:rsidR="00127C3E" w:rsidRPr="00D053FB">
        <w:rPr>
          <w:rFonts w:ascii="Times New Roman" w:hAnsi="Times New Roman" w:cs="Times New Roman"/>
          <w:bCs/>
          <w:sz w:val="28"/>
          <w:szCs w:val="28"/>
        </w:rPr>
        <w:t xml:space="preserve"> </w:t>
      </w:r>
      <w:r w:rsidR="00232BBF" w:rsidRPr="00D053FB">
        <w:rPr>
          <w:rFonts w:ascii="Times New Roman" w:hAnsi="Times New Roman" w:cs="Times New Roman"/>
          <w:bCs/>
          <w:sz w:val="28"/>
          <w:szCs w:val="28"/>
        </w:rPr>
        <w:t xml:space="preserve">petroleum and natural gas, </w:t>
      </w:r>
      <w:r w:rsidR="00643FCC" w:rsidRPr="00D053FB">
        <w:rPr>
          <w:rFonts w:ascii="Times New Roman" w:hAnsi="Times New Roman" w:cs="Times New Roman"/>
          <w:bCs/>
          <w:sz w:val="28"/>
          <w:szCs w:val="28"/>
        </w:rPr>
        <w:t xml:space="preserve">entered into a </w:t>
      </w:r>
      <w:r w:rsidR="0080313B" w:rsidRPr="00D053FB">
        <w:rPr>
          <w:rFonts w:ascii="Times New Roman" w:hAnsi="Times New Roman" w:cs="Times New Roman"/>
          <w:bCs/>
          <w:sz w:val="28"/>
          <w:szCs w:val="28"/>
        </w:rPr>
        <w:t xml:space="preserve">Community Investment Plan </w:t>
      </w:r>
      <w:r w:rsidR="00334DAC">
        <w:rPr>
          <w:rFonts w:ascii="Times New Roman" w:hAnsi="Times New Roman" w:cs="Times New Roman"/>
          <w:bCs/>
          <w:sz w:val="28"/>
          <w:szCs w:val="28"/>
        </w:rPr>
        <w:t>A</w:t>
      </w:r>
      <w:r w:rsidR="0080313B" w:rsidRPr="00D053FB">
        <w:rPr>
          <w:rFonts w:ascii="Times New Roman" w:hAnsi="Times New Roman" w:cs="Times New Roman"/>
          <w:bCs/>
          <w:sz w:val="28"/>
          <w:szCs w:val="28"/>
        </w:rPr>
        <w:t>greement (</w:t>
      </w:r>
      <w:r w:rsidR="006F4D25">
        <w:rPr>
          <w:rFonts w:ascii="Times New Roman" w:hAnsi="Times New Roman" w:cs="Times New Roman"/>
          <w:bCs/>
          <w:sz w:val="28"/>
          <w:szCs w:val="28"/>
        </w:rPr>
        <w:t>the</w:t>
      </w:r>
      <w:r w:rsidR="00204D92">
        <w:rPr>
          <w:rFonts w:ascii="Times New Roman" w:hAnsi="Times New Roman" w:cs="Times New Roman"/>
          <w:bCs/>
          <w:sz w:val="28"/>
          <w:szCs w:val="28"/>
        </w:rPr>
        <w:t xml:space="preserve"> </w:t>
      </w:r>
      <w:r w:rsidR="0080313B" w:rsidRPr="00D053FB">
        <w:rPr>
          <w:rFonts w:ascii="Times New Roman" w:hAnsi="Times New Roman" w:cs="Times New Roman"/>
          <w:bCs/>
          <w:sz w:val="28"/>
          <w:szCs w:val="28"/>
        </w:rPr>
        <w:t>CIP</w:t>
      </w:r>
      <w:r w:rsidR="006F4D25">
        <w:rPr>
          <w:rFonts w:ascii="Times New Roman" w:hAnsi="Times New Roman" w:cs="Times New Roman"/>
          <w:bCs/>
          <w:sz w:val="28"/>
          <w:szCs w:val="28"/>
        </w:rPr>
        <w:t xml:space="preserve"> Agreement</w:t>
      </w:r>
      <w:r w:rsidR="0080313B" w:rsidRPr="00D053FB">
        <w:rPr>
          <w:rFonts w:ascii="Times New Roman" w:hAnsi="Times New Roman" w:cs="Times New Roman"/>
          <w:bCs/>
          <w:sz w:val="28"/>
          <w:szCs w:val="28"/>
        </w:rPr>
        <w:t>)</w:t>
      </w:r>
      <w:r w:rsidR="00875171" w:rsidRPr="00D053FB">
        <w:rPr>
          <w:rFonts w:ascii="Times New Roman" w:hAnsi="Times New Roman" w:cs="Times New Roman"/>
          <w:bCs/>
          <w:sz w:val="28"/>
          <w:szCs w:val="28"/>
        </w:rPr>
        <w:t>.</w:t>
      </w:r>
      <w:r w:rsidR="002E1A09" w:rsidRPr="00D053FB">
        <w:rPr>
          <w:rFonts w:ascii="Times New Roman" w:hAnsi="Times New Roman" w:cs="Times New Roman"/>
          <w:bCs/>
          <w:sz w:val="28"/>
          <w:szCs w:val="28"/>
        </w:rPr>
        <w:t xml:space="preserve"> </w:t>
      </w:r>
      <w:r w:rsidR="00C15793" w:rsidRPr="00D053FB">
        <w:rPr>
          <w:rFonts w:ascii="Times New Roman" w:hAnsi="Times New Roman" w:cs="Times New Roman"/>
          <w:bCs/>
          <w:sz w:val="28"/>
          <w:szCs w:val="28"/>
        </w:rPr>
        <w:t>In 202</w:t>
      </w:r>
      <w:r w:rsidR="0018100B">
        <w:rPr>
          <w:rFonts w:ascii="Times New Roman" w:hAnsi="Times New Roman" w:cs="Times New Roman"/>
          <w:bCs/>
          <w:sz w:val="28"/>
          <w:szCs w:val="28"/>
        </w:rPr>
        <w:t>0</w:t>
      </w:r>
      <w:r w:rsidR="00C15793" w:rsidRPr="00D053FB">
        <w:rPr>
          <w:rFonts w:ascii="Times New Roman" w:hAnsi="Times New Roman" w:cs="Times New Roman"/>
          <w:bCs/>
          <w:sz w:val="28"/>
          <w:szCs w:val="28"/>
        </w:rPr>
        <w:t xml:space="preserve">, </w:t>
      </w:r>
      <w:r w:rsidR="00BD4806" w:rsidRPr="00D053FB">
        <w:rPr>
          <w:rFonts w:ascii="Times New Roman" w:hAnsi="Times New Roman" w:cs="Times New Roman"/>
          <w:bCs/>
          <w:sz w:val="28"/>
          <w:szCs w:val="28"/>
        </w:rPr>
        <w:t xml:space="preserve">ADK </w:t>
      </w:r>
      <w:r w:rsidR="00AC605F" w:rsidRPr="00D053FB">
        <w:rPr>
          <w:rFonts w:ascii="Times New Roman" w:hAnsi="Times New Roman" w:cs="Times New Roman"/>
          <w:bCs/>
          <w:sz w:val="28"/>
          <w:szCs w:val="28"/>
        </w:rPr>
        <w:t>brought an action</w:t>
      </w:r>
      <w:r w:rsidR="00BD4806" w:rsidRPr="00D053FB">
        <w:rPr>
          <w:rFonts w:ascii="Times New Roman" w:hAnsi="Times New Roman" w:cs="Times New Roman"/>
          <w:bCs/>
          <w:sz w:val="28"/>
          <w:szCs w:val="28"/>
        </w:rPr>
        <w:t xml:space="preserve"> aga</w:t>
      </w:r>
      <w:r w:rsidR="00C15793" w:rsidRPr="00D053FB">
        <w:rPr>
          <w:rFonts w:ascii="Times New Roman" w:hAnsi="Times New Roman" w:cs="Times New Roman"/>
          <w:bCs/>
          <w:sz w:val="28"/>
          <w:szCs w:val="28"/>
        </w:rPr>
        <w:t>inst Paramount alleging Paramount breached the CIP</w:t>
      </w:r>
      <w:r w:rsidR="0003057D">
        <w:rPr>
          <w:rFonts w:ascii="Times New Roman" w:hAnsi="Times New Roman" w:cs="Times New Roman"/>
          <w:bCs/>
          <w:sz w:val="28"/>
          <w:szCs w:val="28"/>
        </w:rPr>
        <w:t xml:space="preserve"> Agreement</w:t>
      </w:r>
      <w:r w:rsidR="00864FC6">
        <w:rPr>
          <w:rFonts w:ascii="Times New Roman" w:hAnsi="Times New Roman" w:cs="Times New Roman"/>
          <w:bCs/>
          <w:sz w:val="28"/>
          <w:szCs w:val="28"/>
        </w:rPr>
        <w:t xml:space="preserve"> by failing to make annual payments of $100,000 to ADK </w:t>
      </w:r>
      <w:r w:rsidR="00D95CA0" w:rsidRPr="00A2563C">
        <w:rPr>
          <w:rFonts w:ascii="Times New Roman" w:hAnsi="Times New Roman" w:cs="Times New Roman"/>
          <w:bCs/>
          <w:sz w:val="28"/>
          <w:szCs w:val="28"/>
        </w:rPr>
        <w:t xml:space="preserve">from 2009 </w:t>
      </w:r>
      <w:r w:rsidR="00A2563C">
        <w:rPr>
          <w:rFonts w:ascii="Times New Roman" w:hAnsi="Times New Roman" w:cs="Times New Roman"/>
          <w:bCs/>
          <w:sz w:val="28"/>
          <w:szCs w:val="28"/>
        </w:rPr>
        <w:t>until the termination of the agreement in 2022</w:t>
      </w:r>
      <w:r w:rsidR="00BD4806" w:rsidRPr="00A2563C">
        <w:rPr>
          <w:rFonts w:ascii="Times New Roman" w:hAnsi="Times New Roman" w:cs="Times New Roman"/>
          <w:bCs/>
          <w:sz w:val="28"/>
          <w:szCs w:val="28"/>
        </w:rPr>
        <w:t>.</w:t>
      </w:r>
      <w:r w:rsidR="00BD4806" w:rsidRPr="00D053FB">
        <w:rPr>
          <w:rFonts w:ascii="Times New Roman" w:hAnsi="Times New Roman" w:cs="Times New Roman"/>
          <w:bCs/>
          <w:sz w:val="28"/>
          <w:szCs w:val="28"/>
        </w:rPr>
        <w:t xml:space="preserve"> </w:t>
      </w:r>
    </w:p>
    <w:p w14:paraId="1B23F8C8" w14:textId="77777777" w:rsidR="00C222E2" w:rsidRPr="00D053FB" w:rsidRDefault="00C222E2" w:rsidP="00C222E2">
      <w:pPr>
        <w:pStyle w:val="ListParagraph"/>
        <w:spacing w:after="0" w:line="240" w:lineRule="auto"/>
        <w:ind w:left="0"/>
        <w:contextualSpacing w:val="0"/>
        <w:jc w:val="both"/>
        <w:rPr>
          <w:rFonts w:ascii="Times New Roman" w:hAnsi="Times New Roman" w:cs="Times New Roman"/>
          <w:bCs/>
          <w:sz w:val="28"/>
          <w:szCs w:val="28"/>
        </w:rPr>
      </w:pPr>
    </w:p>
    <w:p w14:paraId="63E506E2" w14:textId="0F99FFDF" w:rsidR="006E45F5" w:rsidRDefault="009D502F" w:rsidP="006E45F5">
      <w:pPr>
        <w:pStyle w:val="ListParagraph"/>
        <w:numPr>
          <w:ilvl w:val="0"/>
          <w:numId w:val="1"/>
        </w:numPr>
        <w:spacing w:after="0" w:line="240" w:lineRule="auto"/>
        <w:contextualSpacing w:val="0"/>
        <w:jc w:val="both"/>
        <w:rPr>
          <w:rFonts w:ascii="Times New Roman" w:hAnsi="Times New Roman" w:cs="Times New Roman"/>
          <w:bCs/>
          <w:sz w:val="28"/>
          <w:szCs w:val="28"/>
        </w:rPr>
      </w:pPr>
      <w:r>
        <w:rPr>
          <w:rFonts w:ascii="Times New Roman" w:hAnsi="Times New Roman" w:cs="Times New Roman"/>
          <w:bCs/>
          <w:sz w:val="28"/>
          <w:szCs w:val="28"/>
        </w:rPr>
        <w:t>ADK filed an application</w:t>
      </w:r>
      <w:r w:rsidR="00C54255" w:rsidRPr="00D053FB">
        <w:rPr>
          <w:rFonts w:ascii="Times New Roman" w:hAnsi="Times New Roman" w:cs="Times New Roman"/>
          <w:bCs/>
          <w:sz w:val="28"/>
          <w:szCs w:val="28"/>
        </w:rPr>
        <w:t xml:space="preserve"> for summary judgment</w:t>
      </w:r>
      <w:r w:rsidR="002A3252">
        <w:rPr>
          <w:rFonts w:ascii="Times New Roman" w:hAnsi="Times New Roman" w:cs="Times New Roman"/>
          <w:bCs/>
          <w:sz w:val="28"/>
          <w:szCs w:val="28"/>
        </w:rPr>
        <w:t xml:space="preserve">. </w:t>
      </w:r>
      <w:r w:rsidRPr="00EC6E46">
        <w:rPr>
          <w:rFonts w:ascii="Times New Roman" w:hAnsi="Times New Roman" w:cs="Times New Roman"/>
          <w:bCs/>
          <w:sz w:val="28"/>
          <w:szCs w:val="28"/>
        </w:rPr>
        <w:t>It</w:t>
      </w:r>
      <w:r w:rsidR="0059569A">
        <w:rPr>
          <w:rFonts w:ascii="Times New Roman" w:hAnsi="Times New Roman" w:cs="Times New Roman"/>
          <w:bCs/>
          <w:sz w:val="28"/>
          <w:szCs w:val="28"/>
        </w:rPr>
        <w:t xml:space="preserve"> </w:t>
      </w:r>
      <w:r w:rsidR="002A3252">
        <w:rPr>
          <w:rFonts w:ascii="Times New Roman" w:hAnsi="Times New Roman" w:cs="Times New Roman"/>
          <w:bCs/>
          <w:sz w:val="28"/>
          <w:szCs w:val="28"/>
        </w:rPr>
        <w:t>submits</w:t>
      </w:r>
      <w:r w:rsidR="00C15793" w:rsidRPr="00D053FB">
        <w:rPr>
          <w:rFonts w:ascii="Times New Roman" w:hAnsi="Times New Roman" w:cs="Times New Roman"/>
          <w:bCs/>
          <w:sz w:val="28"/>
          <w:szCs w:val="28"/>
        </w:rPr>
        <w:t xml:space="preserve"> </w:t>
      </w:r>
      <w:r w:rsidR="00C54255" w:rsidRPr="00D053FB">
        <w:rPr>
          <w:rFonts w:ascii="Times New Roman" w:hAnsi="Times New Roman" w:cs="Times New Roman"/>
          <w:bCs/>
          <w:sz w:val="28"/>
          <w:szCs w:val="28"/>
        </w:rPr>
        <w:t>t</w:t>
      </w:r>
      <w:r w:rsidR="00993574" w:rsidRPr="00D053FB">
        <w:rPr>
          <w:rFonts w:ascii="Times New Roman" w:hAnsi="Times New Roman" w:cs="Times New Roman"/>
          <w:bCs/>
          <w:sz w:val="28"/>
          <w:szCs w:val="28"/>
        </w:rPr>
        <w:t>here is no genuine issue requiring a trial</w:t>
      </w:r>
      <w:r w:rsidR="004D5362">
        <w:rPr>
          <w:rFonts w:ascii="Times New Roman" w:hAnsi="Times New Roman" w:cs="Times New Roman"/>
          <w:bCs/>
          <w:sz w:val="28"/>
          <w:szCs w:val="28"/>
        </w:rPr>
        <w:t xml:space="preserve">. It </w:t>
      </w:r>
      <w:r w:rsidR="002A3252">
        <w:rPr>
          <w:rFonts w:ascii="Times New Roman" w:hAnsi="Times New Roman" w:cs="Times New Roman"/>
          <w:bCs/>
          <w:sz w:val="28"/>
          <w:szCs w:val="28"/>
        </w:rPr>
        <w:t>asks</w:t>
      </w:r>
      <w:r w:rsidR="0059569A">
        <w:rPr>
          <w:rFonts w:ascii="Times New Roman" w:hAnsi="Times New Roman" w:cs="Times New Roman"/>
          <w:bCs/>
          <w:sz w:val="28"/>
          <w:szCs w:val="28"/>
        </w:rPr>
        <w:t xml:space="preserve"> </w:t>
      </w:r>
      <w:r w:rsidR="0025050A" w:rsidRPr="00D053FB">
        <w:rPr>
          <w:rFonts w:ascii="Times New Roman" w:hAnsi="Times New Roman" w:cs="Times New Roman"/>
          <w:bCs/>
          <w:sz w:val="28"/>
          <w:szCs w:val="28"/>
        </w:rPr>
        <w:t xml:space="preserve">this </w:t>
      </w:r>
      <w:r w:rsidR="00113909">
        <w:rPr>
          <w:rFonts w:ascii="Times New Roman" w:hAnsi="Times New Roman" w:cs="Times New Roman"/>
          <w:bCs/>
          <w:sz w:val="28"/>
          <w:szCs w:val="28"/>
        </w:rPr>
        <w:t>C</w:t>
      </w:r>
      <w:r w:rsidR="0025050A" w:rsidRPr="00D053FB">
        <w:rPr>
          <w:rFonts w:ascii="Times New Roman" w:hAnsi="Times New Roman" w:cs="Times New Roman"/>
          <w:bCs/>
          <w:sz w:val="28"/>
          <w:szCs w:val="28"/>
        </w:rPr>
        <w:t>ourt to find</w:t>
      </w:r>
      <w:r w:rsidR="001722D4" w:rsidRPr="00D053FB">
        <w:rPr>
          <w:rFonts w:ascii="Times New Roman" w:hAnsi="Times New Roman" w:cs="Times New Roman"/>
          <w:bCs/>
          <w:sz w:val="28"/>
          <w:szCs w:val="28"/>
        </w:rPr>
        <w:t xml:space="preserve"> that Paramount breached </w:t>
      </w:r>
      <w:r w:rsidR="00850D3F" w:rsidRPr="00D053FB">
        <w:rPr>
          <w:rFonts w:ascii="Times New Roman" w:hAnsi="Times New Roman" w:cs="Times New Roman"/>
          <w:bCs/>
          <w:sz w:val="28"/>
          <w:szCs w:val="28"/>
        </w:rPr>
        <w:t>its obligation under the CIP</w:t>
      </w:r>
      <w:r w:rsidR="0003057D">
        <w:rPr>
          <w:rFonts w:ascii="Times New Roman" w:hAnsi="Times New Roman" w:cs="Times New Roman"/>
          <w:bCs/>
          <w:sz w:val="28"/>
          <w:szCs w:val="28"/>
        </w:rPr>
        <w:t xml:space="preserve"> Agreement</w:t>
      </w:r>
      <w:r w:rsidR="00170C73" w:rsidRPr="00D053FB">
        <w:rPr>
          <w:rFonts w:ascii="Times New Roman" w:hAnsi="Times New Roman" w:cs="Times New Roman"/>
          <w:bCs/>
          <w:sz w:val="28"/>
          <w:szCs w:val="28"/>
        </w:rPr>
        <w:t xml:space="preserve"> and</w:t>
      </w:r>
      <w:r w:rsidR="0003057D">
        <w:rPr>
          <w:rFonts w:ascii="Times New Roman" w:hAnsi="Times New Roman" w:cs="Times New Roman"/>
          <w:bCs/>
          <w:sz w:val="28"/>
          <w:szCs w:val="28"/>
        </w:rPr>
        <w:t xml:space="preserve"> </w:t>
      </w:r>
      <w:r w:rsidR="009B48B2">
        <w:rPr>
          <w:rFonts w:ascii="Times New Roman" w:hAnsi="Times New Roman" w:cs="Times New Roman"/>
          <w:bCs/>
          <w:sz w:val="28"/>
          <w:szCs w:val="28"/>
        </w:rPr>
        <w:t xml:space="preserve">seeks </w:t>
      </w:r>
      <w:r w:rsidR="00170C73" w:rsidRPr="00D053FB">
        <w:rPr>
          <w:rFonts w:ascii="Times New Roman" w:hAnsi="Times New Roman" w:cs="Times New Roman"/>
          <w:bCs/>
          <w:sz w:val="28"/>
          <w:szCs w:val="28"/>
        </w:rPr>
        <w:t xml:space="preserve">contractual </w:t>
      </w:r>
      <w:r w:rsidR="00850D3F" w:rsidRPr="00D053FB">
        <w:rPr>
          <w:rFonts w:ascii="Times New Roman" w:hAnsi="Times New Roman" w:cs="Times New Roman"/>
          <w:bCs/>
          <w:sz w:val="28"/>
          <w:szCs w:val="28"/>
        </w:rPr>
        <w:t>damages</w:t>
      </w:r>
      <w:r w:rsidR="00170C73" w:rsidRPr="00D053FB">
        <w:rPr>
          <w:rFonts w:ascii="Times New Roman" w:hAnsi="Times New Roman" w:cs="Times New Roman"/>
          <w:bCs/>
          <w:sz w:val="28"/>
          <w:szCs w:val="28"/>
        </w:rPr>
        <w:t xml:space="preserve">. </w:t>
      </w:r>
      <w:r w:rsidR="00E1689B">
        <w:rPr>
          <w:rFonts w:ascii="Times New Roman" w:hAnsi="Times New Roman" w:cs="Times New Roman"/>
          <w:bCs/>
          <w:sz w:val="28"/>
          <w:szCs w:val="28"/>
        </w:rPr>
        <w:t xml:space="preserve">Paramount takes the position the </w:t>
      </w:r>
      <w:r w:rsidR="00E41F73">
        <w:rPr>
          <w:rFonts w:ascii="Times New Roman" w:hAnsi="Times New Roman" w:cs="Times New Roman"/>
          <w:bCs/>
          <w:sz w:val="28"/>
          <w:szCs w:val="28"/>
        </w:rPr>
        <w:t xml:space="preserve">action is statute barred, and, in the alternative, it argues it did not breach the agreement. Paramount </w:t>
      </w:r>
      <w:r w:rsidR="0045783B">
        <w:rPr>
          <w:rFonts w:ascii="Times New Roman" w:hAnsi="Times New Roman" w:cs="Times New Roman"/>
          <w:bCs/>
          <w:sz w:val="28"/>
          <w:szCs w:val="28"/>
        </w:rPr>
        <w:t>seeks the dismissal of the action.</w:t>
      </w:r>
    </w:p>
    <w:p w14:paraId="4C5BC2BF" w14:textId="77777777" w:rsidR="00E96CA5" w:rsidRPr="00E96CA5" w:rsidRDefault="00E96CA5" w:rsidP="00E96CA5">
      <w:pPr>
        <w:pStyle w:val="ListParagraph"/>
        <w:rPr>
          <w:rFonts w:ascii="Times New Roman" w:hAnsi="Times New Roman" w:cs="Times New Roman"/>
          <w:bCs/>
          <w:sz w:val="28"/>
          <w:szCs w:val="28"/>
        </w:rPr>
      </w:pPr>
    </w:p>
    <w:p w14:paraId="5BC269A5" w14:textId="215EA3A2" w:rsidR="00E96CA5" w:rsidRPr="006E45F5" w:rsidRDefault="00E96CA5" w:rsidP="006E45F5">
      <w:pPr>
        <w:pStyle w:val="ListParagraph"/>
        <w:numPr>
          <w:ilvl w:val="0"/>
          <w:numId w:val="1"/>
        </w:numPr>
        <w:spacing w:after="0" w:line="240" w:lineRule="auto"/>
        <w:contextualSpacing w:val="0"/>
        <w:jc w:val="both"/>
        <w:rPr>
          <w:rFonts w:ascii="Times New Roman" w:hAnsi="Times New Roman" w:cs="Times New Roman"/>
          <w:bCs/>
          <w:sz w:val="28"/>
          <w:szCs w:val="28"/>
        </w:rPr>
      </w:pPr>
      <w:r w:rsidRPr="00D053FB">
        <w:rPr>
          <w:rFonts w:ascii="Times New Roman" w:hAnsi="Times New Roman" w:cs="Times New Roman"/>
          <w:bCs/>
          <w:sz w:val="28"/>
          <w:szCs w:val="28"/>
        </w:rPr>
        <w:lastRenderedPageBreak/>
        <w:t>For the following reasons,</w:t>
      </w:r>
      <w:r>
        <w:rPr>
          <w:rFonts w:ascii="Times New Roman" w:hAnsi="Times New Roman" w:cs="Times New Roman"/>
          <w:bCs/>
          <w:sz w:val="28"/>
          <w:szCs w:val="28"/>
        </w:rPr>
        <w:t xml:space="preserve"> I dismiss ADK’s application for summary judgment</w:t>
      </w:r>
      <w:r w:rsidR="0045783B">
        <w:rPr>
          <w:rFonts w:ascii="Times New Roman" w:hAnsi="Times New Roman" w:cs="Times New Roman"/>
          <w:bCs/>
          <w:sz w:val="28"/>
          <w:szCs w:val="28"/>
        </w:rPr>
        <w:t xml:space="preserve"> and I also dismiss the claim. </w:t>
      </w:r>
    </w:p>
    <w:p w14:paraId="7EBCF381" w14:textId="77777777" w:rsidR="000C2446" w:rsidRPr="00D053FB" w:rsidRDefault="000C2446" w:rsidP="00BD5D9C">
      <w:pPr>
        <w:pStyle w:val="ListParagraph"/>
        <w:spacing w:after="0" w:line="240" w:lineRule="auto"/>
        <w:ind w:left="0"/>
        <w:contextualSpacing w:val="0"/>
        <w:jc w:val="both"/>
        <w:rPr>
          <w:rFonts w:ascii="Times New Roman" w:hAnsi="Times New Roman" w:cs="Times New Roman"/>
          <w:bCs/>
          <w:sz w:val="28"/>
          <w:szCs w:val="28"/>
        </w:rPr>
      </w:pPr>
    </w:p>
    <w:p w14:paraId="1E461093" w14:textId="77777777" w:rsidR="00BD5D9C" w:rsidRPr="00D053FB" w:rsidRDefault="00BD5D9C" w:rsidP="00BD5D9C">
      <w:pPr>
        <w:pStyle w:val="ListParagraph"/>
        <w:spacing w:after="0" w:line="240" w:lineRule="auto"/>
        <w:ind w:left="0"/>
        <w:jc w:val="both"/>
        <w:rPr>
          <w:rFonts w:ascii="Times New Roman" w:hAnsi="Times New Roman" w:cs="Times New Roman"/>
          <w:b/>
          <w:bCs/>
          <w:sz w:val="28"/>
          <w:szCs w:val="28"/>
        </w:rPr>
      </w:pPr>
      <w:r w:rsidRPr="00D053FB">
        <w:rPr>
          <w:rFonts w:ascii="Times New Roman" w:hAnsi="Times New Roman" w:cs="Times New Roman"/>
          <w:b/>
          <w:bCs/>
          <w:sz w:val="28"/>
          <w:szCs w:val="28"/>
        </w:rPr>
        <w:t>BACKGROUND</w:t>
      </w:r>
    </w:p>
    <w:p w14:paraId="47DE1DFA" w14:textId="77777777" w:rsidR="00BD5D9C" w:rsidRPr="00D053FB" w:rsidRDefault="00BD5D9C" w:rsidP="00BD5D9C">
      <w:pPr>
        <w:spacing w:after="0" w:line="240" w:lineRule="auto"/>
        <w:jc w:val="both"/>
        <w:rPr>
          <w:rFonts w:ascii="Times New Roman" w:hAnsi="Times New Roman" w:cs="Times New Roman"/>
          <w:bCs/>
          <w:sz w:val="28"/>
          <w:szCs w:val="28"/>
        </w:rPr>
      </w:pPr>
    </w:p>
    <w:p w14:paraId="2CF7200F" w14:textId="60005E4B" w:rsidR="00755B4B" w:rsidRPr="00D053FB" w:rsidRDefault="00231742" w:rsidP="00755B4B">
      <w:pPr>
        <w:pStyle w:val="ListParagraph"/>
        <w:numPr>
          <w:ilvl w:val="0"/>
          <w:numId w:val="1"/>
        </w:numPr>
        <w:spacing w:after="0" w:line="240" w:lineRule="auto"/>
        <w:jc w:val="both"/>
        <w:rPr>
          <w:rFonts w:ascii="Times New Roman" w:hAnsi="Times New Roman" w:cs="Times New Roman"/>
          <w:bCs/>
          <w:sz w:val="28"/>
          <w:szCs w:val="28"/>
        </w:rPr>
      </w:pPr>
      <w:r w:rsidRPr="00D053FB">
        <w:rPr>
          <w:rFonts w:ascii="Times New Roman" w:hAnsi="Times New Roman" w:cs="Times New Roman"/>
          <w:bCs/>
          <w:sz w:val="28"/>
          <w:szCs w:val="28"/>
        </w:rPr>
        <w:t xml:space="preserve">ADK is a First Nation </w:t>
      </w:r>
      <w:r w:rsidR="0088644E" w:rsidRPr="00D053FB">
        <w:rPr>
          <w:rFonts w:ascii="Times New Roman" w:hAnsi="Times New Roman" w:cs="Times New Roman"/>
          <w:bCs/>
          <w:sz w:val="28"/>
          <w:szCs w:val="28"/>
        </w:rPr>
        <w:t>Band situat</w:t>
      </w:r>
      <w:r w:rsidR="005714F1" w:rsidRPr="00D053FB">
        <w:rPr>
          <w:rFonts w:ascii="Times New Roman" w:hAnsi="Times New Roman" w:cs="Times New Roman"/>
          <w:bCs/>
          <w:sz w:val="28"/>
          <w:szCs w:val="28"/>
        </w:rPr>
        <w:t>ed</w:t>
      </w:r>
      <w:r w:rsidR="0088644E" w:rsidRPr="00D053FB">
        <w:rPr>
          <w:rFonts w:ascii="Times New Roman" w:hAnsi="Times New Roman" w:cs="Times New Roman"/>
          <w:bCs/>
          <w:sz w:val="28"/>
          <w:szCs w:val="28"/>
        </w:rPr>
        <w:t xml:space="preserve"> in Fort Liard, Northwest Territories</w:t>
      </w:r>
      <w:r w:rsidR="00D42CF0" w:rsidRPr="00D053FB">
        <w:rPr>
          <w:rFonts w:ascii="Times New Roman" w:hAnsi="Times New Roman" w:cs="Times New Roman"/>
          <w:bCs/>
          <w:sz w:val="28"/>
          <w:szCs w:val="28"/>
        </w:rPr>
        <w:t xml:space="preserve">, with </w:t>
      </w:r>
      <w:r w:rsidR="00D42CF0" w:rsidRPr="0083223C">
        <w:rPr>
          <w:rFonts w:ascii="Times New Roman" w:hAnsi="Times New Roman" w:cs="Times New Roman"/>
          <w:bCs/>
          <w:sz w:val="28"/>
          <w:szCs w:val="28"/>
        </w:rPr>
        <w:t>settlements</w:t>
      </w:r>
      <w:r w:rsidR="00D42CF0" w:rsidRPr="00D053FB">
        <w:rPr>
          <w:rFonts w:ascii="Times New Roman" w:hAnsi="Times New Roman" w:cs="Times New Roman"/>
          <w:bCs/>
          <w:sz w:val="28"/>
          <w:szCs w:val="28"/>
        </w:rPr>
        <w:t xml:space="preserve"> located in the Northwest Territories, </w:t>
      </w:r>
      <w:r w:rsidR="00132674" w:rsidRPr="00D053FB">
        <w:rPr>
          <w:rFonts w:ascii="Times New Roman" w:hAnsi="Times New Roman" w:cs="Times New Roman"/>
          <w:bCs/>
          <w:sz w:val="28"/>
          <w:szCs w:val="28"/>
        </w:rPr>
        <w:t xml:space="preserve">the </w:t>
      </w:r>
      <w:r w:rsidR="00D42CF0" w:rsidRPr="00D053FB">
        <w:rPr>
          <w:rFonts w:ascii="Times New Roman" w:hAnsi="Times New Roman" w:cs="Times New Roman"/>
          <w:bCs/>
          <w:sz w:val="28"/>
          <w:szCs w:val="28"/>
        </w:rPr>
        <w:t xml:space="preserve">Yukon </w:t>
      </w:r>
      <w:r w:rsidR="00132674" w:rsidRPr="00D053FB">
        <w:rPr>
          <w:rFonts w:ascii="Times New Roman" w:hAnsi="Times New Roman" w:cs="Times New Roman"/>
          <w:bCs/>
          <w:sz w:val="28"/>
          <w:szCs w:val="28"/>
        </w:rPr>
        <w:t xml:space="preserve">and British Columbia. </w:t>
      </w:r>
      <w:r w:rsidR="00D71262" w:rsidRPr="00D053FB">
        <w:rPr>
          <w:rFonts w:ascii="Times New Roman" w:hAnsi="Times New Roman" w:cs="Times New Roman"/>
          <w:bCs/>
          <w:sz w:val="28"/>
          <w:szCs w:val="28"/>
        </w:rPr>
        <w:t>Paramount</w:t>
      </w:r>
      <w:r w:rsidR="0083223C">
        <w:rPr>
          <w:rFonts w:ascii="Times New Roman" w:hAnsi="Times New Roman" w:cs="Times New Roman"/>
          <w:bCs/>
          <w:sz w:val="28"/>
          <w:szCs w:val="28"/>
        </w:rPr>
        <w:t xml:space="preserve">’s involvement </w:t>
      </w:r>
      <w:r w:rsidR="00D71262" w:rsidRPr="00D053FB">
        <w:rPr>
          <w:rFonts w:ascii="Times New Roman" w:hAnsi="Times New Roman" w:cs="Times New Roman"/>
          <w:bCs/>
          <w:sz w:val="28"/>
          <w:szCs w:val="28"/>
        </w:rPr>
        <w:t>in the production of petroleum and natural gas</w:t>
      </w:r>
      <w:r w:rsidR="00FA3B79">
        <w:rPr>
          <w:rFonts w:ascii="Times New Roman" w:hAnsi="Times New Roman" w:cs="Times New Roman"/>
          <w:bCs/>
          <w:sz w:val="28"/>
          <w:szCs w:val="28"/>
        </w:rPr>
        <w:t xml:space="preserve"> includes</w:t>
      </w:r>
      <w:r w:rsidR="008377A9" w:rsidRPr="00D053FB">
        <w:rPr>
          <w:rFonts w:ascii="Times New Roman" w:hAnsi="Times New Roman" w:cs="Times New Roman"/>
          <w:bCs/>
          <w:sz w:val="28"/>
          <w:szCs w:val="28"/>
        </w:rPr>
        <w:t xml:space="preserve"> the operation of wells, pipelines and </w:t>
      </w:r>
      <w:r w:rsidR="005C422D" w:rsidRPr="00D053FB">
        <w:rPr>
          <w:rFonts w:ascii="Times New Roman" w:hAnsi="Times New Roman" w:cs="Times New Roman"/>
          <w:bCs/>
          <w:sz w:val="28"/>
          <w:szCs w:val="28"/>
        </w:rPr>
        <w:t xml:space="preserve">facilities used in production operations. </w:t>
      </w:r>
    </w:p>
    <w:p w14:paraId="54F190D4" w14:textId="77777777" w:rsidR="005C422D" w:rsidRPr="00D053FB" w:rsidRDefault="005C422D" w:rsidP="005C422D">
      <w:pPr>
        <w:pStyle w:val="ListParagraph"/>
        <w:spacing w:after="0" w:line="240" w:lineRule="auto"/>
        <w:ind w:left="0"/>
        <w:jc w:val="both"/>
        <w:rPr>
          <w:rFonts w:ascii="Times New Roman" w:hAnsi="Times New Roman" w:cs="Times New Roman"/>
          <w:bCs/>
          <w:sz w:val="28"/>
          <w:szCs w:val="28"/>
        </w:rPr>
      </w:pPr>
    </w:p>
    <w:p w14:paraId="36D54135" w14:textId="2F3B525A" w:rsidR="006F4D25" w:rsidRPr="006F4D25" w:rsidRDefault="00755B4B" w:rsidP="006F4D25">
      <w:pPr>
        <w:pStyle w:val="ListParagraph"/>
        <w:numPr>
          <w:ilvl w:val="0"/>
          <w:numId w:val="1"/>
        </w:numPr>
        <w:spacing w:after="0" w:line="240" w:lineRule="auto"/>
        <w:jc w:val="both"/>
        <w:rPr>
          <w:rFonts w:ascii="Times New Roman" w:hAnsi="Times New Roman" w:cs="Times New Roman"/>
          <w:bCs/>
          <w:sz w:val="28"/>
          <w:szCs w:val="28"/>
        </w:rPr>
      </w:pPr>
      <w:r w:rsidRPr="00D053FB">
        <w:rPr>
          <w:rFonts w:ascii="Times New Roman" w:hAnsi="Times New Roman" w:cs="Times New Roman"/>
          <w:bCs/>
          <w:sz w:val="28"/>
          <w:szCs w:val="28"/>
        </w:rPr>
        <w:t xml:space="preserve">In 1997, </w:t>
      </w:r>
      <w:r w:rsidR="005C422D" w:rsidRPr="00D053FB">
        <w:rPr>
          <w:rFonts w:ascii="Times New Roman" w:hAnsi="Times New Roman" w:cs="Times New Roman"/>
          <w:bCs/>
          <w:sz w:val="28"/>
          <w:szCs w:val="28"/>
        </w:rPr>
        <w:t xml:space="preserve">Paramount became </w:t>
      </w:r>
      <w:r w:rsidR="00CC249E" w:rsidRPr="00D053FB">
        <w:rPr>
          <w:rFonts w:ascii="Times New Roman" w:hAnsi="Times New Roman" w:cs="Times New Roman"/>
          <w:bCs/>
          <w:sz w:val="28"/>
          <w:szCs w:val="28"/>
        </w:rPr>
        <w:t>one of the interest holders in a</w:t>
      </w:r>
      <w:r w:rsidR="00DD60B9" w:rsidRPr="00D053FB">
        <w:rPr>
          <w:rFonts w:ascii="Times New Roman" w:hAnsi="Times New Roman" w:cs="Times New Roman"/>
          <w:bCs/>
          <w:sz w:val="28"/>
          <w:szCs w:val="28"/>
        </w:rPr>
        <w:t xml:space="preserve">n exploration </w:t>
      </w:r>
      <w:r w:rsidR="00CC249E" w:rsidRPr="00D053FB">
        <w:rPr>
          <w:rFonts w:ascii="Times New Roman" w:hAnsi="Times New Roman" w:cs="Times New Roman"/>
          <w:bCs/>
          <w:sz w:val="28"/>
          <w:szCs w:val="28"/>
        </w:rPr>
        <w:t>license related to lands situated south of Fort Liard</w:t>
      </w:r>
      <w:r w:rsidR="00CA26D0" w:rsidRPr="00D053FB">
        <w:rPr>
          <w:rFonts w:ascii="Times New Roman" w:hAnsi="Times New Roman" w:cs="Times New Roman"/>
          <w:bCs/>
          <w:sz w:val="28"/>
          <w:szCs w:val="28"/>
        </w:rPr>
        <w:t xml:space="preserve"> (the Lands), which allowed Paramount to explore and drill for </w:t>
      </w:r>
      <w:r w:rsidR="00CA26D0" w:rsidRPr="00494EFD">
        <w:rPr>
          <w:rFonts w:ascii="Times New Roman" w:hAnsi="Times New Roman" w:cs="Times New Roman"/>
          <w:bCs/>
          <w:sz w:val="28"/>
          <w:szCs w:val="28"/>
        </w:rPr>
        <w:t>petroleum</w:t>
      </w:r>
      <w:r w:rsidR="00494EFD" w:rsidRPr="00494EFD">
        <w:rPr>
          <w:rFonts w:ascii="Times New Roman" w:hAnsi="Times New Roman" w:cs="Times New Roman"/>
          <w:bCs/>
          <w:sz w:val="28"/>
          <w:szCs w:val="28"/>
        </w:rPr>
        <w:t xml:space="preserve"> and gas</w:t>
      </w:r>
      <w:r w:rsidR="00CA26D0" w:rsidRPr="00494EFD">
        <w:rPr>
          <w:rFonts w:ascii="Times New Roman" w:hAnsi="Times New Roman" w:cs="Times New Roman"/>
          <w:bCs/>
          <w:sz w:val="28"/>
          <w:szCs w:val="28"/>
        </w:rPr>
        <w:t>.</w:t>
      </w:r>
      <w:r w:rsidR="00DD60B9" w:rsidRPr="00494EFD">
        <w:rPr>
          <w:rFonts w:ascii="Times New Roman" w:hAnsi="Times New Roman" w:cs="Times New Roman"/>
          <w:bCs/>
          <w:sz w:val="28"/>
          <w:szCs w:val="28"/>
        </w:rPr>
        <w:t xml:space="preserve"> In March 1999, </w:t>
      </w:r>
      <w:r w:rsidR="002559F9" w:rsidRPr="00494EFD">
        <w:rPr>
          <w:rFonts w:ascii="Times New Roman" w:hAnsi="Times New Roman" w:cs="Times New Roman"/>
          <w:bCs/>
          <w:sz w:val="28"/>
          <w:szCs w:val="28"/>
        </w:rPr>
        <w:t>Paramount</w:t>
      </w:r>
      <w:r w:rsidR="00544675" w:rsidRPr="00494EFD">
        <w:rPr>
          <w:rFonts w:ascii="Times New Roman" w:hAnsi="Times New Roman" w:cs="Times New Roman"/>
          <w:bCs/>
          <w:sz w:val="28"/>
          <w:szCs w:val="28"/>
        </w:rPr>
        <w:t xml:space="preserve"> discovered and drilled a well on the Lands</w:t>
      </w:r>
      <w:r w:rsidR="00494EFD" w:rsidRPr="00494EFD">
        <w:rPr>
          <w:rFonts w:ascii="Times New Roman" w:hAnsi="Times New Roman" w:cs="Times New Roman"/>
          <w:bCs/>
          <w:sz w:val="28"/>
          <w:szCs w:val="28"/>
        </w:rPr>
        <w:t xml:space="preserve">. </w:t>
      </w:r>
      <w:r w:rsidR="002559F9" w:rsidRPr="00494EFD">
        <w:rPr>
          <w:rFonts w:ascii="Times New Roman" w:hAnsi="Times New Roman" w:cs="Times New Roman"/>
          <w:bCs/>
          <w:sz w:val="28"/>
          <w:szCs w:val="28"/>
        </w:rPr>
        <w:t>It</w:t>
      </w:r>
      <w:r w:rsidR="0067238D" w:rsidRPr="00494EFD">
        <w:rPr>
          <w:rFonts w:ascii="Times New Roman" w:hAnsi="Times New Roman" w:cs="Times New Roman"/>
          <w:bCs/>
          <w:sz w:val="28"/>
          <w:szCs w:val="28"/>
        </w:rPr>
        <w:t xml:space="preserve"> </w:t>
      </w:r>
      <w:r w:rsidR="00102AEB" w:rsidRPr="00494EFD">
        <w:rPr>
          <w:rFonts w:ascii="Times New Roman" w:hAnsi="Times New Roman" w:cs="Times New Roman"/>
          <w:bCs/>
          <w:sz w:val="28"/>
          <w:szCs w:val="28"/>
        </w:rPr>
        <w:t>kept</w:t>
      </w:r>
      <w:r w:rsidR="0067238D" w:rsidRPr="00494EFD">
        <w:rPr>
          <w:rFonts w:ascii="Times New Roman" w:hAnsi="Times New Roman" w:cs="Times New Roman"/>
          <w:bCs/>
          <w:sz w:val="28"/>
          <w:szCs w:val="28"/>
        </w:rPr>
        <w:t xml:space="preserve"> </w:t>
      </w:r>
      <w:r w:rsidR="00DD60B9" w:rsidRPr="00494EFD">
        <w:rPr>
          <w:rFonts w:ascii="Times New Roman" w:hAnsi="Times New Roman" w:cs="Times New Roman"/>
          <w:bCs/>
          <w:sz w:val="28"/>
          <w:szCs w:val="28"/>
        </w:rPr>
        <w:t>develop</w:t>
      </w:r>
      <w:r w:rsidR="00102AEB" w:rsidRPr="00494EFD">
        <w:rPr>
          <w:rFonts w:ascii="Times New Roman" w:hAnsi="Times New Roman" w:cs="Times New Roman"/>
          <w:bCs/>
          <w:sz w:val="28"/>
          <w:szCs w:val="28"/>
        </w:rPr>
        <w:t>ing</w:t>
      </w:r>
      <w:r w:rsidR="00DD60B9" w:rsidRPr="00494EFD">
        <w:rPr>
          <w:rFonts w:ascii="Times New Roman" w:hAnsi="Times New Roman" w:cs="Times New Roman"/>
          <w:bCs/>
          <w:sz w:val="28"/>
          <w:szCs w:val="28"/>
        </w:rPr>
        <w:t xml:space="preserve"> the Lands and </w:t>
      </w:r>
      <w:r w:rsidR="00102AEB" w:rsidRPr="00494EFD">
        <w:rPr>
          <w:rFonts w:ascii="Times New Roman" w:hAnsi="Times New Roman" w:cs="Times New Roman"/>
          <w:bCs/>
          <w:sz w:val="28"/>
          <w:szCs w:val="28"/>
        </w:rPr>
        <w:t xml:space="preserve">later </w:t>
      </w:r>
      <w:r w:rsidR="00DD60B9" w:rsidRPr="00494EFD">
        <w:rPr>
          <w:rFonts w:ascii="Times New Roman" w:hAnsi="Times New Roman" w:cs="Times New Roman"/>
          <w:bCs/>
          <w:sz w:val="28"/>
          <w:szCs w:val="28"/>
        </w:rPr>
        <w:t xml:space="preserve">obtained </w:t>
      </w:r>
      <w:r w:rsidR="00894260">
        <w:rPr>
          <w:rFonts w:ascii="Times New Roman" w:hAnsi="Times New Roman" w:cs="Times New Roman"/>
          <w:bCs/>
          <w:sz w:val="28"/>
          <w:szCs w:val="28"/>
        </w:rPr>
        <w:t>a S</w:t>
      </w:r>
      <w:r w:rsidR="00544675" w:rsidRPr="00494EFD">
        <w:rPr>
          <w:rFonts w:ascii="Times New Roman" w:hAnsi="Times New Roman" w:cs="Times New Roman"/>
          <w:bCs/>
          <w:sz w:val="28"/>
          <w:szCs w:val="28"/>
        </w:rPr>
        <w:t xml:space="preserve">ignificant </w:t>
      </w:r>
      <w:r w:rsidR="00894260">
        <w:rPr>
          <w:rFonts w:ascii="Times New Roman" w:hAnsi="Times New Roman" w:cs="Times New Roman"/>
          <w:bCs/>
          <w:sz w:val="28"/>
          <w:szCs w:val="28"/>
        </w:rPr>
        <w:t>D</w:t>
      </w:r>
      <w:r w:rsidR="00544675" w:rsidRPr="00494EFD">
        <w:rPr>
          <w:rFonts w:ascii="Times New Roman" w:hAnsi="Times New Roman" w:cs="Times New Roman"/>
          <w:bCs/>
          <w:sz w:val="28"/>
          <w:szCs w:val="28"/>
        </w:rPr>
        <w:t xml:space="preserve">iscovery </w:t>
      </w:r>
      <w:r w:rsidR="00194511">
        <w:rPr>
          <w:rFonts w:ascii="Times New Roman" w:hAnsi="Times New Roman" w:cs="Times New Roman"/>
          <w:bCs/>
          <w:sz w:val="28"/>
          <w:szCs w:val="28"/>
        </w:rPr>
        <w:t>L</w:t>
      </w:r>
      <w:r w:rsidR="00894260">
        <w:rPr>
          <w:rFonts w:ascii="Times New Roman" w:hAnsi="Times New Roman" w:cs="Times New Roman"/>
          <w:bCs/>
          <w:sz w:val="28"/>
          <w:szCs w:val="28"/>
        </w:rPr>
        <w:t xml:space="preserve">icense </w:t>
      </w:r>
      <w:r w:rsidR="00544675" w:rsidRPr="00494EFD">
        <w:rPr>
          <w:rFonts w:ascii="Times New Roman" w:hAnsi="Times New Roman" w:cs="Times New Roman"/>
          <w:bCs/>
          <w:sz w:val="28"/>
          <w:szCs w:val="28"/>
        </w:rPr>
        <w:t xml:space="preserve">and </w:t>
      </w:r>
      <w:r w:rsidR="00894260">
        <w:rPr>
          <w:rFonts w:ascii="Times New Roman" w:hAnsi="Times New Roman" w:cs="Times New Roman"/>
          <w:bCs/>
          <w:sz w:val="28"/>
          <w:szCs w:val="28"/>
        </w:rPr>
        <w:t>P</w:t>
      </w:r>
      <w:r w:rsidR="00544675" w:rsidRPr="00494EFD">
        <w:rPr>
          <w:rFonts w:ascii="Times New Roman" w:hAnsi="Times New Roman" w:cs="Times New Roman"/>
          <w:bCs/>
          <w:sz w:val="28"/>
          <w:szCs w:val="28"/>
        </w:rPr>
        <w:t xml:space="preserve">roduction </w:t>
      </w:r>
      <w:r w:rsidR="00894260">
        <w:rPr>
          <w:rFonts w:ascii="Times New Roman" w:hAnsi="Times New Roman" w:cs="Times New Roman"/>
          <w:bCs/>
          <w:sz w:val="28"/>
          <w:szCs w:val="28"/>
        </w:rPr>
        <w:t>L</w:t>
      </w:r>
      <w:r w:rsidR="00544675" w:rsidRPr="00494EFD">
        <w:rPr>
          <w:rFonts w:ascii="Times New Roman" w:hAnsi="Times New Roman" w:cs="Times New Roman"/>
          <w:bCs/>
          <w:sz w:val="28"/>
          <w:szCs w:val="28"/>
        </w:rPr>
        <w:t>icenses</w:t>
      </w:r>
      <w:r w:rsidR="003A5BB8" w:rsidRPr="00494EFD">
        <w:rPr>
          <w:rFonts w:ascii="Times New Roman" w:hAnsi="Times New Roman" w:cs="Times New Roman"/>
          <w:bCs/>
          <w:sz w:val="28"/>
          <w:szCs w:val="28"/>
        </w:rPr>
        <w:t>.</w:t>
      </w:r>
    </w:p>
    <w:p w14:paraId="2F1471C1" w14:textId="77777777" w:rsidR="0088644E" w:rsidRPr="00D053FB" w:rsidRDefault="0088644E" w:rsidP="0088644E">
      <w:pPr>
        <w:pStyle w:val="ListParagraph"/>
        <w:spacing w:after="0" w:line="240" w:lineRule="auto"/>
        <w:ind w:left="0"/>
        <w:jc w:val="both"/>
        <w:rPr>
          <w:rFonts w:ascii="Times New Roman" w:hAnsi="Times New Roman" w:cs="Times New Roman"/>
          <w:bCs/>
          <w:sz w:val="28"/>
          <w:szCs w:val="28"/>
        </w:rPr>
      </w:pPr>
    </w:p>
    <w:p w14:paraId="6218DED3" w14:textId="428F21A7" w:rsidR="007D62D4" w:rsidRPr="00403186" w:rsidRDefault="007C02B6" w:rsidP="00403186">
      <w:pPr>
        <w:pStyle w:val="ListParagraph"/>
        <w:numPr>
          <w:ilvl w:val="0"/>
          <w:numId w:val="1"/>
        </w:numPr>
        <w:spacing w:after="0" w:line="240" w:lineRule="auto"/>
        <w:jc w:val="both"/>
        <w:rPr>
          <w:rFonts w:ascii="Times New Roman" w:hAnsi="Times New Roman" w:cs="Times New Roman"/>
          <w:bCs/>
          <w:sz w:val="28"/>
          <w:szCs w:val="28"/>
        </w:rPr>
      </w:pPr>
      <w:r w:rsidRPr="00D053FB">
        <w:rPr>
          <w:rFonts w:ascii="Times New Roman" w:hAnsi="Times New Roman" w:cs="Times New Roman"/>
          <w:bCs/>
          <w:sz w:val="28"/>
          <w:szCs w:val="28"/>
        </w:rPr>
        <w:t>On December 1</w:t>
      </w:r>
      <w:r w:rsidR="00615317" w:rsidRPr="00D053FB">
        <w:rPr>
          <w:rFonts w:ascii="Times New Roman" w:hAnsi="Times New Roman" w:cs="Times New Roman"/>
          <w:bCs/>
          <w:sz w:val="28"/>
          <w:szCs w:val="28"/>
        </w:rPr>
        <w:t>4</w:t>
      </w:r>
      <w:r w:rsidRPr="00D053FB">
        <w:rPr>
          <w:rFonts w:ascii="Times New Roman" w:hAnsi="Times New Roman" w:cs="Times New Roman"/>
          <w:bCs/>
          <w:sz w:val="28"/>
          <w:szCs w:val="28"/>
        </w:rPr>
        <w:t xml:space="preserve">, </w:t>
      </w:r>
      <w:r w:rsidR="0088644E" w:rsidRPr="00D053FB">
        <w:rPr>
          <w:rFonts w:ascii="Times New Roman" w:hAnsi="Times New Roman" w:cs="Times New Roman"/>
          <w:bCs/>
          <w:sz w:val="28"/>
          <w:szCs w:val="28"/>
        </w:rPr>
        <w:t xml:space="preserve">1999, </w:t>
      </w:r>
      <w:r w:rsidR="00AB134F" w:rsidRPr="00D053FB">
        <w:rPr>
          <w:rFonts w:ascii="Times New Roman" w:hAnsi="Times New Roman" w:cs="Times New Roman"/>
          <w:bCs/>
          <w:sz w:val="28"/>
          <w:szCs w:val="28"/>
        </w:rPr>
        <w:t xml:space="preserve">ADK and Paramount entered into </w:t>
      </w:r>
      <w:r w:rsidRPr="00D053FB">
        <w:rPr>
          <w:rFonts w:ascii="Times New Roman" w:hAnsi="Times New Roman" w:cs="Times New Roman"/>
          <w:bCs/>
          <w:sz w:val="28"/>
          <w:szCs w:val="28"/>
        </w:rPr>
        <w:t xml:space="preserve">the </w:t>
      </w:r>
      <w:r w:rsidR="006F4D25">
        <w:rPr>
          <w:rFonts w:ascii="Times New Roman" w:hAnsi="Times New Roman" w:cs="Times New Roman"/>
          <w:bCs/>
          <w:sz w:val="28"/>
          <w:szCs w:val="28"/>
        </w:rPr>
        <w:t>CIP Agreement</w:t>
      </w:r>
      <w:r w:rsidRPr="00D053FB">
        <w:rPr>
          <w:rFonts w:ascii="Times New Roman" w:hAnsi="Times New Roman" w:cs="Times New Roman"/>
          <w:bCs/>
          <w:sz w:val="28"/>
          <w:szCs w:val="28"/>
        </w:rPr>
        <w:t xml:space="preserve">. </w:t>
      </w:r>
      <w:r w:rsidR="000565AC" w:rsidRPr="00D053FB">
        <w:rPr>
          <w:rFonts w:ascii="Times New Roman" w:hAnsi="Times New Roman" w:cs="Times New Roman"/>
          <w:bCs/>
          <w:sz w:val="28"/>
          <w:szCs w:val="28"/>
        </w:rPr>
        <w:t xml:space="preserve">The </w:t>
      </w:r>
      <w:r w:rsidR="006F4D25">
        <w:rPr>
          <w:rFonts w:ascii="Times New Roman" w:hAnsi="Times New Roman" w:cs="Times New Roman"/>
          <w:bCs/>
          <w:sz w:val="28"/>
          <w:szCs w:val="28"/>
        </w:rPr>
        <w:t xml:space="preserve">agreement </w:t>
      </w:r>
      <w:r w:rsidR="00FF3D61">
        <w:rPr>
          <w:rFonts w:ascii="Times New Roman" w:hAnsi="Times New Roman" w:cs="Times New Roman"/>
          <w:bCs/>
          <w:sz w:val="28"/>
          <w:szCs w:val="28"/>
        </w:rPr>
        <w:t>acknowledge</w:t>
      </w:r>
      <w:r w:rsidR="00DD61E6">
        <w:rPr>
          <w:rFonts w:ascii="Times New Roman" w:hAnsi="Times New Roman" w:cs="Times New Roman"/>
          <w:bCs/>
          <w:sz w:val="28"/>
          <w:szCs w:val="28"/>
        </w:rPr>
        <w:t>s</w:t>
      </w:r>
      <w:r w:rsidR="00FF3D61">
        <w:rPr>
          <w:rFonts w:ascii="Times New Roman" w:hAnsi="Times New Roman" w:cs="Times New Roman"/>
          <w:bCs/>
          <w:sz w:val="28"/>
          <w:szCs w:val="28"/>
        </w:rPr>
        <w:t xml:space="preserve"> ADK’s </w:t>
      </w:r>
      <w:r w:rsidR="00C60995">
        <w:rPr>
          <w:rFonts w:ascii="Times New Roman" w:hAnsi="Times New Roman" w:cs="Times New Roman"/>
          <w:bCs/>
          <w:sz w:val="28"/>
          <w:szCs w:val="28"/>
        </w:rPr>
        <w:t>rights</w:t>
      </w:r>
      <w:r w:rsidR="005B7F9F">
        <w:rPr>
          <w:rFonts w:ascii="Times New Roman" w:hAnsi="Times New Roman" w:cs="Times New Roman"/>
          <w:bCs/>
          <w:sz w:val="28"/>
          <w:szCs w:val="28"/>
        </w:rPr>
        <w:t xml:space="preserve"> over </w:t>
      </w:r>
      <w:r w:rsidR="00EE1253">
        <w:rPr>
          <w:rFonts w:ascii="Times New Roman" w:hAnsi="Times New Roman" w:cs="Times New Roman"/>
          <w:bCs/>
          <w:sz w:val="28"/>
          <w:szCs w:val="28"/>
        </w:rPr>
        <w:t>their</w:t>
      </w:r>
      <w:r w:rsidR="00C60995">
        <w:rPr>
          <w:rFonts w:ascii="Times New Roman" w:hAnsi="Times New Roman" w:cs="Times New Roman"/>
          <w:bCs/>
          <w:sz w:val="28"/>
          <w:szCs w:val="28"/>
        </w:rPr>
        <w:t xml:space="preserve"> traditional lands</w:t>
      </w:r>
      <w:r w:rsidR="007D1921">
        <w:rPr>
          <w:rFonts w:ascii="Times New Roman" w:hAnsi="Times New Roman" w:cs="Times New Roman"/>
          <w:bCs/>
          <w:sz w:val="28"/>
          <w:szCs w:val="28"/>
        </w:rPr>
        <w:t xml:space="preserve">. </w:t>
      </w:r>
      <w:r w:rsidR="001D7CD4">
        <w:rPr>
          <w:rFonts w:ascii="Times New Roman" w:hAnsi="Times New Roman" w:cs="Times New Roman"/>
          <w:bCs/>
          <w:sz w:val="28"/>
          <w:szCs w:val="28"/>
        </w:rPr>
        <w:t>It</w:t>
      </w:r>
      <w:r w:rsidR="007D1921">
        <w:rPr>
          <w:rFonts w:ascii="Times New Roman" w:hAnsi="Times New Roman" w:cs="Times New Roman"/>
          <w:bCs/>
          <w:sz w:val="28"/>
          <w:szCs w:val="28"/>
        </w:rPr>
        <w:t xml:space="preserve"> provide</w:t>
      </w:r>
      <w:r w:rsidR="006E5907">
        <w:rPr>
          <w:rFonts w:ascii="Times New Roman" w:hAnsi="Times New Roman" w:cs="Times New Roman"/>
          <w:bCs/>
          <w:sz w:val="28"/>
          <w:szCs w:val="28"/>
        </w:rPr>
        <w:t>s</w:t>
      </w:r>
      <w:r w:rsidR="007D1921">
        <w:rPr>
          <w:rFonts w:ascii="Times New Roman" w:hAnsi="Times New Roman" w:cs="Times New Roman"/>
          <w:bCs/>
          <w:sz w:val="28"/>
          <w:szCs w:val="28"/>
        </w:rPr>
        <w:t xml:space="preserve"> benefits to ADK and ADK businesses</w:t>
      </w:r>
      <w:r w:rsidR="00403186">
        <w:rPr>
          <w:rFonts w:ascii="Times New Roman" w:hAnsi="Times New Roman" w:cs="Times New Roman"/>
          <w:bCs/>
          <w:sz w:val="28"/>
          <w:szCs w:val="28"/>
        </w:rPr>
        <w:t>.</w:t>
      </w:r>
      <w:r w:rsidR="000565AC" w:rsidRPr="00D053FB">
        <w:rPr>
          <w:rFonts w:ascii="Times New Roman" w:hAnsi="Times New Roman" w:cs="Times New Roman"/>
          <w:bCs/>
          <w:sz w:val="28"/>
          <w:szCs w:val="28"/>
        </w:rPr>
        <w:t xml:space="preserve"> </w:t>
      </w:r>
      <w:r w:rsidR="00260856" w:rsidRPr="00403186">
        <w:rPr>
          <w:rFonts w:ascii="Times New Roman" w:hAnsi="Times New Roman" w:cs="Times New Roman"/>
          <w:bCs/>
          <w:sz w:val="28"/>
          <w:szCs w:val="28"/>
        </w:rPr>
        <w:t xml:space="preserve">Amongst other measures </w:t>
      </w:r>
      <w:r w:rsidR="00314CD9" w:rsidRPr="00403186">
        <w:rPr>
          <w:rFonts w:ascii="Times New Roman" w:hAnsi="Times New Roman" w:cs="Times New Roman"/>
          <w:bCs/>
          <w:sz w:val="28"/>
          <w:szCs w:val="28"/>
        </w:rPr>
        <w:t>intended to benefit ADK, t</w:t>
      </w:r>
      <w:r w:rsidR="0019203A" w:rsidRPr="00403186">
        <w:rPr>
          <w:rFonts w:ascii="Times New Roman" w:hAnsi="Times New Roman" w:cs="Times New Roman"/>
          <w:bCs/>
          <w:sz w:val="28"/>
          <w:szCs w:val="28"/>
        </w:rPr>
        <w:t>he</w:t>
      </w:r>
      <w:r w:rsidR="006E5907" w:rsidRPr="00403186">
        <w:rPr>
          <w:rFonts w:ascii="Times New Roman" w:hAnsi="Times New Roman" w:cs="Times New Roman"/>
          <w:bCs/>
          <w:sz w:val="28"/>
          <w:szCs w:val="28"/>
        </w:rPr>
        <w:t xml:space="preserve"> </w:t>
      </w:r>
      <w:r w:rsidR="007D62D4" w:rsidRPr="00403186">
        <w:rPr>
          <w:rFonts w:ascii="Times New Roman" w:hAnsi="Times New Roman" w:cs="Times New Roman"/>
          <w:bCs/>
          <w:sz w:val="28"/>
          <w:szCs w:val="28"/>
        </w:rPr>
        <w:t>CIP</w:t>
      </w:r>
      <w:r w:rsidR="006F4D25" w:rsidRPr="00403186">
        <w:rPr>
          <w:rFonts w:ascii="Times New Roman" w:hAnsi="Times New Roman" w:cs="Times New Roman"/>
          <w:bCs/>
          <w:sz w:val="28"/>
          <w:szCs w:val="28"/>
        </w:rPr>
        <w:t xml:space="preserve"> Agreement</w:t>
      </w:r>
      <w:r w:rsidR="007351D9" w:rsidRPr="00403186">
        <w:rPr>
          <w:rFonts w:ascii="Times New Roman" w:hAnsi="Times New Roman" w:cs="Times New Roman"/>
          <w:bCs/>
          <w:sz w:val="28"/>
          <w:szCs w:val="28"/>
        </w:rPr>
        <w:t xml:space="preserve"> creates a committee </w:t>
      </w:r>
      <w:r w:rsidR="00542E31" w:rsidRPr="00403186">
        <w:rPr>
          <w:rFonts w:ascii="Times New Roman" w:hAnsi="Times New Roman" w:cs="Times New Roman"/>
          <w:bCs/>
          <w:sz w:val="28"/>
          <w:szCs w:val="28"/>
        </w:rPr>
        <w:t>responsible for the assessment of the community’s needs and</w:t>
      </w:r>
      <w:r w:rsidR="000903BF" w:rsidRPr="00403186">
        <w:rPr>
          <w:rFonts w:ascii="Times New Roman" w:hAnsi="Times New Roman" w:cs="Times New Roman"/>
          <w:bCs/>
          <w:sz w:val="28"/>
          <w:szCs w:val="28"/>
        </w:rPr>
        <w:t xml:space="preserve"> </w:t>
      </w:r>
      <w:r w:rsidR="00542E31" w:rsidRPr="00403186">
        <w:rPr>
          <w:rFonts w:ascii="Times New Roman" w:hAnsi="Times New Roman" w:cs="Times New Roman"/>
          <w:bCs/>
          <w:sz w:val="28"/>
          <w:szCs w:val="28"/>
        </w:rPr>
        <w:t xml:space="preserve">for the </w:t>
      </w:r>
      <w:r w:rsidR="00850896" w:rsidRPr="00403186">
        <w:rPr>
          <w:rFonts w:ascii="Times New Roman" w:hAnsi="Times New Roman" w:cs="Times New Roman"/>
          <w:bCs/>
          <w:sz w:val="28"/>
          <w:szCs w:val="28"/>
        </w:rPr>
        <w:t xml:space="preserve">administration of </w:t>
      </w:r>
      <w:r w:rsidR="0029611A" w:rsidRPr="00403186">
        <w:rPr>
          <w:rFonts w:ascii="Times New Roman" w:hAnsi="Times New Roman" w:cs="Times New Roman"/>
          <w:bCs/>
          <w:sz w:val="28"/>
          <w:szCs w:val="28"/>
        </w:rPr>
        <w:t>a</w:t>
      </w:r>
      <w:r w:rsidR="00850896" w:rsidRPr="00403186">
        <w:rPr>
          <w:rFonts w:ascii="Times New Roman" w:hAnsi="Times New Roman" w:cs="Times New Roman"/>
          <w:bCs/>
          <w:sz w:val="28"/>
          <w:szCs w:val="28"/>
        </w:rPr>
        <w:t xml:space="preserve"> budget. </w:t>
      </w:r>
      <w:r w:rsidR="0029611A" w:rsidRPr="00403186">
        <w:rPr>
          <w:rFonts w:ascii="Times New Roman" w:hAnsi="Times New Roman" w:cs="Times New Roman"/>
          <w:bCs/>
          <w:sz w:val="28"/>
          <w:szCs w:val="28"/>
        </w:rPr>
        <w:t xml:space="preserve">The agreement stipulates that </w:t>
      </w:r>
      <w:r w:rsidR="00F70BF5" w:rsidRPr="00403186">
        <w:rPr>
          <w:rFonts w:ascii="Times New Roman" w:hAnsi="Times New Roman" w:cs="Times New Roman"/>
          <w:bCs/>
          <w:sz w:val="28"/>
          <w:szCs w:val="28"/>
        </w:rPr>
        <w:t xml:space="preserve">this budget </w:t>
      </w:r>
      <w:r w:rsidR="00F70BF5" w:rsidRPr="00FA3B79">
        <w:rPr>
          <w:rFonts w:ascii="Times New Roman" w:hAnsi="Times New Roman" w:cs="Times New Roman"/>
          <w:bCs/>
          <w:sz w:val="28"/>
          <w:szCs w:val="28"/>
        </w:rPr>
        <w:t>comes</w:t>
      </w:r>
      <w:r w:rsidR="00F70BF5" w:rsidRPr="00403186">
        <w:rPr>
          <w:rFonts w:ascii="Times New Roman" w:hAnsi="Times New Roman" w:cs="Times New Roman"/>
          <w:bCs/>
          <w:sz w:val="28"/>
          <w:szCs w:val="28"/>
        </w:rPr>
        <w:t xml:space="preserve"> </w:t>
      </w:r>
      <w:r w:rsidR="008454C2">
        <w:rPr>
          <w:rFonts w:ascii="Times New Roman" w:hAnsi="Times New Roman" w:cs="Times New Roman"/>
          <w:bCs/>
          <w:sz w:val="28"/>
          <w:szCs w:val="28"/>
        </w:rPr>
        <w:t xml:space="preserve">from </w:t>
      </w:r>
      <w:r w:rsidR="00A26175" w:rsidRPr="00403186">
        <w:rPr>
          <w:rFonts w:ascii="Times New Roman" w:hAnsi="Times New Roman" w:cs="Times New Roman"/>
          <w:bCs/>
          <w:sz w:val="28"/>
          <w:szCs w:val="28"/>
        </w:rPr>
        <w:t xml:space="preserve">$100,000 </w:t>
      </w:r>
      <w:r w:rsidR="00A93460" w:rsidRPr="00403186">
        <w:rPr>
          <w:rFonts w:ascii="Times New Roman" w:hAnsi="Times New Roman" w:cs="Times New Roman"/>
          <w:bCs/>
          <w:sz w:val="28"/>
          <w:szCs w:val="28"/>
        </w:rPr>
        <w:t xml:space="preserve">yearly </w:t>
      </w:r>
      <w:r w:rsidR="00F70BF5" w:rsidRPr="00403186">
        <w:rPr>
          <w:rFonts w:ascii="Times New Roman" w:hAnsi="Times New Roman" w:cs="Times New Roman"/>
          <w:bCs/>
          <w:sz w:val="28"/>
          <w:szCs w:val="28"/>
        </w:rPr>
        <w:t>payment</w:t>
      </w:r>
      <w:r w:rsidR="00945E6E">
        <w:rPr>
          <w:rFonts w:ascii="Times New Roman" w:hAnsi="Times New Roman" w:cs="Times New Roman"/>
          <w:bCs/>
          <w:sz w:val="28"/>
          <w:szCs w:val="28"/>
        </w:rPr>
        <w:t>s</w:t>
      </w:r>
      <w:r w:rsidR="00F70BF5" w:rsidRPr="00403186">
        <w:rPr>
          <w:rFonts w:ascii="Times New Roman" w:hAnsi="Times New Roman" w:cs="Times New Roman"/>
          <w:bCs/>
          <w:sz w:val="28"/>
          <w:szCs w:val="28"/>
        </w:rPr>
        <w:t xml:space="preserve"> </w:t>
      </w:r>
      <w:r w:rsidR="00945E6E">
        <w:rPr>
          <w:rFonts w:ascii="Times New Roman" w:hAnsi="Times New Roman" w:cs="Times New Roman"/>
          <w:bCs/>
          <w:sz w:val="28"/>
          <w:szCs w:val="28"/>
        </w:rPr>
        <w:t>from Paramount to</w:t>
      </w:r>
      <w:r w:rsidR="00F70BF5" w:rsidRPr="00403186">
        <w:rPr>
          <w:rFonts w:ascii="Times New Roman" w:hAnsi="Times New Roman" w:cs="Times New Roman"/>
          <w:bCs/>
          <w:sz w:val="28"/>
          <w:szCs w:val="28"/>
        </w:rPr>
        <w:t xml:space="preserve"> ADK </w:t>
      </w:r>
      <w:r w:rsidR="00A93460" w:rsidRPr="00403186">
        <w:rPr>
          <w:rFonts w:ascii="Times New Roman" w:hAnsi="Times New Roman" w:cs="Times New Roman"/>
          <w:bCs/>
          <w:sz w:val="28"/>
          <w:szCs w:val="28"/>
        </w:rPr>
        <w:t xml:space="preserve">commencing with the first production from the Lands and continuing </w:t>
      </w:r>
      <w:r w:rsidR="0074319E" w:rsidRPr="00403186">
        <w:rPr>
          <w:rFonts w:ascii="Times New Roman" w:hAnsi="Times New Roman" w:cs="Times New Roman"/>
          <w:bCs/>
          <w:sz w:val="28"/>
          <w:szCs w:val="28"/>
        </w:rPr>
        <w:t xml:space="preserve">each year </w:t>
      </w:r>
      <w:r w:rsidR="00A93460" w:rsidRPr="00403186">
        <w:rPr>
          <w:rFonts w:ascii="Times New Roman" w:hAnsi="Times New Roman" w:cs="Times New Roman"/>
          <w:bCs/>
          <w:sz w:val="28"/>
          <w:szCs w:val="28"/>
        </w:rPr>
        <w:t>on the anniversary date of the first production</w:t>
      </w:r>
      <w:r w:rsidR="00C52B54" w:rsidRPr="00403186">
        <w:rPr>
          <w:rFonts w:ascii="Times New Roman" w:hAnsi="Times New Roman" w:cs="Times New Roman"/>
          <w:bCs/>
          <w:sz w:val="28"/>
          <w:szCs w:val="28"/>
        </w:rPr>
        <w:t>. T</w:t>
      </w:r>
      <w:r w:rsidR="00EA038F" w:rsidRPr="00403186">
        <w:rPr>
          <w:rFonts w:ascii="Times New Roman" w:hAnsi="Times New Roman" w:cs="Times New Roman"/>
          <w:bCs/>
          <w:sz w:val="28"/>
          <w:szCs w:val="28"/>
        </w:rPr>
        <w:t>he annual payment</w:t>
      </w:r>
      <w:r w:rsidR="00DE6872" w:rsidRPr="00403186">
        <w:rPr>
          <w:rFonts w:ascii="Times New Roman" w:hAnsi="Times New Roman" w:cs="Times New Roman"/>
          <w:bCs/>
          <w:sz w:val="28"/>
          <w:szCs w:val="28"/>
        </w:rPr>
        <w:t>s</w:t>
      </w:r>
      <w:r w:rsidR="00EA038F" w:rsidRPr="00403186">
        <w:rPr>
          <w:rFonts w:ascii="Times New Roman" w:hAnsi="Times New Roman" w:cs="Times New Roman"/>
          <w:bCs/>
          <w:sz w:val="28"/>
          <w:szCs w:val="28"/>
        </w:rPr>
        <w:t xml:space="preserve"> of $100,000 end when </w:t>
      </w:r>
      <w:r w:rsidR="00A93460" w:rsidRPr="00403186">
        <w:rPr>
          <w:rFonts w:ascii="Times New Roman" w:hAnsi="Times New Roman" w:cs="Times New Roman"/>
          <w:bCs/>
          <w:sz w:val="28"/>
          <w:szCs w:val="28"/>
        </w:rPr>
        <w:t>distribution</w:t>
      </w:r>
      <w:r w:rsidR="00D42A02">
        <w:rPr>
          <w:rFonts w:ascii="Times New Roman" w:hAnsi="Times New Roman" w:cs="Times New Roman"/>
          <w:bCs/>
          <w:sz w:val="28"/>
          <w:szCs w:val="28"/>
        </w:rPr>
        <w:t>s</w:t>
      </w:r>
      <w:r w:rsidR="00A93460" w:rsidRPr="00403186">
        <w:rPr>
          <w:rFonts w:ascii="Times New Roman" w:hAnsi="Times New Roman" w:cs="Times New Roman"/>
          <w:bCs/>
          <w:sz w:val="28"/>
          <w:szCs w:val="28"/>
        </w:rPr>
        <w:t xml:space="preserve"> to ADK under the </w:t>
      </w:r>
      <w:proofErr w:type="spellStart"/>
      <w:r w:rsidR="00A93460" w:rsidRPr="00403186">
        <w:rPr>
          <w:rFonts w:ascii="Times New Roman" w:hAnsi="Times New Roman" w:cs="Times New Roman"/>
          <w:bCs/>
          <w:sz w:val="28"/>
          <w:szCs w:val="28"/>
        </w:rPr>
        <w:t>Shiha</w:t>
      </w:r>
      <w:proofErr w:type="spellEnd"/>
      <w:r w:rsidR="00A93460" w:rsidRPr="00403186">
        <w:rPr>
          <w:rFonts w:ascii="Times New Roman" w:hAnsi="Times New Roman" w:cs="Times New Roman"/>
          <w:bCs/>
          <w:sz w:val="28"/>
          <w:szCs w:val="28"/>
        </w:rPr>
        <w:t xml:space="preserve"> Energy Transmission Limited Partnership Agreement</w:t>
      </w:r>
      <w:r w:rsidR="006F4D25" w:rsidRPr="00403186">
        <w:rPr>
          <w:rFonts w:ascii="Times New Roman" w:hAnsi="Times New Roman" w:cs="Times New Roman"/>
          <w:bCs/>
          <w:sz w:val="28"/>
          <w:szCs w:val="28"/>
        </w:rPr>
        <w:t xml:space="preserve"> (the </w:t>
      </w:r>
      <w:proofErr w:type="spellStart"/>
      <w:r w:rsidR="006F4D25" w:rsidRPr="00403186">
        <w:rPr>
          <w:rFonts w:ascii="Times New Roman" w:hAnsi="Times New Roman" w:cs="Times New Roman"/>
          <w:bCs/>
          <w:sz w:val="28"/>
          <w:szCs w:val="28"/>
        </w:rPr>
        <w:t>Shiha</w:t>
      </w:r>
      <w:proofErr w:type="spellEnd"/>
      <w:r w:rsidR="006F4D25" w:rsidRPr="00403186">
        <w:rPr>
          <w:rFonts w:ascii="Times New Roman" w:hAnsi="Times New Roman" w:cs="Times New Roman"/>
          <w:bCs/>
          <w:sz w:val="28"/>
          <w:szCs w:val="28"/>
        </w:rPr>
        <w:t xml:space="preserve"> Partnership Agreement)</w:t>
      </w:r>
      <w:r w:rsidR="00A93460" w:rsidRPr="00403186">
        <w:rPr>
          <w:rFonts w:ascii="Times New Roman" w:hAnsi="Times New Roman" w:cs="Times New Roman"/>
          <w:bCs/>
          <w:sz w:val="28"/>
          <w:szCs w:val="28"/>
        </w:rPr>
        <w:t xml:space="preserve"> reach $10,000 per year. </w:t>
      </w:r>
    </w:p>
    <w:p w14:paraId="3D58E553" w14:textId="77777777" w:rsidR="00907806" w:rsidRPr="00D053FB" w:rsidRDefault="00907806" w:rsidP="00907806">
      <w:pPr>
        <w:pStyle w:val="ListParagraph"/>
        <w:spacing w:after="0" w:line="240" w:lineRule="auto"/>
        <w:ind w:left="0"/>
        <w:jc w:val="both"/>
        <w:rPr>
          <w:rFonts w:ascii="Times New Roman" w:hAnsi="Times New Roman" w:cs="Times New Roman"/>
          <w:bCs/>
          <w:sz w:val="28"/>
          <w:szCs w:val="28"/>
        </w:rPr>
      </w:pPr>
    </w:p>
    <w:p w14:paraId="3EECCF3C" w14:textId="4A2EC718" w:rsidR="006738B1" w:rsidRPr="004D7BC9" w:rsidRDefault="00FE3A71" w:rsidP="004D7BC9">
      <w:pPr>
        <w:pStyle w:val="ListParagraph"/>
        <w:numPr>
          <w:ilvl w:val="0"/>
          <w:numId w:val="1"/>
        </w:numPr>
        <w:spacing w:after="0" w:line="240" w:lineRule="auto"/>
        <w:jc w:val="both"/>
        <w:rPr>
          <w:rFonts w:ascii="Times New Roman" w:hAnsi="Times New Roman" w:cs="Times New Roman"/>
          <w:bCs/>
          <w:sz w:val="28"/>
          <w:szCs w:val="28"/>
        </w:rPr>
      </w:pPr>
      <w:r w:rsidRPr="000C4D37">
        <w:rPr>
          <w:rFonts w:ascii="Times New Roman" w:hAnsi="Times New Roman" w:cs="Times New Roman"/>
          <w:bCs/>
          <w:sz w:val="28"/>
          <w:szCs w:val="28"/>
        </w:rPr>
        <w:t xml:space="preserve">On February </w:t>
      </w:r>
      <w:r w:rsidR="00083F64" w:rsidRPr="000C4D37">
        <w:rPr>
          <w:rFonts w:ascii="Times New Roman" w:hAnsi="Times New Roman" w:cs="Times New Roman"/>
          <w:bCs/>
          <w:sz w:val="28"/>
          <w:szCs w:val="28"/>
        </w:rPr>
        <w:t>1</w:t>
      </w:r>
      <w:r w:rsidR="00083F64" w:rsidRPr="004D7BC9">
        <w:rPr>
          <w:rFonts w:ascii="Times New Roman" w:hAnsi="Times New Roman" w:cs="Times New Roman"/>
          <w:bCs/>
          <w:sz w:val="28"/>
          <w:szCs w:val="28"/>
        </w:rPr>
        <w:t xml:space="preserve">, 2000, </w:t>
      </w:r>
      <w:proofErr w:type="spellStart"/>
      <w:r w:rsidR="00F40019" w:rsidRPr="004D7BC9">
        <w:rPr>
          <w:rFonts w:ascii="Times New Roman" w:hAnsi="Times New Roman" w:cs="Times New Roman"/>
          <w:bCs/>
          <w:sz w:val="28"/>
          <w:szCs w:val="28"/>
        </w:rPr>
        <w:t>Shiha</w:t>
      </w:r>
      <w:proofErr w:type="spellEnd"/>
      <w:r w:rsidR="00F40019" w:rsidRPr="004D7BC9">
        <w:rPr>
          <w:rFonts w:ascii="Times New Roman" w:hAnsi="Times New Roman" w:cs="Times New Roman"/>
          <w:bCs/>
          <w:sz w:val="28"/>
          <w:szCs w:val="28"/>
        </w:rPr>
        <w:t xml:space="preserve"> Energy Transmission Limited</w:t>
      </w:r>
      <w:r w:rsidR="00077ABB" w:rsidRPr="004D7BC9">
        <w:rPr>
          <w:rFonts w:ascii="Times New Roman" w:hAnsi="Times New Roman" w:cs="Times New Roman"/>
          <w:bCs/>
          <w:sz w:val="28"/>
          <w:szCs w:val="28"/>
        </w:rPr>
        <w:t xml:space="preserve"> (</w:t>
      </w:r>
      <w:proofErr w:type="spellStart"/>
      <w:r w:rsidR="00077ABB" w:rsidRPr="004D7BC9">
        <w:rPr>
          <w:rFonts w:ascii="Times New Roman" w:hAnsi="Times New Roman" w:cs="Times New Roman"/>
          <w:bCs/>
          <w:sz w:val="28"/>
          <w:szCs w:val="28"/>
        </w:rPr>
        <w:t>Shiha</w:t>
      </w:r>
      <w:proofErr w:type="spellEnd"/>
      <w:r w:rsidR="00077ABB" w:rsidRPr="004D7BC9">
        <w:rPr>
          <w:rFonts w:ascii="Times New Roman" w:hAnsi="Times New Roman" w:cs="Times New Roman"/>
          <w:bCs/>
          <w:sz w:val="28"/>
          <w:szCs w:val="28"/>
        </w:rPr>
        <w:t xml:space="preserve"> Ltd)</w:t>
      </w:r>
      <w:r w:rsidR="00F40019" w:rsidRPr="004D7BC9">
        <w:rPr>
          <w:rFonts w:ascii="Times New Roman" w:hAnsi="Times New Roman" w:cs="Times New Roman"/>
          <w:bCs/>
          <w:sz w:val="28"/>
          <w:szCs w:val="28"/>
        </w:rPr>
        <w:t xml:space="preserve">, </w:t>
      </w:r>
      <w:r w:rsidR="00083F64" w:rsidRPr="004D7BC9">
        <w:rPr>
          <w:rFonts w:ascii="Times New Roman" w:hAnsi="Times New Roman" w:cs="Times New Roman"/>
          <w:bCs/>
          <w:sz w:val="28"/>
          <w:szCs w:val="28"/>
        </w:rPr>
        <w:t>Paramount</w:t>
      </w:r>
      <w:r w:rsidR="005C6F19" w:rsidRPr="004D7BC9">
        <w:rPr>
          <w:rFonts w:ascii="Times New Roman" w:hAnsi="Times New Roman" w:cs="Times New Roman"/>
          <w:bCs/>
          <w:sz w:val="28"/>
          <w:szCs w:val="28"/>
        </w:rPr>
        <w:t>, ADK</w:t>
      </w:r>
      <w:r w:rsidR="00083F64" w:rsidRPr="004D7BC9">
        <w:rPr>
          <w:rFonts w:ascii="Times New Roman" w:hAnsi="Times New Roman" w:cs="Times New Roman"/>
          <w:bCs/>
          <w:sz w:val="28"/>
          <w:szCs w:val="28"/>
        </w:rPr>
        <w:t xml:space="preserve"> and </w:t>
      </w:r>
      <w:r w:rsidR="005C6F19" w:rsidRPr="004D7BC9">
        <w:rPr>
          <w:rFonts w:ascii="Times New Roman" w:hAnsi="Times New Roman" w:cs="Times New Roman"/>
          <w:bCs/>
          <w:sz w:val="28"/>
          <w:szCs w:val="28"/>
        </w:rPr>
        <w:t>Berkley Petroleum Corp.</w:t>
      </w:r>
      <w:r w:rsidR="00A04E6C" w:rsidRPr="004D7BC9">
        <w:rPr>
          <w:rFonts w:ascii="Times New Roman" w:hAnsi="Times New Roman" w:cs="Times New Roman"/>
          <w:bCs/>
          <w:sz w:val="28"/>
          <w:szCs w:val="28"/>
        </w:rPr>
        <w:t xml:space="preserve"> (Berkley</w:t>
      </w:r>
      <w:r w:rsidR="00204D92">
        <w:rPr>
          <w:rFonts w:ascii="Times New Roman" w:hAnsi="Times New Roman" w:cs="Times New Roman"/>
          <w:bCs/>
          <w:sz w:val="28"/>
          <w:szCs w:val="28"/>
        </w:rPr>
        <w:t>)</w:t>
      </w:r>
      <w:r w:rsidR="005C6F19" w:rsidRPr="004D7BC9">
        <w:rPr>
          <w:rFonts w:ascii="Times New Roman" w:hAnsi="Times New Roman" w:cs="Times New Roman"/>
          <w:bCs/>
          <w:sz w:val="28"/>
          <w:szCs w:val="28"/>
        </w:rPr>
        <w:t xml:space="preserve"> </w:t>
      </w:r>
      <w:proofErr w:type="gramStart"/>
      <w:r w:rsidR="005C6F19" w:rsidRPr="004D7BC9">
        <w:rPr>
          <w:rFonts w:ascii="Times New Roman" w:hAnsi="Times New Roman" w:cs="Times New Roman"/>
          <w:bCs/>
          <w:sz w:val="28"/>
          <w:szCs w:val="28"/>
        </w:rPr>
        <w:t>entered</w:t>
      </w:r>
      <w:r w:rsidR="00DA4B38">
        <w:rPr>
          <w:rFonts w:ascii="Times New Roman" w:hAnsi="Times New Roman" w:cs="Times New Roman"/>
          <w:bCs/>
          <w:sz w:val="28"/>
          <w:szCs w:val="28"/>
        </w:rPr>
        <w:t xml:space="preserve"> </w:t>
      </w:r>
      <w:r w:rsidR="005C6F19" w:rsidRPr="004D7BC9">
        <w:rPr>
          <w:rFonts w:ascii="Times New Roman" w:hAnsi="Times New Roman" w:cs="Times New Roman"/>
          <w:bCs/>
          <w:sz w:val="28"/>
          <w:szCs w:val="28"/>
        </w:rPr>
        <w:t>into</w:t>
      </w:r>
      <w:proofErr w:type="gramEnd"/>
      <w:r w:rsidR="005C6F19" w:rsidRPr="004D7BC9">
        <w:rPr>
          <w:rFonts w:ascii="Times New Roman" w:hAnsi="Times New Roman" w:cs="Times New Roman"/>
          <w:bCs/>
          <w:sz w:val="28"/>
          <w:szCs w:val="28"/>
        </w:rPr>
        <w:t xml:space="preserve"> </w:t>
      </w:r>
      <w:r w:rsidR="009E2FFB" w:rsidRPr="004D7BC9">
        <w:rPr>
          <w:rFonts w:ascii="Times New Roman" w:hAnsi="Times New Roman" w:cs="Times New Roman"/>
          <w:bCs/>
          <w:sz w:val="28"/>
          <w:szCs w:val="28"/>
        </w:rPr>
        <w:t xml:space="preserve">the </w:t>
      </w:r>
      <w:proofErr w:type="spellStart"/>
      <w:r w:rsidR="009E2FFB" w:rsidRPr="004D7BC9">
        <w:rPr>
          <w:rFonts w:ascii="Times New Roman" w:hAnsi="Times New Roman" w:cs="Times New Roman"/>
          <w:bCs/>
          <w:sz w:val="28"/>
          <w:szCs w:val="28"/>
        </w:rPr>
        <w:t>Shiha</w:t>
      </w:r>
      <w:proofErr w:type="spellEnd"/>
      <w:r w:rsidR="009E2FFB" w:rsidRPr="004D7BC9">
        <w:rPr>
          <w:rFonts w:ascii="Times New Roman" w:hAnsi="Times New Roman" w:cs="Times New Roman"/>
          <w:bCs/>
          <w:sz w:val="28"/>
          <w:szCs w:val="28"/>
        </w:rPr>
        <w:t xml:space="preserve"> Partnership Agreement. </w:t>
      </w:r>
      <w:proofErr w:type="spellStart"/>
      <w:r w:rsidR="009E2FFB" w:rsidRPr="004D7BC9">
        <w:rPr>
          <w:rFonts w:ascii="Times New Roman" w:hAnsi="Times New Roman" w:cs="Times New Roman"/>
          <w:bCs/>
          <w:sz w:val="28"/>
          <w:szCs w:val="28"/>
        </w:rPr>
        <w:t>Shiha</w:t>
      </w:r>
      <w:proofErr w:type="spellEnd"/>
      <w:r w:rsidR="009E2FFB" w:rsidRPr="004D7BC9">
        <w:rPr>
          <w:rFonts w:ascii="Times New Roman" w:hAnsi="Times New Roman" w:cs="Times New Roman"/>
          <w:bCs/>
          <w:sz w:val="28"/>
          <w:szCs w:val="28"/>
        </w:rPr>
        <w:t xml:space="preserve"> </w:t>
      </w:r>
      <w:r w:rsidR="00077ABB" w:rsidRPr="004D7BC9">
        <w:rPr>
          <w:rFonts w:ascii="Times New Roman" w:hAnsi="Times New Roman" w:cs="Times New Roman"/>
          <w:bCs/>
          <w:sz w:val="28"/>
          <w:szCs w:val="28"/>
        </w:rPr>
        <w:t>Ltd</w:t>
      </w:r>
      <w:r w:rsidR="009E2FFB" w:rsidRPr="004D7BC9">
        <w:rPr>
          <w:rFonts w:ascii="Times New Roman" w:hAnsi="Times New Roman" w:cs="Times New Roman"/>
          <w:bCs/>
          <w:sz w:val="28"/>
          <w:szCs w:val="28"/>
        </w:rPr>
        <w:t xml:space="preserve"> </w:t>
      </w:r>
      <w:r w:rsidR="00AF00CF" w:rsidRPr="004D7BC9">
        <w:rPr>
          <w:rFonts w:ascii="Times New Roman" w:hAnsi="Times New Roman" w:cs="Times New Roman"/>
          <w:bCs/>
          <w:sz w:val="28"/>
          <w:szCs w:val="28"/>
        </w:rPr>
        <w:t>is</w:t>
      </w:r>
      <w:r w:rsidR="005C6F19" w:rsidRPr="004D7BC9">
        <w:rPr>
          <w:rFonts w:ascii="Times New Roman" w:hAnsi="Times New Roman" w:cs="Times New Roman"/>
          <w:bCs/>
          <w:sz w:val="28"/>
          <w:szCs w:val="28"/>
        </w:rPr>
        <w:t xml:space="preserve"> the general partner</w:t>
      </w:r>
      <w:r w:rsidR="009E2FFB" w:rsidRPr="004D7BC9">
        <w:rPr>
          <w:rFonts w:ascii="Times New Roman" w:hAnsi="Times New Roman" w:cs="Times New Roman"/>
          <w:bCs/>
          <w:sz w:val="28"/>
          <w:szCs w:val="28"/>
        </w:rPr>
        <w:t>,</w:t>
      </w:r>
      <w:r w:rsidR="005C6F19" w:rsidRPr="004D7BC9">
        <w:rPr>
          <w:rFonts w:ascii="Times New Roman" w:hAnsi="Times New Roman" w:cs="Times New Roman"/>
          <w:bCs/>
          <w:sz w:val="28"/>
          <w:szCs w:val="28"/>
        </w:rPr>
        <w:t xml:space="preserve"> and the three other</w:t>
      </w:r>
      <w:r w:rsidR="00387107" w:rsidRPr="004D7BC9">
        <w:rPr>
          <w:rFonts w:ascii="Times New Roman" w:hAnsi="Times New Roman" w:cs="Times New Roman"/>
          <w:bCs/>
          <w:sz w:val="28"/>
          <w:szCs w:val="28"/>
        </w:rPr>
        <w:t xml:space="preserve"> parties </w:t>
      </w:r>
      <w:r w:rsidR="00115C4E" w:rsidRPr="004D7BC9">
        <w:rPr>
          <w:rFonts w:ascii="Times New Roman" w:hAnsi="Times New Roman" w:cs="Times New Roman"/>
          <w:bCs/>
          <w:sz w:val="28"/>
          <w:szCs w:val="28"/>
        </w:rPr>
        <w:t xml:space="preserve">are </w:t>
      </w:r>
      <w:r w:rsidR="00AD4288" w:rsidRPr="004D7BC9">
        <w:rPr>
          <w:rFonts w:ascii="Times New Roman" w:hAnsi="Times New Roman" w:cs="Times New Roman"/>
          <w:bCs/>
          <w:sz w:val="28"/>
          <w:szCs w:val="28"/>
        </w:rPr>
        <w:t>limited partners.</w:t>
      </w:r>
      <w:r w:rsidR="00FC537E" w:rsidRPr="004D7BC9">
        <w:rPr>
          <w:rFonts w:ascii="Times New Roman" w:hAnsi="Times New Roman" w:cs="Times New Roman"/>
          <w:bCs/>
          <w:sz w:val="28"/>
          <w:szCs w:val="28"/>
        </w:rPr>
        <w:t xml:space="preserve"> </w:t>
      </w:r>
      <w:r w:rsidR="003A07A8" w:rsidRPr="004D7BC9">
        <w:rPr>
          <w:rFonts w:ascii="Times New Roman" w:hAnsi="Times New Roman" w:cs="Times New Roman"/>
          <w:bCs/>
          <w:sz w:val="28"/>
          <w:szCs w:val="28"/>
        </w:rPr>
        <w:t xml:space="preserve">ADK </w:t>
      </w:r>
      <w:r w:rsidR="00AF00CF" w:rsidRPr="004D7BC9">
        <w:rPr>
          <w:rFonts w:ascii="Times New Roman" w:hAnsi="Times New Roman" w:cs="Times New Roman"/>
          <w:bCs/>
          <w:sz w:val="28"/>
          <w:szCs w:val="28"/>
        </w:rPr>
        <w:t>holds</w:t>
      </w:r>
      <w:r w:rsidR="003A07A8" w:rsidRPr="004D7BC9">
        <w:rPr>
          <w:rFonts w:ascii="Times New Roman" w:hAnsi="Times New Roman" w:cs="Times New Roman"/>
          <w:bCs/>
          <w:sz w:val="28"/>
          <w:szCs w:val="28"/>
        </w:rPr>
        <w:t xml:space="preserve"> 10% of the limited partnership units.</w:t>
      </w:r>
      <w:r w:rsidR="00C82E24" w:rsidRPr="004D7BC9">
        <w:rPr>
          <w:rFonts w:ascii="Times New Roman" w:hAnsi="Times New Roman" w:cs="Times New Roman"/>
          <w:bCs/>
          <w:sz w:val="28"/>
          <w:szCs w:val="28"/>
        </w:rPr>
        <w:t xml:space="preserve"> </w:t>
      </w:r>
      <w:r w:rsidR="001B3A70" w:rsidRPr="004D7BC9">
        <w:rPr>
          <w:rFonts w:ascii="Times New Roman" w:hAnsi="Times New Roman" w:cs="Times New Roman"/>
          <w:bCs/>
          <w:sz w:val="28"/>
          <w:szCs w:val="28"/>
        </w:rPr>
        <w:t xml:space="preserve">The main purpose of the </w:t>
      </w:r>
      <w:r w:rsidR="00FD7C93" w:rsidRPr="004D7BC9">
        <w:rPr>
          <w:rFonts w:ascii="Times New Roman" w:hAnsi="Times New Roman" w:cs="Times New Roman"/>
          <w:bCs/>
          <w:sz w:val="28"/>
          <w:szCs w:val="28"/>
        </w:rPr>
        <w:t>partnership</w:t>
      </w:r>
      <w:r w:rsidR="001B3A70" w:rsidRPr="004D7BC9">
        <w:rPr>
          <w:rFonts w:ascii="Times New Roman" w:hAnsi="Times New Roman" w:cs="Times New Roman"/>
          <w:bCs/>
          <w:sz w:val="28"/>
          <w:szCs w:val="28"/>
        </w:rPr>
        <w:t xml:space="preserve"> was to acquire, construct, and op</w:t>
      </w:r>
      <w:r w:rsidR="00FD7C93" w:rsidRPr="004D7BC9">
        <w:rPr>
          <w:rFonts w:ascii="Times New Roman" w:hAnsi="Times New Roman" w:cs="Times New Roman"/>
          <w:bCs/>
          <w:sz w:val="28"/>
          <w:szCs w:val="28"/>
        </w:rPr>
        <w:t xml:space="preserve">erate a natural gas pipeline from the Northwest Territories to </w:t>
      </w:r>
      <w:r w:rsidR="008A20BD" w:rsidRPr="004D7BC9">
        <w:rPr>
          <w:rFonts w:ascii="Times New Roman" w:hAnsi="Times New Roman" w:cs="Times New Roman"/>
          <w:bCs/>
          <w:sz w:val="28"/>
          <w:szCs w:val="28"/>
        </w:rPr>
        <w:t xml:space="preserve">British Columbia. </w:t>
      </w:r>
      <w:r w:rsidR="003C424D" w:rsidRPr="004D7BC9">
        <w:rPr>
          <w:rFonts w:ascii="Times New Roman" w:hAnsi="Times New Roman" w:cs="Times New Roman"/>
          <w:bCs/>
          <w:sz w:val="28"/>
          <w:szCs w:val="28"/>
        </w:rPr>
        <w:t>On February 1, 2000, the</w:t>
      </w:r>
      <w:r w:rsidR="005159C8" w:rsidRPr="004D7BC9">
        <w:rPr>
          <w:rFonts w:ascii="Times New Roman" w:hAnsi="Times New Roman" w:cs="Times New Roman"/>
          <w:bCs/>
          <w:sz w:val="28"/>
          <w:szCs w:val="28"/>
        </w:rPr>
        <w:t xml:space="preserve"> same parties entered into a share</w:t>
      </w:r>
      <w:r w:rsidR="009374BC" w:rsidRPr="004D7BC9">
        <w:rPr>
          <w:rFonts w:ascii="Times New Roman" w:hAnsi="Times New Roman" w:cs="Times New Roman"/>
          <w:bCs/>
          <w:sz w:val="28"/>
          <w:szCs w:val="28"/>
        </w:rPr>
        <w:t xml:space="preserve">holder agreement of </w:t>
      </w:r>
      <w:proofErr w:type="spellStart"/>
      <w:r w:rsidR="009374BC" w:rsidRPr="004D7BC9">
        <w:rPr>
          <w:rFonts w:ascii="Times New Roman" w:hAnsi="Times New Roman" w:cs="Times New Roman"/>
          <w:bCs/>
          <w:sz w:val="28"/>
          <w:szCs w:val="28"/>
        </w:rPr>
        <w:t>Shiha</w:t>
      </w:r>
      <w:proofErr w:type="spellEnd"/>
      <w:r w:rsidR="00077ABB" w:rsidRPr="004D7BC9">
        <w:rPr>
          <w:rFonts w:ascii="Times New Roman" w:hAnsi="Times New Roman" w:cs="Times New Roman"/>
          <w:bCs/>
          <w:sz w:val="28"/>
          <w:szCs w:val="28"/>
        </w:rPr>
        <w:t xml:space="preserve"> Ltd</w:t>
      </w:r>
      <w:r w:rsidR="005159C8" w:rsidRPr="004D7BC9">
        <w:rPr>
          <w:rFonts w:ascii="Times New Roman" w:hAnsi="Times New Roman" w:cs="Times New Roman"/>
          <w:bCs/>
          <w:sz w:val="28"/>
          <w:szCs w:val="28"/>
        </w:rPr>
        <w:t xml:space="preserve">. </w:t>
      </w:r>
      <w:r w:rsidR="009374BC" w:rsidRPr="004D7BC9">
        <w:rPr>
          <w:rFonts w:ascii="Times New Roman" w:hAnsi="Times New Roman" w:cs="Times New Roman"/>
          <w:bCs/>
          <w:sz w:val="28"/>
          <w:szCs w:val="28"/>
        </w:rPr>
        <w:t>A</w:t>
      </w:r>
      <w:r w:rsidR="003C424D" w:rsidRPr="004D7BC9">
        <w:rPr>
          <w:rFonts w:ascii="Times New Roman" w:hAnsi="Times New Roman" w:cs="Times New Roman"/>
          <w:bCs/>
          <w:sz w:val="28"/>
          <w:szCs w:val="28"/>
        </w:rPr>
        <w:t xml:space="preserve">lthough the </w:t>
      </w:r>
      <w:r w:rsidR="009374BC" w:rsidRPr="004D7BC9">
        <w:rPr>
          <w:rFonts w:ascii="Times New Roman" w:hAnsi="Times New Roman" w:cs="Times New Roman"/>
          <w:bCs/>
          <w:sz w:val="28"/>
          <w:szCs w:val="28"/>
        </w:rPr>
        <w:t>ownership</w:t>
      </w:r>
      <w:r w:rsidR="003C424D" w:rsidRPr="004D7BC9">
        <w:rPr>
          <w:rFonts w:ascii="Times New Roman" w:hAnsi="Times New Roman" w:cs="Times New Roman"/>
          <w:bCs/>
          <w:sz w:val="28"/>
          <w:szCs w:val="28"/>
        </w:rPr>
        <w:t xml:space="preserve"> and control of </w:t>
      </w:r>
      <w:r w:rsidR="000C4D37" w:rsidRPr="004D7BC9">
        <w:rPr>
          <w:rFonts w:ascii="Times New Roman" w:hAnsi="Times New Roman" w:cs="Times New Roman"/>
          <w:bCs/>
          <w:sz w:val="28"/>
          <w:szCs w:val="28"/>
        </w:rPr>
        <w:t xml:space="preserve">the corporation varied </w:t>
      </w:r>
      <w:r w:rsidR="00077ABB" w:rsidRPr="004D7BC9">
        <w:rPr>
          <w:rFonts w:ascii="Times New Roman" w:hAnsi="Times New Roman" w:cs="Times New Roman"/>
          <w:bCs/>
          <w:sz w:val="28"/>
          <w:szCs w:val="28"/>
        </w:rPr>
        <w:t xml:space="preserve">over time, </w:t>
      </w:r>
      <w:r w:rsidR="00C82E24" w:rsidRPr="004D7BC9">
        <w:rPr>
          <w:rFonts w:ascii="Times New Roman" w:hAnsi="Times New Roman" w:cs="Times New Roman"/>
          <w:bCs/>
          <w:sz w:val="28"/>
          <w:szCs w:val="28"/>
        </w:rPr>
        <w:t>ADK</w:t>
      </w:r>
      <w:r w:rsidR="003849AA" w:rsidRPr="004D7BC9">
        <w:rPr>
          <w:rFonts w:ascii="Times New Roman" w:hAnsi="Times New Roman" w:cs="Times New Roman"/>
          <w:bCs/>
          <w:sz w:val="28"/>
          <w:szCs w:val="28"/>
        </w:rPr>
        <w:t xml:space="preserve"> has</w:t>
      </w:r>
      <w:r w:rsidR="00C82E24" w:rsidRPr="004D7BC9">
        <w:rPr>
          <w:rFonts w:ascii="Times New Roman" w:hAnsi="Times New Roman" w:cs="Times New Roman"/>
          <w:bCs/>
          <w:sz w:val="28"/>
          <w:szCs w:val="28"/>
        </w:rPr>
        <w:t xml:space="preserve"> </w:t>
      </w:r>
      <w:r w:rsidR="000C4D37" w:rsidRPr="004D7BC9">
        <w:rPr>
          <w:rFonts w:ascii="Times New Roman" w:hAnsi="Times New Roman" w:cs="Times New Roman"/>
          <w:bCs/>
          <w:sz w:val="28"/>
          <w:szCs w:val="28"/>
        </w:rPr>
        <w:t>always</w:t>
      </w:r>
      <w:r w:rsidR="00C82E24" w:rsidRPr="004D7BC9">
        <w:rPr>
          <w:rFonts w:ascii="Times New Roman" w:hAnsi="Times New Roman" w:cs="Times New Roman"/>
          <w:bCs/>
          <w:sz w:val="28"/>
          <w:szCs w:val="28"/>
        </w:rPr>
        <w:t xml:space="preserve"> held 10% of the shares</w:t>
      </w:r>
      <w:r w:rsidR="000C4D37" w:rsidRPr="004D7BC9">
        <w:rPr>
          <w:rFonts w:ascii="Times New Roman" w:hAnsi="Times New Roman" w:cs="Times New Roman"/>
          <w:bCs/>
          <w:sz w:val="28"/>
          <w:szCs w:val="28"/>
        </w:rPr>
        <w:t>.</w:t>
      </w:r>
      <w:r w:rsidR="00F43551" w:rsidRPr="004D7BC9">
        <w:rPr>
          <w:rFonts w:ascii="Times New Roman" w:hAnsi="Times New Roman" w:cs="Times New Roman"/>
          <w:bCs/>
          <w:sz w:val="28"/>
          <w:szCs w:val="28"/>
        </w:rPr>
        <w:t xml:space="preserve"> </w:t>
      </w:r>
      <w:r w:rsidR="008F2484" w:rsidRPr="004D7BC9">
        <w:rPr>
          <w:rFonts w:ascii="Times New Roman" w:hAnsi="Times New Roman" w:cs="Times New Roman"/>
          <w:bCs/>
          <w:sz w:val="28"/>
          <w:szCs w:val="28"/>
        </w:rPr>
        <w:t>At all times s</w:t>
      </w:r>
      <w:r w:rsidR="00EE0916" w:rsidRPr="004D7BC9">
        <w:rPr>
          <w:rFonts w:ascii="Times New Roman" w:hAnsi="Times New Roman" w:cs="Times New Roman"/>
          <w:bCs/>
          <w:sz w:val="28"/>
          <w:szCs w:val="28"/>
        </w:rPr>
        <w:t>ince</w:t>
      </w:r>
      <w:r w:rsidR="00F43551" w:rsidRPr="004D7BC9">
        <w:rPr>
          <w:rFonts w:ascii="Times New Roman" w:hAnsi="Times New Roman" w:cs="Times New Roman"/>
          <w:bCs/>
          <w:sz w:val="28"/>
          <w:szCs w:val="28"/>
        </w:rPr>
        <w:t xml:space="preserve"> </w:t>
      </w:r>
      <w:proofErr w:type="spellStart"/>
      <w:r w:rsidR="00F43551" w:rsidRPr="004D7BC9">
        <w:rPr>
          <w:rFonts w:ascii="Times New Roman" w:hAnsi="Times New Roman" w:cs="Times New Roman"/>
          <w:bCs/>
          <w:sz w:val="28"/>
          <w:szCs w:val="28"/>
        </w:rPr>
        <w:t>Shiha</w:t>
      </w:r>
      <w:proofErr w:type="spellEnd"/>
      <w:r w:rsidR="00F43551" w:rsidRPr="004D7BC9">
        <w:rPr>
          <w:rFonts w:ascii="Times New Roman" w:hAnsi="Times New Roman" w:cs="Times New Roman"/>
          <w:bCs/>
          <w:sz w:val="28"/>
          <w:szCs w:val="28"/>
        </w:rPr>
        <w:t xml:space="preserve"> </w:t>
      </w:r>
      <w:proofErr w:type="spellStart"/>
      <w:r w:rsidR="00F43551" w:rsidRPr="004D7BC9">
        <w:rPr>
          <w:rFonts w:ascii="Times New Roman" w:hAnsi="Times New Roman" w:cs="Times New Roman"/>
          <w:bCs/>
          <w:sz w:val="28"/>
          <w:szCs w:val="28"/>
        </w:rPr>
        <w:t>Ltd’s</w:t>
      </w:r>
      <w:proofErr w:type="spellEnd"/>
      <w:r w:rsidR="00F43551" w:rsidRPr="004D7BC9">
        <w:rPr>
          <w:rFonts w:ascii="Times New Roman" w:hAnsi="Times New Roman" w:cs="Times New Roman"/>
          <w:bCs/>
          <w:sz w:val="28"/>
          <w:szCs w:val="28"/>
        </w:rPr>
        <w:t xml:space="preserve"> incorporation,</w:t>
      </w:r>
      <w:r w:rsidR="0091527D" w:rsidRPr="004D7BC9">
        <w:rPr>
          <w:rFonts w:ascii="Times New Roman" w:hAnsi="Times New Roman" w:cs="Times New Roman"/>
          <w:bCs/>
          <w:sz w:val="28"/>
          <w:szCs w:val="28"/>
        </w:rPr>
        <w:t xml:space="preserve"> t</w:t>
      </w:r>
      <w:r w:rsidR="001B3A70" w:rsidRPr="004D7BC9">
        <w:rPr>
          <w:rFonts w:ascii="Times New Roman" w:hAnsi="Times New Roman" w:cs="Times New Roman"/>
          <w:bCs/>
          <w:sz w:val="28"/>
          <w:szCs w:val="28"/>
        </w:rPr>
        <w:t xml:space="preserve">wo representatives of ADK served </w:t>
      </w:r>
      <w:r w:rsidR="007D0508" w:rsidRPr="004D7BC9">
        <w:rPr>
          <w:rFonts w:ascii="Times New Roman" w:hAnsi="Times New Roman" w:cs="Times New Roman"/>
          <w:bCs/>
          <w:sz w:val="28"/>
          <w:szCs w:val="28"/>
        </w:rPr>
        <w:t xml:space="preserve">as directors </w:t>
      </w:r>
      <w:r w:rsidR="0091527D" w:rsidRPr="004D7BC9">
        <w:rPr>
          <w:rFonts w:ascii="Times New Roman" w:hAnsi="Times New Roman" w:cs="Times New Roman"/>
          <w:bCs/>
          <w:sz w:val="28"/>
          <w:szCs w:val="28"/>
        </w:rPr>
        <w:t xml:space="preserve">on a board of six directors. </w:t>
      </w:r>
    </w:p>
    <w:p w14:paraId="5CE98E92" w14:textId="77777777" w:rsidR="003A07A8" w:rsidRPr="00D053FB" w:rsidRDefault="003A07A8" w:rsidP="003A07A8">
      <w:pPr>
        <w:pStyle w:val="ListParagraph"/>
        <w:spacing w:after="0" w:line="240" w:lineRule="auto"/>
        <w:ind w:left="0"/>
        <w:jc w:val="both"/>
        <w:rPr>
          <w:rFonts w:ascii="Times New Roman" w:hAnsi="Times New Roman" w:cs="Times New Roman"/>
          <w:bCs/>
          <w:sz w:val="28"/>
          <w:szCs w:val="28"/>
        </w:rPr>
      </w:pPr>
    </w:p>
    <w:p w14:paraId="5F647008" w14:textId="21DE2132" w:rsidR="004316E3" w:rsidRDefault="008E522A" w:rsidP="00BD5D9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The </w:t>
      </w:r>
      <w:proofErr w:type="spellStart"/>
      <w:r w:rsidRPr="00403186">
        <w:rPr>
          <w:rFonts w:ascii="Times New Roman" w:hAnsi="Times New Roman" w:cs="Times New Roman"/>
          <w:bCs/>
          <w:sz w:val="28"/>
          <w:szCs w:val="28"/>
        </w:rPr>
        <w:t>Shiha</w:t>
      </w:r>
      <w:proofErr w:type="spellEnd"/>
      <w:r w:rsidRPr="00403186">
        <w:rPr>
          <w:rFonts w:ascii="Times New Roman" w:hAnsi="Times New Roman" w:cs="Times New Roman"/>
          <w:bCs/>
          <w:sz w:val="28"/>
          <w:szCs w:val="28"/>
        </w:rPr>
        <w:t xml:space="preserve"> Partnership Agreement</w:t>
      </w:r>
      <w:r>
        <w:rPr>
          <w:rFonts w:ascii="Times New Roman" w:hAnsi="Times New Roman" w:cs="Times New Roman"/>
          <w:bCs/>
          <w:sz w:val="28"/>
          <w:szCs w:val="28"/>
        </w:rPr>
        <w:t xml:space="preserve"> provides that </w:t>
      </w:r>
      <w:r w:rsidR="0013125F">
        <w:rPr>
          <w:rFonts w:ascii="Times New Roman" w:hAnsi="Times New Roman" w:cs="Times New Roman"/>
          <w:bCs/>
          <w:sz w:val="28"/>
          <w:szCs w:val="28"/>
        </w:rPr>
        <w:t xml:space="preserve">the limited partners are entitled to distributions from revenue generated </w:t>
      </w:r>
      <w:r w:rsidR="008033F7">
        <w:rPr>
          <w:rFonts w:ascii="Times New Roman" w:hAnsi="Times New Roman" w:cs="Times New Roman"/>
          <w:bCs/>
          <w:sz w:val="28"/>
          <w:szCs w:val="28"/>
        </w:rPr>
        <w:t>by</w:t>
      </w:r>
      <w:r w:rsidR="0013125F">
        <w:rPr>
          <w:rFonts w:ascii="Times New Roman" w:hAnsi="Times New Roman" w:cs="Times New Roman"/>
          <w:bCs/>
          <w:sz w:val="28"/>
          <w:szCs w:val="28"/>
        </w:rPr>
        <w:t xml:space="preserve"> the petroleum and gas developments on the Lands</w:t>
      </w:r>
      <w:r w:rsidR="00E40E1C">
        <w:rPr>
          <w:rFonts w:ascii="Times New Roman" w:hAnsi="Times New Roman" w:cs="Times New Roman"/>
          <w:bCs/>
          <w:sz w:val="28"/>
          <w:szCs w:val="28"/>
        </w:rPr>
        <w:t xml:space="preserve"> provided certain conditions are met</w:t>
      </w:r>
      <w:r w:rsidR="007A5F9C">
        <w:rPr>
          <w:rFonts w:ascii="Times New Roman" w:hAnsi="Times New Roman" w:cs="Times New Roman"/>
          <w:bCs/>
          <w:sz w:val="28"/>
          <w:szCs w:val="28"/>
        </w:rPr>
        <w:t xml:space="preserve">. </w:t>
      </w:r>
      <w:r w:rsidR="00E40E1C">
        <w:rPr>
          <w:rFonts w:ascii="Times New Roman" w:hAnsi="Times New Roman" w:cs="Times New Roman"/>
          <w:bCs/>
          <w:sz w:val="28"/>
          <w:szCs w:val="28"/>
        </w:rPr>
        <w:t>One of these conditions is that di</w:t>
      </w:r>
      <w:r w:rsidR="002D0DFC">
        <w:rPr>
          <w:rFonts w:ascii="Times New Roman" w:hAnsi="Times New Roman" w:cs="Times New Roman"/>
          <w:bCs/>
          <w:sz w:val="28"/>
          <w:szCs w:val="28"/>
        </w:rPr>
        <w:t>stributions</w:t>
      </w:r>
      <w:r w:rsidR="00A04E6C">
        <w:rPr>
          <w:rFonts w:ascii="Times New Roman" w:hAnsi="Times New Roman" w:cs="Times New Roman"/>
          <w:bCs/>
          <w:sz w:val="28"/>
          <w:szCs w:val="28"/>
        </w:rPr>
        <w:t xml:space="preserve"> will occur </w:t>
      </w:r>
      <w:r w:rsidR="00E5480B">
        <w:rPr>
          <w:rFonts w:ascii="Times New Roman" w:hAnsi="Times New Roman" w:cs="Times New Roman"/>
          <w:bCs/>
          <w:sz w:val="28"/>
          <w:szCs w:val="28"/>
        </w:rPr>
        <w:t xml:space="preserve">only </w:t>
      </w:r>
      <w:r w:rsidR="00EA7A57">
        <w:rPr>
          <w:rFonts w:ascii="Times New Roman" w:hAnsi="Times New Roman" w:cs="Times New Roman"/>
          <w:bCs/>
          <w:sz w:val="28"/>
          <w:szCs w:val="28"/>
        </w:rPr>
        <w:t xml:space="preserve">if </w:t>
      </w:r>
      <w:r w:rsidR="00517D25">
        <w:rPr>
          <w:rFonts w:ascii="Times New Roman" w:hAnsi="Times New Roman" w:cs="Times New Roman"/>
          <w:bCs/>
          <w:sz w:val="28"/>
          <w:szCs w:val="28"/>
        </w:rPr>
        <w:t xml:space="preserve">the </w:t>
      </w:r>
      <w:proofErr w:type="spellStart"/>
      <w:r w:rsidR="00517D25" w:rsidRPr="00403186">
        <w:rPr>
          <w:rFonts w:ascii="Times New Roman" w:hAnsi="Times New Roman" w:cs="Times New Roman"/>
          <w:bCs/>
          <w:sz w:val="28"/>
          <w:szCs w:val="28"/>
        </w:rPr>
        <w:t>Shiha</w:t>
      </w:r>
      <w:proofErr w:type="spellEnd"/>
      <w:r w:rsidR="00517D25" w:rsidRPr="00403186">
        <w:rPr>
          <w:rFonts w:ascii="Times New Roman" w:hAnsi="Times New Roman" w:cs="Times New Roman"/>
          <w:bCs/>
          <w:sz w:val="28"/>
          <w:szCs w:val="28"/>
        </w:rPr>
        <w:t xml:space="preserve"> Partnership</w:t>
      </w:r>
      <w:r w:rsidR="00A04E6C">
        <w:rPr>
          <w:rFonts w:ascii="Times New Roman" w:hAnsi="Times New Roman" w:cs="Times New Roman"/>
          <w:bCs/>
          <w:sz w:val="28"/>
          <w:szCs w:val="28"/>
        </w:rPr>
        <w:t xml:space="preserve"> is not indebted to Berkley or Paramount at the end of the fiscal year. </w:t>
      </w:r>
      <w:r w:rsidR="00042127">
        <w:rPr>
          <w:rFonts w:ascii="Times New Roman" w:hAnsi="Times New Roman" w:cs="Times New Roman"/>
          <w:bCs/>
          <w:sz w:val="28"/>
          <w:szCs w:val="28"/>
        </w:rPr>
        <w:t xml:space="preserve">The </w:t>
      </w:r>
      <w:proofErr w:type="spellStart"/>
      <w:r w:rsidR="00042127">
        <w:rPr>
          <w:rFonts w:ascii="Times New Roman" w:hAnsi="Times New Roman" w:cs="Times New Roman"/>
          <w:bCs/>
          <w:sz w:val="28"/>
          <w:szCs w:val="28"/>
        </w:rPr>
        <w:t>Shiha</w:t>
      </w:r>
      <w:proofErr w:type="spellEnd"/>
      <w:r w:rsidR="00042127">
        <w:rPr>
          <w:rFonts w:ascii="Times New Roman" w:hAnsi="Times New Roman" w:cs="Times New Roman"/>
          <w:bCs/>
          <w:sz w:val="28"/>
          <w:szCs w:val="28"/>
        </w:rPr>
        <w:t xml:space="preserve"> Partnership borrowed </w:t>
      </w:r>
      <w:r w:rsidR="00C7092A">
        <w:rPr>
          <w:rFonts w:ascii="Times New Roman" w:hAnsi="Times New Roman" w:cs="Times New Roman"/>
          <w:bCs/>
          <w:sz w:val="28"/>
          <w:szCs w:val="28"/>
        </w:rPr>
        <w:t xml:space="preserve">capital from </w:t>
      </w:r>
      <w:r w:rsidR="004D7965">
        <w:rPr>
          <w:rFonts w:ascii="Times New Roman" w:hAnsi="Times New Roman" w:cs="Times New Roman"/>
          <w:bCs/>
          <w:sz w:val="28"/>
          <w:szCs w:val="28"/>
        </w:rPr>
        <w:t>Berkley</w:t>
      </w:r>
      <w:r w:rsidR="00C7092A">
        <w:rPr>
          <w:rFonts w:ascii="Times New Roman" w:hAnsi="Times New Roman" w:cs="Times New Roman"/>
          <w:bCs/>
          <w:sz w:val="28"/>
          <w:szCs w:val="28"/>
        </w:rPr>
        <w:t xml:space="preserve"> and</w:t>
      </w:r>
      <w:r w:rsidR="004D7965">
        <w:rPr>
          <w:rFonts w:ascii="Times New Roman" w:hAnsi="Times New Roman" w:cs="Times New Roman"/>
          <w:bCs/>
          <w:sz w:val="28"/>
          <w:szCs w:val="28"/>
        </w:rPr>
        <w:t xml:space="preserve"> Paramount</w:t>
      </w:r>
      <w:r w:rsidR="00C7092A">
        <w:rPr>
          <w:rFonts w:ascii="Times New Roman" w:hAnsi="Times New Roman" w:cs="Times New Roman"/>
          <w:bCs/>
          <w:sz w:val="28"/>
          <w:szCs w:val="28"/>
        </w:rPr>
        <w:t>, who</w:t>
      </w:r>
      <w:r w:rsidR="004D7965">
        <w:rPr>
          <w:rFonts w:ascii="Times New Roman" w:hAnsi="Times New Roman" w:cs="Times New Roman"/>
          <w:bCs/>
          <w:sz w:val="28"/>
          <w:szCs w:val="28"/>
        </w:rPr>
        <w:t xml:space="preserve"> </w:t>
      </w:r>
      <w:r w:rsidR="002429B1">
        <w:rPr>
          <w:rFonts w:ascii="Times New Roman" w:hAnsi="Times New Roman" w:cs="Times New Roman"/>
          <w:bCs/>
          <w:sz w:val="28"/>
          <w:szCs w:val="28"/>
        </w:rPr>
        <w:t>advanc</w:t>
      </w:r>
      <w:r w:rsidR="00483C3C">
        <w:rPr>
          <w:rFonts w:ascii="Times New Roman" w:hAnsi="Times New Roman" w:cs="Times New Roman"/>
          <w:bCs/>
          <w:sz w:val="28"/>
          <w:szCs w:val="28"/>
        </w:rPr>
        <w:t>ed</w:t>
      </w:r>
      <w:r w:rsidR="002429B1">
        <w:rPr>
          <w:rFonts w:ascii="Times New Roman" w:hAnsi="Times New Roman" w:cs="Times New Roman"/>
          <w:bCs/>
          <w:sz w:val="28"/>
          <w:szCs w:val="28"/>
        </w:rPr>
        <w:t xml:space="preserve"> all the funds necessary for the construction, rebuilding, expansion, refurbishing, reclamation and </w:t>
      </w:r>
      <w:r w:rsidR="00EA7A57">
        <w:rPr>
          <w:rFonts w:ascii="Times New Roman" w:hAnsi="Times New Roman" w:cs="Times New Roman"/>
          <w:bCs/>
          <w:sz w:val="28"/>
          <w:szCs w:val="28"/>
        </w:rPr>
        <w:t>abandonment</w:t>
      </w:r>
      <w:r w:rsidR="0065308B">
        <w:rPr>
          <w:rFonts w:ascii="Times New Roman" w:hAnsi="Times New Roman" w:cs="Times New Roman"/>
          <w:bCs/>
          <w:sz w:val="28"/>
          <w:szCs w:val="28"/>
        </w:rPr>
        <w:t xml:space="preserve"> of </w:t>
      </w:r>
      <w:r w:rsidR="00EA7A57">
        <w:rPr>
          <w:rFonts w:ascii="Times New Roman" w:hAnsi="Times New Roman" w:cs="Times New Roman"/>
          <w:bCs/>
          <w:sz w:val="28"/>
          <w:szCs w:val="28"/>
        </w:rPr>
        <w:t>facilities</w:t>
      </w:r>
      <w:r w:rsidR="00CE247C">
        <w:rPr>
          <w:rFonts w:ascii="Times New Roman" w:hAnsi="Times New Roman" w:cs="Times New Roman"/>
          <w:bCs/>
          <w:sz w:val="28"/>
          <w:szCs w:val="28"/>
        </w:rPr>
        <w:t xml:space="preserve">, including </w:t>
      </w:r>
      <w:r w:rsidR="003E3ADF">
        <w:rPr>
          <w:rFonts w:ascii="Times New Roman" w:hAnsi="Times New Roman" w:cs="Times New Roman"/>
          <w:bCs/>
          <w:sz w:val="28"/>
          <w:szCs w:val="28"/>
        </w:rPr>
        <w:t xml:space="preserve">a pipeline (the </w:t>
      </w:r>
      <w:proofErr w:type="spellStart"/>
      <w:r w:rsidR="003E3ADF">
        <w:rPr>
          <w:rFonts w:ascii="Times New Roman" w:hAnsi="Times New Roman" w:cs="Times New Roman"/>
          <w:bCs/>
          <w:sz w:val="28"/>
          <w:szCs w:val="28"/>
        </w:rPr>
        <w:t>Shiha</w:t>
      </w:r>
      <w:proofErr w:type="spellEnd"/>
      <w:r w:rsidR="003E3ADF">
        <w:rPr>
          <w:rFonts w:ascii="Times New Roman" w:hAnsi="Times New Roman" w:cs="Times New Roman"/>
          <w:bCs/>
          <w:sz w:val="28"/>
          <w:szCs w:val="28"/>
        </w:rPr>
        <w:t xml:space="preserve"> Pipeline)</w:t>
      </w:r>
      <w:r w:rsidR="00CE247C">
        <w:rPr>
          <w:rFonts w:ascii="Times New Roman" w:hAnsi="Times New Roman" w:cs="Times New Roman"/>
          <w:bCs/>
          <w:sz w:val="28"/>
          <w:szCs w:val="28"/>
        </w:rPr>
        <w:t>,</w:t>
      </w:r>
      <w:r w:rsidR="00EA7A57">
        <w:rPr>
          <w:rFonts w:ascii="Times New Roman" w:hAnsi="Times New Roman" w:cs="Times New Roman"/>
          <w:bCs/>
          <w:sz w:val="28"/>
          <w:szCs w:val="28"/>
        </w:rPr>
        <w:t xml:space="preserve"> on the Lands. </w:t>
      </w:r>
      <w:r w:rsidR="00D14407">
        <w:rPr>
          <w:rFonts w:ascii="Times New Roman" w:hAnsi="Times New Roman" w:cs="Times New Roman"/>
          <w:bCs/>
          <w:sz w:val="28"/>
          <w:szCs w:val="28"/>
        </w:rPr>
        <w:t xml:space="preserve">ADK did not provide any funds. </w:t>
      </w:r>
      <w:r w:rsidR="000F1079">
        <w:rPr>
          <w:rFonts w:ascii="Times New Roman" w:hAnsi="Times New Roman" w:cs="Times New Roman"/>
          <w:bCs/>
          <w:sz w:val="28"/>
          <w:szCs w:val="28"/>
        </w:rPr>
        <w:t xml:space="preserve">The </w:t>
      </w:r>
      <w:proofErr w:type="spellStart"/>
      <w:r w:rsidR="000F1079" w:rsidRPr="00403186">
        <w:rPr>
          <w:rFonts w:ascii="Times New Roman" w:hAnsi="Times New Roman" w:cs="Times New Roman"/>
          <w:bCs/>
          <w:sz w:val="28"/>
          <w:szCs w:val="28"/>
        </w:rPr>
        <w:t>Shiha</w:t>
      </w:r>
      <w:proofErr w:type="spellEnd"/>
      <w:r w:rsidR="000F1079" w:rsidRPr="00403186">
        <w:rPr>
          <w:rFonts w:ascii="Times New Roman" w:hAnsi="Times New Roman" w:cs="Times New Roman"/>
          <w:bCs/>
          <w:sz w:val="28"/>
          <w:szCs w:val="28"/>
        </w:rPr>
        <w:t xml:space="preserve"> Partnership Agreement</w:t>
      </w:r>
      <w:r w:rsidR="000F1079">
        <w:rPr>
          <w:rFonts w:ascii="Times New Roman" w:hAnsi="Times New Roman" w:cs="Times New Roman"/>
          <w:bCs/>
          <w:sz w:val="28"/>
          <w:szCs w:val="28"/>
        </w:rPr>
        <w:t xml:space="preserve"> also </w:t>
      </w:r>
      <w:r w:rsidR="004138AC">
        <w:rPr>
          <w:rFonts w:ascii="Times New Roman" w:hAnsi="Times New Roman" w:cs="Times New Roman"/>
          <w:bCs/>
          <w:sz w:val="28"/>
          <w:szCs w:val="28"/>
        </w:rPr>
        <w:t xml:space="preserve">stipulates that </w:t>
      </w:r>
      <w:proofErr w:type="spellStart"/>
      <w:r w:rsidR="004138AC" w:rsidRPr="00383554">
        <w:rPr>
          <w:rFonts w:ascii="Times New Roman" w:hAnsi="Times New Roman" w:cs="Times New Roman"/>
          <w:bCs/>
          <w:sz w:val="28"/>
          <w:szCs w:val="28"/>
        </w:rPr>
        <w:t>Shiha</w:t>
      </w:r>
      <w:proofErr w:type="spellEnd"/>
      <w:r w:rsidR="004138AC" w:rsidRPr="00383554">
        <w:rPr>
          <w:rFonts w:ascii="Times New Roman" w:hAnsi="Times New Roman" w:cs="Times New Roman"/>
          <w:bCs/>
          <w:sz w:val="28"/>
          <w:szCs w:val="28"/>
        </w:rPr>
        <w:t xml:space="preserve"> Ltd would enter into a construction and operating services agreement with Paramount fo</w:t>
      </w:r>
      <w:r w:rsidR="00B7786A" w:rsidRPr="00383554">
        <w:rPr>
          <w:rFonts w:ascii="Times New Roman" w:hAnsi="Times New Roman" w:cs="Times New Roman"/>
          <w:bCs/>
          <w:sz w:val="28"/>
          <w:szCs w:val="28"/>
        </w:rPr>
        <w:t>r the construction and</w:t>
      </w:r>
      <w:r w:rsidR="00B7786A">
        <w:rPr>
          <w:rFonts w:ascii="Times New Roman" w:hAnsi="Times New Roman" w:cs="Times New Roman"/>
          <w:bCs/>
          <w:sz w:val="28"/>
          <w:szCs w:val="28"/>
        </w:rPr>
        <w:t xml:space="preserve"> operation of the </w:t>
      </w:r>
      <w:proofErr w:type="spellStart"/>
      <w:r w:rsidR="00B7786A">
        <w:rPr>
          <w:rFonts w:ascii="Times New Roman" w:hAnsi="Times New Roman" w:cs="Times New Roman"/>
          <w:bCs/>
          <w:sz w:val="28"/>
          <w:szCs w:val="28"/>
        </w:rPr>
        <w:t>Shiha</w:t>
      </w:r>
      <w:proofErr w:type="spellEnd"/>
      <w:r w:rsidR="00B7786A">
        <w:rPr>
          <w:rFonts w:ascii="Times New Roman" w:hAnsi="Times New Roman" w:cs="Times New Roman"/>
          <w:bCs/>
          <w:sz w:val="28"/>
          <w:szCs w:val="28"/>
        </w:rPr>
        <w:t xml:space="preserve"> Pipel</w:t>
      </w:r>
      <w:r w:rsidR="008033F7">
        <w:rPr>
          <w:rFonts w:ascii="Times New Roman" w:hAnsi="Times New Roman" w:cs="Times New Roman"/>
          <w:bCs/>
          <w:sz w:val="28"/>
          <w:szCs w:val="28"/>
        </w:rPr>
        <w:t>i</w:t>
      </w:r>
      <w:r w:rsidR="00B7786A">
        <w:rPr>
          <w:rFonts w:ascii="Times New Roman" w:hAnsi="Times New Roman" w:cs="Times New Roman"/>
          <w:bCs/>
          <w:sz w:val="28"/>
          <w:szCs w:val="28"/>
        </w:rPr>
        <w:t xml:space="preserve">ne. </w:t>
      </w:r>
    </w:p>
    <w:p w14:paraId="3B817CFD" w14:textId="77777777" w:rsidR="000F1079" w:rsidRPr="000F1079" w:rsidRDefault="000F1079" w:rsidP="000F1079">
      <w:pPr>
        <w:pStyle w:val="ListParagraph"/>
        <w:rPr>
          <w:rFonts w:ascii="Times New Roman" w:hAnsi="Times New Roman" w:cs="Times New Roman"/>
          <w:bCs/>
          <w:sz w:val="28"/>
          <w:szCs w:val="28"/>
        </w:rPr>
      </w:pPr>
    </w:p>
    <w:p w14:paraId="153BBDEE" w14:textId="092E3A17" w:rsidR="00000821" w:rsidRPr="003C667D" w:rsidRDefault="006A5931" w:rsidP="003C667D">
      <w:pPr>
        <w:pStyle w:val="ListParagraph"/>
        <w:numPr>
          <w:ilvl w:val="0"/>
          <w:numId w:val="1"/>
        </w:numPr>
        <w:spacing w:after="0" w:line="240" w:lineRule="auto"/>
        <w:jc w:val="both"/>
        <w:rPr>
          <w:rFonts w:ascii="Times New Roman" w:hAnsi="Times New Roman" w:cs="Times New Roman"/>
          <w:bCs/>
          <w:sz w:val="28"/>
          <w:szCs w:val="28"/>
        </w:rPr>
      </w:pPr>
      <w:r w:rsidRPr="006A5931">
        <w:rPr>
          <w:rFonts w:ascii="Times New Roman" w:hAnsi="Times New Roman" w:cs="Times New Roman"/>
          <w:bCs/>
          <w:sz w:val="28"/>
          <w:szCs w:val="28"/>
        </w:rPr>
        <w:t xml:space="preserve">In 2000, the </w:t>
      </w:r>
      <w:proofErr w:type="spellStart"/>
      <w:r w:rsidRPr="006A5931">
        <w:rPr>
          <w:rFonts w:ascii="Times New Roman" w:hAnsi="Times New Roman" w:cs="Times New Roman"/>
          <w:bCs/>
          <w:sz w:val="28"/>
          <w:szCs w:val="28"/>
        </w:rPr>
        <w:t>Shiha</w:t>
      </w:r>
      <w:proofErr w:type="spellEnd"/>
      <w:r w:rsidRPr="006A5931">
        <w:rPr>
          <w:rFonts w:ascii="Times New Roman" w:hAnsi="Times New Roman" w:cs="Times New Roman"/>
          <w:bCs/>
          <w:sz w:val="28"/>
          <w:szCs w:val="28"/>
        </w:rPr>
        <w:t xml:space="preserve"> Pipeline was constructed and put in operation. </w:t>
      </w:r>
      <w:r w:rsidR="00634192" w:rsidRPr="003C667D">
        <w:rPr>
          <w:rFonts w:ascii="Times New Roman" w:hAnsi="Times New Roman" w:cs="Times New Roman"/>
          <w:bCs/>
          <w:sz w:val="28"/>
          <w:szCs w:val="28"/>
        </w:rPr>
        <w:t xml:space="preserve">From 2000 to 2008, Paramount </w:t>
      </w:r>
      <w:r w:rsidR="007C1EE0" w:rsidRPr="003C667D">
        <w:rPr>
          <w:rFonts w:ascii="Times New Roman" w:hAnsi="Times New Roman" w:cs="Times New Roman"/>
          <w:bCs/>
          <w:sz w:val="28"/>
          <w:szCs w:val="28"/>
        </w:rPr>
        <w:t xml:space="preserve">made </w:t>
      </w:r>
      <w:r w:rsidR="00EB4631">
        <w:rPr>
          <w:rFonts w:ascii="Times New Roman" w:hAnsi="Times New Roman" w:cs="Times New Roman"/>
          <w:bCs/>
          <w:sz w:val="28"/>
          <w:szCs w:val="28"/>
        </w:rPr>
        <w:t xml:space="preserve">the </w:t>
      </w:r>
      <w:r w:rsidR="007C1EE0" w:rsidRPr="003C667D">
        <w:rPr>
          <w:rFonts w:ascii="Times New Roman" w:hAnsi="Times New Roman" w:cs="Times New Roman"/>
          <w:bCs/>
          <w:sz w:val="28"/>
          <w:szCs w:val="28"/>
        </w:rPr>
        <w:t xml:space="preserve">yearly payments </w:t>
      </w:r>
      <w:r w:rsidR="002E7516">
        <w:rPr>
          <w:rFonts w:ascii="Times New Roman" w:hAnsi="Times New Roman" w:cs="Times New Roman"/>
          <w:bCs/>
          <w:sz w:val="28"/>
          <w:szCs w:val="28"/>
        </w:rPr>
        <w:t xml:space="preserve">under the CIP Agreement </w:t>
      </w:r>
      <w:r w:rsidR="007C1EE0" w:rsidRPr="003C667D">
        <w:rPr>
          <w:rFonts w:ascii="Times New Roman" w:hAnsi="Times New Roman" w:cs="Times New Roman"/>
          <w:bCs/>
          <w:sz w:val="28"/>
          <w:szCs w:val="28"/>
        </w:rPr>
        <w:t>of $100,000 to ADK.</w:t>
      </w:r>
    </w:p>
    <w:p w14:paraId="2FF21F41" w14:textId="77777777" w:rsidR="00000821" w:rsidRPr="00000821" w:rsidRDefault="00000821" w:rsidP="00000821">
      <w:pPr>
        <w:pStyle w:val="ListParagraph"/>
        <w:rPr>
          <w:rFonts w:ascii="Times New Roman" w:hAnsi="Times New Roman" w:cs="Times New Roman"/>
          <w:bCs/>
          <w:sz w:val="28"/>
          <w:szCs w:val="28"/>
        </w:rPr>
      </w:pPr>
    </w:p>
    <w:p w14:paraId="0CB4DBC7" w14:textId="74039481" w:rsidR="002B0672" w:rsidRDefault="006A5931" w:rsidP="00F9456E">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By 2004, </w:t>
      </w:r>
      <w:r w:rsidR="000D4FF1">
        <w:rPr>
          <w:rFonts w:ascii="Times New Roman" w:hAnsi="Times New Roman" w:cs="Times New Roman"/>
          <w:bCs/>
          <w:sz w:val="28"/>
          <w:szCs w:val="28"/>
        </w:rPr>
        <w:t xml:space="preserve">there was a significant decline in production from the Lands and a corresponding decline in revenue for the </w:t>
      </w:r>
      <w:proofErr w:type="spellStart"/>
      <w:r w:rsidR="000D4FF1">
        <w:rPr>
          <w:rFonts w:ascii="Times New Roman" w:hAnsi="Times New Roman" w:cs="Times New Roman"/>
          <w:bCs/>
          <w:sz w:val="28"/>
          <w:szCs w:val="28"/>
        </w:rPr>
        <w:t>Shiha</w:t>
      </w:r>
      <w:proofErr w:type="spellEnd"/>
      <w:r w:rsidR="000D4FF1">
        <w:rPr>
          <w:rFonts w:ascii="Times New Roman" w:hAnsi="Times New Roman" w:cs="Times New Roman"/>
          <w:bCs/>
          <w:sz w:val="28"/>
          <w:szCs w:val="28"/>
        </w:rPr>
        <w:t xml:space="preserve"> Partnership. </w:t>
      </w:r>
      <w:r w:rsidR="00C43FC0">
        <w:rPr>
          <w:rFonts w:ascii="Times New Roman" w:hAnsi="Times New Roman" w:cs="Times New Roman"/>
          <w:bCs/>
          <w:sz w:val="28"/>
          <w:szCs w:val="28"/>
        </w:rPr>
        <w:t xml:space="preserve">In 2007, </w:t>
      </w:r>
      <w:r w:rsidR="009D7CD6">
        <w:rPr>
          <w:rFonts w:ascii="Times New Roman" w:hAnsi="Times New Roman" w:cs="Times New Roman"/>
          <w:bCs/>
          <w:sz w:val="28"/>
          <w:szCs w:val="28"/>
        </w:rPr>
        <w:t xml:space="preserve">the situation had not improved, and </w:t>
      </w:r>
      <w:r w:rsidR="004E331C">
        <w:rPr>
          <w:rFonts w:ascii="Times New Roman" w:hAnsi="Times New Roman" w:cs="Times New Roman"/>
          <w:bCs/>
          <w:sz w:val="28"/>
          <w:szCs w:val="28"/>
        </w:rPr>
        <w:t xml:space="preserve">Paramount started </w:t>
      </w:r>
      <w:r w:rsidR="00FC1440">
        <w:rPr>
          <w:rFonts w:ascii="Times New Roman" w:hAnsi="Times New Roman" w:cs="Times New Roman"/>
          <w:bCs/>
          <w:sz w:val="28"/>
          <w:szCs w:val="28"/>
        </w:rPr>
        <w:t xml:space="preserve">to </w:t>
      </w:r>
      <w:r w:rsidR="002D27C6">
        <w:rPr>
          <w:rFonts w:ascii="Times New Roman" w:hAnsi="Times New Roman" w:cs="Times New Roman"/>
          <w:bCs/>
          <w:sz w:val="28"/>
          <w:szCs w:val="28"/>
        </w:rPr>
        <w:t>plan</w:t>
      </w:r>
      <w:r w:rsidR="004E331C">
        <w:rPr>
          <w:rFonts w:ascii="Times New Roman" w:hAnsi="Times New Roman" w:cs="Times New Roman"/>
          <w:bCs/>
          <w:sz w:val="28"/>
          <w:szCs w:val="28"/>
        </w:rPr>
        <w:t xml:space="preserve"> the decommissioning of the </w:t>
      </w:r>
      <w:proofErr w:type="spellStart"/>
      <w:r w:rsidR="004E331C">
        <w:rPr>
          <w:rFonts w:ascii="Times New Roman" w:hAnsi="Times New Roman" w:cs="Times New Roman"/>
          <w:bCs/>
          <w:sz w:val="28"/>
          <w:szCs w:val="28"/>
        </w:rPr>
        <w:t>Shiha</w:t>
      </w:r>
      <w:proofErr w:type="spellEnd"/>
      <w:r w:rsidR="004E331C">
        <w:rPr>
          <w:rFonts w:ascii="Times New Roman" w:hAnsi="Times New Roman" w:cs="Times New Roman"/>
          <w:bCs/>
          <w:sz w:val="28"/>
          <w:szCs w:val="28"/>
        </w:rPr>
        <w:t xml:space="preserve"> Pipeline</w:t>
      </w:r>
      <w:r w:rsidR="00024C9C">
        <w:rPr>
          <w:rFonts w:ascii="Times New Roman" w:hAnsi="Times New Roman" w:cs="Times New Roman"/>
          <w:bCs/>
          <w:sz w:val="28"/>
          <w:szCs w:val="28"/>
        </w:rPr>
        <w:t>.</w:t>
      </w:r>
      <w:r w:rsidR="004E331C">
        <w:rPr>
          <w:rFonts w:ascii="Times New Roman" w:hAnsi="Times New Roman" w:cs="Times New Roman"/>
          <w:bCs/>
          <w:sz w:val="28"/>
          <w:szCs w:val="28"/>
        </w:rPr>
        <w:t xml:space="preserve"> </w:t>
      </w:r>
      <w:r w:rsidR="008A7633">
        <w:rPr>
          <w:rFonts w:ascii="Times New Roman" w:hAnsi="Times New Roman" w:cs="Times New Roman"/>
          <w:bCs/>
          <w:sz w:val="28"/>
          <w:szCs w:val="28"/>
        </w:rPr>
        <w:t xml:space="preserve">Paramount </w:t>
      </w:r>
      <w:r w:rsidR="003D32CF">
        <w:rPr>
          <w:rFonts w:ascii="Times New Roman" w:hAnsi="Times New Roman" w:cs="Times New Roman"/>
          <w:bCs/>
          <w:sz w:val="28"/>
          <w:szCs w:val="28"/>
        </w:rPr>
        <w:t>informed ADK of t</w:t>
      </w:r>
      <w:r w:rsidR="00025B47">
        <w:rPr>
          <w:rFonts w:ascii="Times New Roman" w:hAnsi="Times New Roman" w:cs="Times New Roman"/>
          <w:bCs/>
          <w:sz w:val="28"/>
          <w:szCs w:val="28"/>
        </w:rPr>
        <w:t>his plan and of the steps</w:t>
      </w:r>
      <w:r w:rsidR="00993E69">
        <w:rPr>
          <w:rFonts w:ascii="Times New Roman" w:hAnsi="Times New Roman" w:cs="Times New Roman"/>
          <w:bCs/>
          <w:sz w:val="28"/>
          <w:szCs w:val="28"/>
        </w:rPr>
        <w:t xml:space="preserve"> it </w:t>
      </w:r>
      <w:r w:rsidR="00FC1440">
        <w:rPr>
          <w:rFonts w:ascii="Times New Roman" w:hAnsi="Times New Roman" w:cs="Times New Roman"/>
          <w:bCs/>
          <w:sz w:val="28"/>
          <w:szCs w:val="28"/>
        </w:rPr>
        <w:t>would take</w:t>
      </w:r>
      <w:r w:rsidR="00993E69">
        <w:rPr>
          <w:rFonts w:ascii="Times New Roman" w:hAnsi="Times New Roman" w:cs="Times New Roman"/>
          <w:bCs/>
          <w:sz w:val="28"/>
          <w:szCs w:val="28"/>
        </w:rPr>
        <w:t xml:space="preserve"> to carry out the decommission</w:t>
      </w:r>
      <w:r w:rsidR="00025B47">
        <w:rPr>
          <w:rFonts w:ascii="Times New Roman" w:hAnsi="Times New Roman" w:cs="Times New Roman"/>
          <w:bCs/>
          <w:sz w:val="28"/>
          <w:szCs w:val="28"/>
        </w:rPr>
        <w:t xml:space="preserve">. </w:t>
      </w:r>
      <w:r w:rsidR="005F5544" w:rsidRPr="00F9456E">
        <w:rPr>
          <w:rFonts w:ascii="Times New Roman" w:hAnsi="Times New Roman" w:cs="Times New Roman"/>
          <w:bCs/>
          <w:sz w:val="28"/>
          <w:szCs w:val="28"/>
        </w:rPr>
        <w:t xml:space="preserve">In 2008, the operation of the </w:t>
      </w:r>
      <w:r w:rsidR="002B0672" w:rsidRPr="00F9456E">
        <w:rPr>
          <w:rFonts w:ascii="Times New Roman" w:hAnsi="Times New Roman" w:cs="Times New Roman"/>
          <w:bCs/>
          <w:sz w:val="28"/>
          <w:szCs w:val="28"/>
        </w:rPr>
        <w:t xml:space="preserve">Pipeline </w:t>
      </w:r>
      <w:r w:rsidR="005F5544" w:rsidRPr="00F9456E">
        <w:rPr>
          <w:rFonts w:ascii="Times New Roman" w:hAnsi="Times New Roman" w:cs="Times New Roman"/>
          <w:bCs/>
          <w:sz w:val="28"/>
          <w:szCs w:val="28"/>
        </w:rPr>
        <w:t xml:space="preserve">was suspended. </w:t>
      </w:r>
      <w:r w:rsidR="006E3B67" w:rsidRPr="00F9456E">
        <w:rPr>
          <w:rFonts w:ascii="Times New Roman" w:hAnsi="Times New Roman" w:cs="Times New Roman"/>
          <w:bCs/>
          <w:sz w:val="28"/>
          <w:szCs w:val="28"/>
        </w:rPr>
        <w:t>On April 18, 2008, the National Energy Board approved the deactivat</w:t>
      </w:r>
      <w:r w:rsidR="00D1130C" w:rsidRPr="00F9456E">
        <w:rPr>
          <w:rFonts w:ascii="Times New Roman" w:hAnsi="Times New Roman" w:cs="Times New Roman"/>
          <w:bCs/>
          <w:sz w:val="28"/>
          <w:szCs w:val="28"/>
        </w:rPr>
        <w:t xml:space="preserve">ion of the </w:t>
      </w:r>
      <w:proofErr w:type="spellStart"/>
      <w:r w:rsidR="00D1130C" w:rsidRPr="00F9456E">
        <w:rPr>
          <w:rFonts w:ascii="Times New Roman" w:hAnsi="Times New Roman" w:cs="Times New Roman"/>
          <w:bCs/>
          <w:sz w:val="28"/>
          <w:szCs w:val="28"/>
        </w:rPr>
        <w:t>Shiha</w:t>
      </w:r>
      <w:proofErr w:type="spellEnd"/>
      <w:r w:rsidR="00D1130C" w:rsidRPr="00F9456E">
        <w:rPr>
          <w:rFonts w:ascii="Times New Roman" w:hAnsi="Times New Roman" w:cs="Times New Roman"/>
          <w:bCs/>
          <w:sz w:val="28"/>
          <w:szCs w:val="28"/>
        </w:rPr>
        <w:t xml:space="preserve"> Pipeline</w:t>
      </w:r>
      <w:r w:rsidR="00F9456E">
        <w:rPr>
          <w:rFonts w:ascii="Times New Roman" w:hAnsi="Times New Roman" w:cs="Times New Roman"/>
          <w:bCs/>
          <w:sz w:val="28"/>
          <w:szCs w:val="28"/>
        </w:rPr>
        <w:t>,</w:t>
      </w:r>
      <w:r w:rsidR="00307126" w:rsidRPr="00F9456E">
        <w:rPr>
          <w:rFonts w:ascii="Times New Roman" w:hAnsi="Times New Roman" w:cs="Times New Roman"/>
          <w:bCs/>
          <w:sz w:val="28"/>
          <w:szCs w:val="28"/>
        </w:rPr>
        <w:t xml:space="preserve"> and the deactivation occurred on </w:t>
      </w:r>
      <w:r w:rsidR="00636C8C" w:rsidRPr="00F9456E">
        <w:rPr>
          <w:rFonts w:ascii="Times New Roman" w:hAnsi="Times New Roman" w:cs="Times New Roman"/>
          <w:bCs/>
          <w:sz w:val="28"/>
          <w:szCs w:val="28"/>
        </w:rPr>
        <w:t>December 5, 2008.</w:t>
      </w:r>
      <w:r w:rsidR="007F4A43" w:rsidRPr="00F9456E">
        <w:rPr>
          <w:rFonts w:ascii="Times New Roman" w:hAnsi="Times New Roman" w:cs="Times New Roman"/>
          <w:bCs/>
          <w:sz w:val="28"/>
          <w:szCs w:val="28"/>
        </w:rPr>
        <w:t xml:space="preserve"> </w:t>
      </w:r>
    </w:p>
    <w:p w14:paraId="39CC711C" w14:textId="77777777" w:rsidR="00F9456E" w:rsidRPr="00F9456E" w:rsidRDefault="00F9456E" w:rsidP="00F9456E">
      <w:pPr>
        <w:pStyle w:val="ListParagraph"/>
        <w:rPr>
          <w:rFonts w:ascii="Times New Roman" w:hAnsi="Times New Roman" w:cs="Times New Roman"/>
          <w:bCs/>
          <w:sz w:val="28"/>
          <w:szCs w:val="28"/>
        </w:rPr>
      </w:pPr>
    </w:p>
    <w:p w14:paraId="7424909B" w14:textId="56C44026" w:rsidR="00F9456E" w:rsidRDefault="00A41796" w:rsidP="00F9456E">
      <w:pPr>
        <w:pStyle w:val="ListParagraph"/>
        <w:numPr>
          <w:ilvl w:val="0"/>
          <w:numId w:val="1"/>
        </w:numPr>
        <w:spacing w:after="0" w:line="240" w:lineRule="auto"/>
        <w:jc w:val="both"/>
        <w:rPr>
          <w:rFonts w:ascii="Times New Roman" w:hAnsi="Times New Roman" w:cs="Times New Roman"/>
          <w:bCs/>
          <w:sz w:val="28"/>
          <w:szCs w:val="28"/>
        </w:rPr>
      </w:pPr>
      <w:proofErr w:type="spellStart"/>
      <w:r w:rsidRPr="00383554">
        <w:rPr>
          <w:rFonts w:ascii="Times New Roman" w:hAnsi="Times New Roman" w:cs="Times New Roman"/>
          <w:bCs/>
          <w:sz w:val="28"/>
          <w:szCs w:val="28"/>
        </w:rPr>
        <w:t>Shiha</w:t>
      </w:r>
      <w:proofErr w:type="spellEnd"/>
      <w:r w:rsidRPr="00383554">
        <w:rPr>
          <w:rFonts w:ascii="Times New Roman" w:hAnsi="Times New Roman" w:cs="Times New Roman"/>
          <w:bCs/>
          <w:sz w:val="28"/>
          <w:szCs w:val="28"/>
        </w:rPr>
        <w:t xml:space="preserve"> Ltd also informed ADK </w:t>
      </w:r>
      <w:r w:rsidR="00E63DF3" w:rsidRPr="00383554">
        <w:rPr>
          <w:rFonts w:ascii="Times New Roman" w:hAnsi="Times New Roman" w:cs="Times New Roman"/>
          <w:bCs/>
          <w:sz w:val="28"/>
          <w:szCs w:val="28"/>
        </w:rPr>
        <w:t>how the winding down of the</w:t>
      </w:r>
      <w:r w:rsidR="00E63DF3">
        <w:rPr>
          <w:rFonts w:ascii="Times New Roman" w:hAnsi="Times New Roman" w:cs="Times New Roman"/>
          <w:bCs/>
          <w:sz w:val="28"/>
          <w:szCs w:val="28"/>
        </w:rPr>
        <w:t xml:space="preserve"> </w:t>
      </w:r>
      <w:proofErr w:type="spellStart"/>
      <w:r w:rsidR="00E63DF3">
        <w:rPr>
          <w:rFonts w:ascii="Times New Roman" w:hAnsi="Times New Roman" w:cs="Times New Roman"/>
          <w:bCs/>
          <w:sz w:val="28"/>
          <w:szCs w:val="28"/>
        </w:rPr>
        <w:t>Shiha</w:t>
      </w:r>
      <w:proofErr w:type="spellEnd"/>
      <w:r w:rsidR="00E63DF3">
        <w:rPr>
          <w:rFonts w:ascii="Times New Roman" w:hAnsi="Times New Roman" w:cs="Times New Roman"/>
          <w:bCs/>
          <w:sz w:val="28"/>
          <w:szCs w:val="28"/>
        </w:rPr>
        <w:t xml:space="preserve"> Pipeline </w:t>
      </w:r>
      <w:r w:rsidR="00C61633">
        <w:rPr>
          <w:rFonts w:ascii="Times New Roman" w:hAnsi="Times New Roman" w:cs="Times New Roman"/>
          <w:bCs/>
          <w:sz w:val="28"/>
          <w:szCs w:val="28"/>
        </w:rPr>
        <w:t>would affect</w:t>
      </w:r>
      <w:r w:rsidR="00E63DF3">
        <w:rPr>
          <w:rFonts w:ascii="Times New Roman" w:hAnsi="Times New Roman" w:cs="Times New Roman"/>
          <w:bCs/>
          <w:sz w:val="28"/>
          <w:szCs w:val="28"/>
        </w:rPr>
        <w:t xml:space="preserve"> the </w:t>
      </w:r>
      <w:proofErr w:type="spellStart"/>
      <w:r w:rsidR="00E63DF3">
        <w:rPr>
          <w:rFonts w:ascii="Times New Roman" w:hAnsi="Times New Roman" w:cs="Times New Roman"/>
          <w:bCs/>
          <w:sz w:val="28"/>
          <w:szCs w:val="28"/>
        </w:rPr>
        <w:t>Shiha</w:t>
      </w:r>
      <w:proofErr w:type="spellEnd"/>
      <w:r w:rsidR="00E63DF3">
        <w:rPr>
          <w:rFonts w:ascii="Times New Roman" w:hAnsi="Times New Roman" w:cs="Times New Roman"/>
          <w:bCs/>
          <w:sz w:val="28"/>
          <w:szCs w:val="28"/>
        </w:rPr>
        <w:t xml:space="preserve"> Partnership’s financial affairs</w:t>
      </w:r>
      <w:r w:rsidR="00C61633">
        <w:rPr>
          <w:rFonts w:ascii="Times New Roman" w:hAnsi="Times New Roman" w:cs="Times New Roman"/>
          <w:bCs/>
          <w:sz w:val="28"/>
          <w:szCs w:val="28"/>
        </w:rPr>
        <w:t xml:space="preserve"> and distributions made to the partners under the </w:t>
      </w:r>
      <w:proofErr w:type="spellStart"/>
      <w:r w:rsidR="00C61633">
        <w:rPr>
          <w:rFonts w:ascii="Times New Roman" w:hAnsi="Times New Roman" w:cs="Times New Roman"/>
          <w:bCs/>
          <w:sz w:val="28"/>
          <w:szCs w:val="28"/>
        </w:rPr>
        <w:t>Shiha</w:t>
      </w:r>
      <w:proofErr w:type="spellEnd"/>
      <w:r w:rsidR="00C61633">
        <w:rPr>
          <w:rFonts w:ascii="Times New Roman" w:hAnsi="Times New Roman" w:cs="Times New Roman"/>
          <w:bCs/>
          <w:sz w:val="28"/>
          <w:szCs w:val="28"/>
        </w:rPr>
        <w:t xml:space="preserve"> P</w:t>
      </w:r>
      <w:r w:rsidR="00EC0F9D">
        <w:rPr>
          <w:rFonts w:ascii="Times New Roman" w:hAnsi="Times New Roman" w:cs="Times New Roman"/>
          <w:bCs/>
          <w:sz w:val="28"/>
          <w:szCs w:val="28"/>
        </w:rPr>
        <w:t>artnership Agreement</w:t>
      </w:r>
      <w:r w:rsidR="00A02EEE">
        <w:rPr>
          <w:rFonts w:ascii="Times New Roman" w:hAnsi="Times New Roman" w:cs="Times New Roman"/>
          <w:bCs/>
          <w:sz w:val="28"/>
          <w:szCs w:val="28"/>
        </w:rPr>
        <w:t xml:space="preserve">. </w:t>
      </w:r>
      <w:r w:rsidR="00AF06D6">
        <w:rPr>
          <w:rFonts w:ascii="Times New Roman" w:hAnsi="Times New Roman" w:cs="Times New Roman"/>
          <w:bCs/>
          <w:sz w:val="28"/>
          <w:szCs w:val="28"/>
        </w:rPr>
        <w:t xml:space="preserve">In </w:t>
      </w:r>
      <w:r w:rsidR="005F1167">
        <w:rPr>
          <w:rFonts w:ascii="Times New Roman" w:hAnsi="Times New Roman" w:cs="Times New Roman"/>
          <w:bCs/>
          <w:sz w:val="28"/>
          <w:szCs w:val="28"/>
        </w:rPr>
        <w:t>November</w:t>
      </w:r>
      <w:r w:rsidR="00AF06D6">
        <w:rPr>
          <w:rFonts w:ascii="Times New Roman" w:hAnsi="Times New Roman" w:cs="Times New Roman"/>
          <w:bCs/>
          <w:sz w:val="28"/>
          <w:szCs w:val="28"/>
        </w:rPr>
        <w:t xml:space="preserve"> 20</w:t>
      </w:r>
      <w:r w:rsidR="00452A69">
        <w:rPr>
          <w:rFonts w:ascii="Times New Roman" w:hAnsi="Times New Roman" w:cs="Times New Roman"/>
          <w:bCs/>
          <w:sz w:val="28"/>
          <w:szCs w:val="28"/>
        </w:rPr>
        <w:t>08</w:t>
      </w:r>
      <w:r w:rsidR="00AF06D6">
        <w:rPr>
          <w:rFonts w:ascii="Times New Roman" w:hAnsi="Times New Roman" w:cs="Times New Roman"/>
          <w:bCs/>
          <w:sz w:val="28"/>
          <w:szCs w:val="28"/>
        </w:rPr>
        <w:t xml:space="preserve">, ADK </w:t>
      </w:r>
      <w:r w:rsidR="00AF06D6" w:rsidRPr="00C632C4">
        <w:rPr>
          <w:rFonts w:ascii="Times New Roman" w:hAnsi="Times New Roman" w:cs="Times New Roman"/>
          <w:bCs/>
          <w:sz w:val="28"/>
          <w:szCs w:val="28"/>
        </w:rPr>
        <w:t>received</w:t>
      </w:r>
      <w:r w:rsidR="00387E7F" w:rsidRPr="00C632C4">
        <w:rPr>
          <w:rFonts w:ascii="Times New Roman" w:hAnsi="Times New Roman" w:cs="Times New Roman"/>
          <w:bCs/>
          <w:sz w:val="28"/>
          <w:szCs w:val="28"/>
        </w:rPr>
        <w:t xml:space="preserve"> a</w:t>
      </w:r>
      <w:r w:rsidR="00AF06D6" w:rsidRPr="00C632C4">
        <w:rPr>
          <w:rFonts w:ascii="Times New Roman" w:hAnsi="Times New Roman" w:cs="Times New Roman"/>
          <w:bCs/>
          <w:sz w:val="28"/>
          <w:szCs w:val="28"/>
        </w:rPr>
        <w:t xml:space="preserve"> </w:t>
      </w:r>
      <w:r w:rsidR="00387E7F" w:rsidRPr="00C632C4">
        <w:rPr>
          <w:rFonts w:ascii="Times New Roman" w:hAnsi="Times New Roman" w:cs="Times New Roman"/>
          <w:bCs/>
          <w:sz w:val="28"/>
          <w:szCs w:val="28"/>
        </w:rPr>
        <w:t xml:space="preserve">Notice </w:t>
      </w:r>
      <w:r w:rsidR="00AF06D6" w:rsidRPr="00C632C4">
        <w:rPr>
          <w:rFonts w:ascii="Times New Roman" w:hAnsi="Times New Roman" w:cs="Times New Roman"/>
          <w:bCs/>
          <w:sz w:val="28"/>
          <w:szCs w:val="28"/>
        </w:rPr>
        <w:t xml:space="preserve">of Meeting of Directors </w:t>
      </w:r>
      <w:r w:rsidR="00387E7F" w:rsidRPr="00C632C4">
        <w:rPr>
          <w:rFonts w:ascii="Times New Roman" w:hAnsi="Times New Roman" w:cs="Times New Roman"/>
          <w:bCs/>
          <w:sz w:val="28"/>
          <w:szCs w:val="28"/>
        </w:rPr>
        <w:t xml:space="preserve">of </w:t>
      </w:r>
      <w:proofErr w:type="spellStart"/>
      <w:r w:rsidR="00387E7F" w:rsidRPr="00C632C4">
        <w:rPr>
          <w:rFonts w:ascii="Times New Roman" w:hAnsi="Times New Roman" w:cs="Times New Roman"/>
          <w:bCs/>
          <w:sz w:val="28"/>
          <w:szCs w:val="28"/>
        </w:rPr>
        <w:t>Shiha</w:t>
      </w:r>
      <w:proofErr w:type="spellEnd"/>
      <w:r w:rsidR="00387E7F" w:rsidRPr="00C632C4">
        <w:rPr>
          <w:rFonts w:ascii="Times New Roman" w:hAnsi="Times New Roman" w:cs="Times New Roman"/>
          <w:bCs/>
          <w:sz w:val="28"/>
          <w:szCs w:val="28"/>
        </w:rPr>
        <w:t xml:space="preserve"> Ltd, a Notice of </w:t>
      </w:r>
      <w:r w:rsidR="00C632C4" w:rsidRPr="00C632C4">
        <w:rPr>
          <w:rFonts w:ascii="Times New Roman" w:hAnsi="Times New Roman" w:cs="Times New Roman"/>
          <w:bCs/>
          <w:sz w:val="28"/>
          <w:szCs w:val="28"/>
        </w:rPr>
        <w:t xml:space="preserve">Meeting of </w:t>
      </w:r>
      <w:r w:rsidR="00387E7F" w:rsidRPr="00C632C4">
        <w:rPr>
          <w:rFonts w:ascii="Times New Roman" w:hAnsi="Times New Roman" w:cs="Times New Roman"/>
          <w:bCs/>
          <w:sz w:val="28"/>
          <w:szCs w:val="28"/>
        </w:rPr>
        <w:t>Shareholder</w:t>
      </w:r>
      <w:r w:rsidR="00C632C4" w:rsidRPr="00C632C4">
        <w:rPr>
          <w:rFonts w:ascii="Times New Roman" w:hAnsi="Times New Roman" w:cs="Times New Roman"/>
          <w:bCs/>
          <w:sz w:val="28"/>
          <w:szCs w:val="28"/>
        </w:rPr>
        <w:t>s</w:t>
      </w:r>
      <w:r w:rsidR="00387E7F" w:rsidRPr="00C632C4">
        <w:rPr>
          <w:rFonts w:ascii="Times New Roman" w:hAnsi="Times New Roman" w:cs="Times New Roman"/>
          <w:bCs/>
          <w:sz w:val="28"/>
          <w:szCs w:val="28"/>
        </w:rPr>
        <w:t xml:space="preserve"> of </w:t>
      </w:r>
      <w:proofErr w:type="spellStart"/>
      <w:r w:rsidR="00387E7F" w:rsidRPr="00C632C4">
        <w:rPr>
          <w:rFonts w:ascii="Times New Roman" w:hAnsi="Times New Roman" w:cs="Times New Roman"/>
          <w:bCs/>
          <w:sz w:val="28"/>
          <w:szCs w:val="28"/>
        </w:rPr>
        <w:t>Shiha</w:t>
      </w:r>
      <w:proofErr w:type="spellEnd"/>
      <w:r w:rsidR="00387E7F" w:rsidRPr="00C632C4">
        <w:rPr>
          <w:rFonts w:ascii="Times New Roman" w:hAnsi="Times New Roman" w:cs="Times New Roman"/>
          <w:bCs/>
          <w:sz w:val="28"/>
          <w:szCs w:val="28"/>
        </w:rPr>
        <w:t xml:space="preserve"> Ltd and </w:t>
      </w:r>
      <w:r w:rsidR="00C632C4" w:rsidRPr="00C632C4">
        <w:rPr>
          <w:rFonts w:ascii="Times New Roman" w:hAnsi="Times New Roman" w:cs="Times New Roman"/>
          <w:bCs/>
          <w:sz w:val="28"/>
          <w:szCs w:val="28"/>
        </w:rPr>
        <w:t xml:space="preserve">a Notice of Meeting of </w:t>
      </w:r>
      <w:r w:rsidR="009F57A5">
        <w:rPr>
          <w:rFonts w:ascii="Times New Roman" w:hAnsi="Times New Roman" w:cs="Times New Roman"/>
          <w:bCs/>
          <w:sz w:val="28"/>
          <w:szCs w:val="28"/>
        </w:rPr>
        <w:t xml:space="preserve">the Limited Partners of the </w:t>
      </w:r>
      <w:proofErr w:type="spellStart"/>
      <w:r w:rsidR="009F57A5">
        <w:rPr>
          <w:rFonts w:ascii="Times New Roman" w:hAnsi="Times New Roman" w:cs="Times New Roman"/>
          <w:bCs/>
          <w:sz w:val="28"/>
          <w:szCs w:val="28"/>
        </w:rPr>
        <w:t>Shiha</w:t>
      </w:r>
      <w:proofErr w:type="spellEnd"/>
      <w:r w:rsidR="009F57A5">
        <w:rPr>
          <w:rFonts w:ascii="Times New Roman" w:hAnsi="Times New Roman" w:cs="Times New Roman"/>
          <w:bCs/>
          <w:sz w:val="28"/>
          <w:szCs w:val="28"/>
        </w:rPr>
        <w:t xml:space="preserve"> Partnership to which w</w:t>
      </w:r>
      <w:r w:rsidR="000A36E7">
        <w:rPr>
          <w:rFonts w:ascii="Times New Roman" w:hAnsi="Times New Roman" w:cs="Times New Roman"/>
          <w:bCs/>
          <w:sz w:val="28"/>
          <w:szCs w:val="28"/>
        </w:rPr>
        <w:t>ere attached documents that</w:t>
      </w:r>
      <w:r w:rsidR="00AF06D6" w:rsidRPr="00C632C4">
        <w:rPr>
          <w:rFonts w:ascii="Times New Roman" w:hAnsi="Times New Roman" w:cs="Times New Roman"/>
          <w:bCs/>
          <w:sz w:val="28"/>
          <w:szCs w:val="28"/>
        </w:rPr>
        <w:t xml:space="preserve"> set </w:t>
      </w:r>
      <w:r w:rsidR="001948F9" w:rsidRPr="00C632C4">
        <w:rPr>
          <w:rFonts w:ascii="Times New Roman" w:hAnsi="Times New Roman" w:cs="Times New Roman"/>
          <w:bCs/>
          <w:sz w:val="28"/>
          <w:szCs w:val="28"/>
        </w:rPr>
        <w:t xml:space="preserve">out a </w:t>
      </w:r>
      <w:r w:rsidR="00A02EEE" w:rsidRPr="00C632C4">
        <w:rPr>
          <w:rFonts w:ascii="Times New Roman" w:hAnsi="Times New Roman" w:cs="Times New Roman"/>
          <w:bCs/>
          <w:sz w:val="28"/>
          <w:szCs w:val="28"/>
        </w:rPr>
        <w:t>wind</w:t>
      </w:r>
      <w:r w:rsidR="00CD07DA" w:rsidRPr="00C632C4">
        <w:rPr>
          <w:rFonts w:ascii="Times New Roman" w:hAnsi="Times New Roman" w:cs="Times New Roman"/>
          <w:bCs/>
          <w:sz w:val="28"/>
          <w:szCs w:val="28"/>
        </w:rPr>
        <w:t>-</w:t>
      </w:r>
      <w:r w:rsidR="00A02EEE" w:rsidRPr="00C632C4">
        <w:rPr>
          <w:rFonts w:ascii="Times New Roman" w:hAnsi="Times New Roman" w:cs="Times New Roman"/>
          <w:bCs/>
          <w:sz w:val="28"/>
          <w:szCs w:val="28"/>
        </w:rPr>
        <w:t>down plan</w:t>
      </w:r>
      <w:r w:rsidR="000A36E7">
        <w:rPr>
          <w:rFonts w:ascii="Times New Roman" w:hAnsi="Times New Roman" w:cs="Times New Roman"/>
          <w:bCs/>
          <w:sz w:val="28"/>
          <w:szCs w:val="28"/>
        </w:rPr>
        <w:t xml:space="preserve"> for </w:t>
      </w:r>
      <w:r w:rsidR="008314CD">
        <w:rPr>
          <w:rFonts w:ascii="Times New Roman" w:hAnsi="Times New Roman" w:cs="Times New Roman"/>
          <w:bCs/>
          <w:sz w:val="28"/>
          <w:szCs w:val="28"/>
        </w:rPr>
        <w:t xml:space="preserve">the </w:t>
      </w:r>
      <w:proofErr w:type="spellStart"/>
      <w:r w:rsidR="008314CD">
        <w:rPr>
          <w:rFonts w:ascii="Times New Roman" w:hAnsi="Times New Roman" w:cs="Times New Roman"/>
          <w:bCs/>
          <w:sz w:val="28"/>
          <w:szCs w:val="28"/>
        </w:rPr>
        <w:t>Shiha</w:t>
      </w:r>
      <w:proofErr w:type="spellEnd"/>
      <w:r w:rsidR="008314CD">
        <w:rPr>
          <w:rFonts w:ascii="Times New Roman" w:hAnsi="Times New Roman" w:cs="Times New Roman"/>
          <w:bCs/>
          <w:sz w:val="28"/>
          <w:szCs w:val="28"/>
        </w:rPr>
        <w:t xml:space="preserve"> Partnership</w:t>
      </w:r>
      <w:r w:rsidR="00A02EEE" w:rsidRPr="00C632C4">
        <w:rPr>
          <w:rFonts w:ascii="Times New Roman" w:hAnsi="Times New Roman" w:cs="Times New Roman"/>
          <w:bCs/>
          <w:sz w:val="28"/>
          <w:szCs w:val="28"/>
        </w:rPr>
        <w:t xml:space="preserve">. Although the </w:t>
      </w:r>
      <w:proofErr w:type="spellStart"/>
      <w:r w:rsidR="00A02EEE" w:rsidRPr="00C632C4">
        <w:rPr>
          <w:rFonts w:ascii="Times New Roman" w:hAnsi="Times New Roman" w:cs="Times New Roman"/>
          <w:bCs/>
          <w:sz w:val="28"/>
          <w:szCs w:val="28"/>
        </w:rPr>
        <w:t>Shiha</w:t>
      </w:r>
      <w:proofErr w:type="spellEnd"/>
      <w:r w:rsidR="00A02EEE" w:rsidRPr="00C632C4">
        <w:rPr>
          <w:rFonts w:ascii="Times New Roman" w:hAnsi="Times New Roman" w:cs="Times New Roman"/>
          <w:bCs/>
          <w:sz w:val="28"/>
          <w:szCs w:val="28"/>
        </w:rPr>
        <w:t xml:space="preserve"> Partnership</w:t>
      </w:r>
      <w:r w:rsidR="00A02EEE">
        <w:rPr>
          <w:rFonts w:ascii="Times New Roman" w:hAnsi="Times New Roman" w:cs="Times New Roman"/>
          <w:bCs/>
          <w:sz w:val="28"/>
          <w:szCs w:val="28"/>
        </w:rPr>
        <w:t xml:space="preserve"> </w:t>
      </w:r>
      <w:r w:rsidR="00452A69">
        <w:rPr>
          <w:rFonts w:ascii="Times New Roman" w:hAnsi="Times New Roman" w:cs="Times New Roman"/>
          <w:bCs/>
          <w:sz w:val="28"/>
          <w:szCs w:val="28"/>
        </w:rPr>
        <w:t>was never profitable</w:t>
      </w:r>
      <w:r w:rsidR="00A02EEE">
        <w:rPr>
          <w:rFonts w:ascii="Times New Roman" w:hAnsi="Times New Roman" w:cs="Times New Roman"/>
          <w:bCs/>
          <w:sz w:val="28"/>
          <w:szCs w:val="28"/>
        </w:rPr>
        <w:t xml:space="preserve">, the </w:t>
      </w:r>
      <w:r w:rsidR="00CD07DA">
        <w:rPr>
          <w:rFonts w:ascii="Times New Roman" w:hAnsi="Times New Roman" w:cs="Times New Roman"/>
          <w:bCs/>
          <w:sz w:val="28"/>
          <w:szCs w:val="28"/>
        </w:rPr>
        <w:t>plan</w:t>
      </w:r>
      <w:r w:rsidR="00A02EEE">
        <w:rPr>
          <w:rFonts w:ascii="Times New Roman" w:hAnsi="Times New Roman" w:cs="Times New Roman"/>
          <w:bCs/>
          <w:sz w:val="28"/>
          <w:szCs w:val="28"/>
        </w:rPr>
        <w:t xml:space="preserve"> included a proposal to make </w:t>
      </w:r>
      <w:r w:rsidR="001948F9">
        <w:rPr>
          <w:rFonts w:ascii="Times New Roman" w:hAnsi="Times New Roman" w:cs="Times New Roman"/>
          <w:bCs/>
          <w:sz w:val="28"/>
          <w:szCs w:val="28"/>
        </w:rPr>
        <w:t>distributions to partners of</w:t>
      </w:r>
      <w:r w:rsidR="00452A69">
        <w:rPr>
          <w:rFonts w:ascii="Times New Roman" w:hAnsi="Times New Roman" w:cs="Times New Roman"/>
          <w:bCs/>
          <w:sz w:val="28"/>
          <w:szCs w:val="28"/>
        </w:rPr>
        <w:t xml:space="preserve"> a</w:t>
      </w:r>
      <w:r w:rsidR="00CE5092">
        <w:rPr>
          <w:rFonts w:ascii="Times New Roman" w:hAnsi="Times New Roman" w:cs="Times New Roman"/>
          <w:bCs/>
          <w:sz w:val="28"/>
          <w:szCs w:val="28"/>
        </w:rPr>
        <w:t xml:space="preserve"> total a</w:t>
      </w:r>
      <w:r w:rsidR="00452A69">
        <w:rPr>
          <w:rFonts w:ascii="Times New Roman" w:hAnsi="Times New Roman" w:cs="Times New Roman"/>
          <w:bCs/>
          <w:sz w:val="28"/>
          <w:szCs w:val="28"/>
        </w:rPr>
        <w:t>mount of</w:t>
      </w:r>
      <w:r w:rsidR="001948F9">
        <w:rPr>
          <w:rFonts w:ascii="Times New Roman" w:hAnsi="Times New Roman" w:cs="Times New Roman"/>
          <w:bCs/>
          <w:sz w:val="28"/>
          <w:szCs w:val="28"/>
        </w:rPr>
        <w:t xml:space="preserve"> </w:t>
      </w:r>
      <w:r w:rsidR="00A82FD6">
        <w:rPr>
          <w:rFonts w:ascii="Times New Roman" w:hAnsi="Times New Roman" w:cs="Times New Roman"/>
          <w:bCs/>
          <w:sz w:val="28"/>
          <w:szCs w:val="28"/>
        </w:rPr>
        <w:t xml:space="preserve">$175,000, including $17,498.25 to ADK. </w:t>
      </w:r>
      <w:r w:rsidR="000F7643">
        <w:rPr>
          <w:rFonts w:ascii="Times New Roman" w:hAnsi="Times New Roman" w:cs="Times New Roman"/>
          <w:bCs/>
          <w:sz w:val="28"/>
          <w:szCs w:val="28"/>
        </w:rPr>
        <w:t xml:space="preserve">The directors of </w:t>
      </w:r>
      <w:proofErr w:type="spellStart"/>
      <w:r w:rsidR="00F72C64">
        <w:rPr>
          <w:rFonts w:ascii="Times New Roman" w:hAnsi="Times New Roman" w:cs="Times New Roman"/>
          <w:bCs/>
          <w:sz w:val="28"/>
          <w:szCs w:val="28"/>
        </w:rPr>
        <w:t>Shiha</w:t>
      </w:r>
      <w:proofErr w:type="spellEnd"/>
      <w:r w:rsidR="00F72C64">
        <w:rPr>
          <w:rFonts w:ascii="Times New Roman" w:hAnsi="Times New Roman" w:cs="Times New Roman"/>
          <w:bCs/>
          <w:sz w:val="28"/>
          <w:szCs w:val="28"/>
        </w:rPr>
        <w:t xml:space="preserve"> Ltd, including the two ADK representatives, signed and approved </w:t>
      </w:r>
      <w:r w:rsidR="00C57CAD">
        <w:rPr>
          <w:rFonts w:ascii="Times New Roman" w:hAnsi="Times New Roman" w:cs="Times New Roman"/>
          <w:bCs/>
          <w:sz w:val="28"/>
          <w:szCs w:val="28"/>
        </w:rPr>
        <w:t xml:space="preserve">the </w:t>
      </w:r>
      <w:r w:rsidR="006E3817">
        <w:rPr>
          <w:rFonts w:ascii="Times New Roman" w:hAnsi="Times New Roman" w:cs="Times New Roman"/>
          <w:bCs/>
          <w:sz w:val="28"/>
          <w:szCs w:val="28"/>
        </w:rPr>
        <w:t xml:space="preserve">Directors Resolution that adopted </w:t>
      </w:r>
      <w:r w:rsidR="00F72C64">
        <w:rPr>
          <w:rFonts w:ascii="Times New Roman" w:hAnsi="Times New Roman" w:cs="Times New Roman"/>
          <w:bCs/>
          <w:sz w:val="28"/>
          <w:szCs w:val="28"/>
        </w:rPr>
        <w:t xml:space="preserve">the </w:t>
      </w:r>
      <w:r w:rsidR="006E3817">
        <w:rPr>
          <w:rFonts w:ascii="Times New Roman" w:hAnsi="Times New Roman" w:cs="Times New Roman"/>
          <w:bCs/>
          <w:sz w:val="28"/>
          <w:szCs w:val="28"/>
        </w:rPr>
        <w:t xml:space="preserve">wind-down plan, including the distributions to the partners. </w:t>
      </w:r>
    </w:p>
    <w:p w14:paraId="142A007A" w14:textId="77777777" w:rsidR="001A7CE2" w:rsidRPr="001A7CE2" w:rsidRDefault="001A7CE2" w:rsidP="001A7CE2">
      <w:pPr>
        <w:pStyle w:val="ListParagraph"/>
        <w:rPr>
          <w:rFonts w:ascii="Times New Roman" w:hAnsi="Times New Roman" w:cs="Times New Roman"/>
          <w:bCs/>
          <w:sz w:val="28"/>
          <w:szCs w:val="28"/>
        </w:rPr>
      </w:pPr>
    </w:p>
    <w:p w14:paraId="0398B37A" w14:textId="77777777" w:rsidR="001A7CE2" w:rsidRDefault="001A7CE2" w:rsidP="001A7CE2">
      <w:pPr>
        <w:pStyle w:val="ListParagraph"/>
        <w:spacing w:after="0" w:line="240" w:lineRule="auto"/>
        <w:ind w:left="0"/>
        <w:jc w:val="both"/>
        <w:rPr>
          <w:rFonts w:ascii="Times New Roman" w:hAnsi="Times New Roman" w:cs="Times New Roman"/>
          <w:bCs/>
          <w:sz w:val="28"/>
          <w:szCs w:val="28"/>
        </w:rPr>
      </w:pPr>
    </w:p>
    <w:p w14:paraId="4E12F6A1" w14:textId="1065CF4F" w:rsidR="00AE313D" w:rsidRDefault="00FF221F" w:rsidP="00AE313D">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On December 19, 2008, ADK received the payment of $17,498.25 as a distribution under the </w:t>
      </w:r>
      <w:proofErr w:type="spellStart"/>
      <w:r>
        <w:rPr>
          <w:rFonts w:ascii="Times New Roman" w:hAnsi="Times New Roman" w:cs="Times New Roman"/>
          <w:bCs/>
          <w:sz w:val="28"/>
          <w:szCs w:val="28"/>
        </w:rPr>
        <w:t>Shiha</w:t>
      </w:r>
      <w:proofErr w:type="spellEnd"/>
      <w:r>
        <w:rPr>
          <w:rFonts w:ascii="Times New Roman" w:hAnsi="Times New Roman" w:cs="Times New Roman"/>
          <w:bCs/>
          <w:sz w:val="28"/>
          <w:szCs w:val="28"/>
        </w:rPr>
        <w:t xml:space="preserve"> Partnership Agreement</w:t>
      </w:r>
      <w:r w:rsidR="005B0F9C">
        <w:rPr>
          <w:rFonts w:ascii="Times New Roman" w:hAnsi="Times New Roman" w:cs="Times New Roman"/>
          <w:bCs/>
          <w:sz w:val="28"/>
          <w:szCs w:val="28"/>
        </w:rPr>
        <w:t xml:space="preserve"> (the </w:t>
      </w:r>
      <w:proofErr w:type="spellStart"/>
      <w:r w:rsidR="005B0F9C">
        <w:rPr>
          <w:rFonts w:ascii="Times New Roman" w:hAnsi="Times New Roman" w:cs="Times New Roman"/>
          <w:bCs/>
          <w:sz w:val="28"/>
          <w:szCs w:val="28"/>
        </w:rPr>
        <w:t>Shiha</w:t>
      </w:r>
      <w:proofErr w:type="spellEnd"/>
      <w:r w:rsidR="005B0F9C">
        <w:rPr>
          <w:rFonts w:ascii="Times New Roman" w:hAnsi="Times New Roman" w:cs="Times New Roman"/>
          <w:bCs/>
          <w:sz w:val="28"/>
          <w:szCs w:val="28"/>
        </w:rPr>
        <w:t xml:space="preserve"> Distribution)</w:t>
      </w:r>
      <w:r>
        <w:rPr>
          <w:rFonts w:ascii="Times New Roman" w:hAnsi="Times New Roman" w:cs="Times New Roman"/>
          <w:bCs/>
          <w:sz w:val="28"/>
          <w:szCs w:val="28"/>
        </w:rPr>
        <w:t xml:space="preserve">. </w:t>
      </w:r>
      <w:r w:rsidR="00444D81">
        <w:rPr>
          <w:rFonts w:ascii="Times New Roman" w:hAnsi="Times New Roman" w:cs="Times New Roman"/>
          <w:bCs/>
          <w:sz w:val="28"/>
          <w:szCs w:val="28"/>
        </w:rPr>
        <w:t>Thereafter</w:t>
      </w:r>
      <w:r w:rsidR="00AE313D">
        <w:rPr>
          <w:rFonts w:ascii="Times New Roman" w:hAnsi="Times New Roman" w:cs="Times New Roman"/>
          <w:bCs/>
          <w:sz w:val="28"/>
          <w:szCs w:val="28"/>
        </w:rPr>
        <w:t xml:space="preserve">, </w:t>
      </w:r>
      <w:r w:rsidR="00BD5D9C" w:rsidRPr="00AE313D">
        <w:rPr>
          <w:rFonts w:ascii="Times New Roman" w:hAnsi="Times New Roman" w:cs="Times New Roman"/>
          <w:bCs/>
          <w:sz w:val="28"/>
          <w:szCs w:val="28"/>
        </w:rPr>
        <w:t xml:space="preserve">Paramount ceased making </w:t>
      </w:r>
      <w:r w:rsidR="00A63927" w:rsidRPr="00AE313D">
        <w:rPr>
          <w:rFonts w:ascii="Times New Roman" w:hAnsi="Times New Roman" w:cs="Times New Roman"/>
          <w:bCs/>
          <w:sz w:val="28"/>
          <w:szCs w:val="28"/>
        </w:rPr>
        <w:t xml:space="preserve">annual </w:t>
      </w:r>
      <w:r w:rsidR="00BD5D9C" w:rsidRPr="00AE313D">
        <w:rPr>
          <w:rFonts w:ascii="Times New Roman" w:hAnsi="Times New Roman" w:cs="Times New Roman"/>
          <w:bCs/>
          <w:sz w:val="28"/>
          <w:szCs w:val="28"/>
        </w:rPr>
        <w:t>payments</w:t>
      </w:r>
      <w:r w:rsidR="00AE313D">
        <w:rPr>
          <w:rFonts w:ascii="Times New Roman" w:hAnsi="Times New Roman" w:cs="Times New Roman"/>
          <w:bCs/>
          <w:sz w:val="28"/>
          <w:szCs w:val="28"/>
        </w:rPr>
        <w:t xml:space="preserve"> of $100,000 to ADK.</w:t>
      </w:r>
    </w:p>
    <w:p w14:paraId="48E823B0" w14:textId="77777777" w:rsidR="00E26A76" w:rsidRDefault="00E26A76" w:rsidP="00E26A76">
      <w:pPr>
        <w:pStyle w:val="ListParagraph"/>
        <w:spacing w:after="0" w:line="240" w:lineRule="auto"/>
        <w:ind w:left="0"/>
        <w:jc w:val="both"/>
        <w:rPr>
          <w:rFonts w:ascii="Times New Roman" w:hAnsi="Times New Roman" w:cs="Times New Roman"/>
          <w:bCs/>
          <w:sz w:val="28"/>
          <w:szCs w:val="28"/>
        </w:rPr>
      </w:pPr>
    </w:p>
    <w:p w14:paraId="4DB6791F" w14:textId="547F6D76" w:rsidR="00DB17EA" w:rsidRDefault="00842BCC" w:rsidP="00AE313D">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On March 31, 2014, ADK </w:t>
      </w:r>
      <w:r w:rsidR="00AE2904">
        <w:rPr>
          <w:rFonts w:ascii="Times New Roman" w:hAnsi="Times New Roman" w:cs="Times New Roman"/>
          <w:bCs/>
          <w:sz w:val="28"/>
          <w:szCs w:val="28"/>
        </w:rPr>
        <w:t xml:space="preserve">sent a letter to Paramount requesting that Paramount explain why it had stopped making payments under the CIP Agreement. On April </w:t>
      </w:r>
      <w:r w:rsidR="00727AF6">
        <w:rPr>
          <w:rFonts w:ascii="Times New Roman" w:hAnsi="Times New Roman" w:cs="Times New Roman"/>
          <w:bCs/>
          <w:sz w:val="28"/>
          <w:szCs w:val="28"/>
        </w:rPr>
        <w:t>9, 2014, in a letter sent in reply, Paramount indicated</w:t>
      </w:r>
      <w:r w:rsidR="00203C34">
        <w:rPr>
          <w:rFonts w:ascii="Times New Roman" w:hAnsi="Times New Roman" w:cs="Times New Roman"/>
          <w:bCs/>
          <w:sz w:val="28"/>
          <w:szCs w:val="28"/>
        </w:rPr>
        <w:t xml:space="preserve"> it considered </w:t>
      </w:r>
      <w:r w:rsidR="00416CEC">
        <w:rPr>
          <w:rFonts w:ascii="Times New Roman" w:hAnsi="Times New Roman" w:cs="Times New Roman"/>
          <w:bCs/>
          <w:sz w:val="28"/>
          <w:szCs w:val="28"/>
        </w:rPr>
        <w:t xml:space="preserve">that </w:t>
      </w:r>
      <w:r w:rsidR="00203C34">
        <w:rPr>
          <w:rFonts w:ascii="Times New Roman" w:hAnsi="Times New Roman" w:cs="Times New Roman"/>
          <w:bCs/>
          <w:sz w:val="28"/>
          <w:szCs w:val="28"/>
        </w:rPr>
        <w:t>following the $17,498.25 dis</w:t>
      </w:r>
      <w:r w:rsidR="008C3134">
        <w:rPr>
          <w:rFonts w:ascii="Times New Roman" w:hAnsi="Times New Roman" w:cs="Times New Roman"/>
          <w:bCs/>
          <w:sz w:val="28"/>
          <w:szCs w:val="28"/>
        </w:rPr>
        <w:t xml:space="preserve">bursement, no further payments were </w:t>
      </w:r>
      <w:r w:rsidR="003818A6">
        <w:rPr>
          <w:rFonts w:ascii="Times New Roman" w:hAnsi="Times New Roman" w:cs="Times New Roman"/>
          <w:bCs/>
          <w:sz w:val="28"/>
          <w:szCs w:val="28"/>
        </w:rPr>
        <w:t xml:space="preserve">required </w:t>
      </w:r>
      <w:r w:rsidR="00200C8D">
        <w:rPr>
          <w:rFonts w:ascii="Times New Roman" w:hAnsi="Times New Roman" w:cs="Times New Roman"/>
          <w:bCs/>
          <w:sz w:val="28"/>
          <w:szCs w:val="28"/>
        </w:rPr>
        <w:t>under</w:t>
      </w:r>
      <w:r w:rsidR="003818A6">
        <w:rPr>
          <w:rFonts w:ascii="Times New Roman" w:hAnsi="Times New Roman" w:cs="Times New Roman"/>
          <w:bCs/>
          <w:sz w:val="28"/>
          <w:szCs w:val="28"/>
        </w:rPr>
        <w:t xml:space="preserve"> the CIP Agreement. </w:t>
      </w:r>
    </w:p>
    <w:p w14:paraId="3E658BB1" w14:textId="77777777" w:rsidR="00200C8D" w:rsidRPr="00200C8D" w:rsidRDefault="00200C8D" w:rsidP="00200C8D">
      <w:pPr>
        <w:pStyle w:val="ListParagraph"/>
        <w:rPr>
          <w:rFonts w:ascii="Times New Roman" w:hAnsi="Times New Roman" w:cs="Times New Roman"/>
          <w:bCs/>
          <w:sz w:val="28"/>
          <w:szCs w:val="28"/>
        </w:rPr>
      </w:pPr>
    </w:p>
    <w:p w14:paraId="302A15C3" w14:textId="0E15E216" w:rsidR="0046551C" w:rsidRDefault="008461E2" w:rsidP="001B5F22">
      <w:pPr>
        <w:pStyle w:val="ListParagraph"/>
        <w:numPr>
          <w:ilvl w:val="0"/>
          <w:numId w:val="1"/>
        </w:numPr>
        <w:spacing w:after="0" w:line="240" w:lineRule="auto"/>
        <w:jc w:val="both"/>
        <w:rPr>
          <w:rFonts w:ascii="Times New Roman" w:hAnsi="Times New Roman" w:cs="Times New Roman"/>
          <w:bCs/>
          <w:sz w:val="28"/>
          <w:szCs w:val="28"/>
        </w:rPr>
      </w:pPr>
      <w:r w:rsidRPr="0046551C">
        <w:rPr>
          <w:rFonts w:ascii="Times New Roman" w:hAnsi="Times New Roman" w:cs="Times New Roman"/>
          <w:bCs/>
          <w:sz w:val="28"/>
          <w:szCs w:val="28"/>
        </w:rPr>
        <w:t>In May 2018, ADK</w:t>
      </w:r>
      <w:r w:rsidR="00DA0BE7" w:rsidRPr="0046551C">
        <w:rPr>
          <w:rFonts w:ascii="Times New Roman" w:hAnsi="Times New Roman" w:cs="Times New Roman"/>
          <w:bCs/>
          <w:sz w:val="28"/>
          <w:szCs w:val="28"/>
        </w:rPr>
        <w:t xml:space="preserve"> </w:t>
      </w:r>
      <w:r w:rsidR="0072710C" w:rsidRPr="0046551C">
        <w:rPr>
          <w:rFonts w:ascii="Times New Roman" w:hAnsi="Times New Roman" w:cs="Times New Roman"/>
          <w:bCs/>
          <w:sz w:val="28"/>
          <w:szCs w:val="28"/>
        </w:rPr>
        <w:t>wrote to</w:t>
      </w:r>
      <w:r w:rsidR="00DA0BE7" w:rsidRPr="0046551C">
        <w:rPr>
          <w:rFonts w:ascii="Times New Roman" w:hAnsi="Times New Roman" w:cs="Times New Roman"/>
          <w:bCs/>
          <w:sz w:val="28"/>
          <w:szCs w:val="28"/>
        </w:rPr>
        <w:t xml:space="preserve"> the Director of Mineral and Petroleum Resources with the Government of the Northwest Territories</w:t>
      </w:r>
      <w:r w:rsidR="0072710C" w:rsidRPr="0046551C">
        <w:rPr>
          <w:rFonts w:ascii="Times New Roman" w:hAnsi="Times New Roman" w:cs="Times New Roman"/>
          <w:bCs/>
          <w:sz w:val="28"/>
          <w:szCs w:val="28"/>
        </w:rPr>
        <w:t xml:space="preserve"> </w:t>
      </w:r>
      <w:r w:rsidR="00C63F18" w:rsidRPr="0046551C">
        <w:rPr>
          <w:rFonts w:ascii="Times New Roman" w:hAnsi="Times New Roman" w:cs="Times New Roman"/>
          <w:bCs/>
          <w:sz w:val="28"/>
          <w:szCs w:val="28"/>
        </w:rPr>
        <w:t xml:space="preserve">reporting Paramount </w:t>
      </w:r>
      <w:r w:rsidR="0046551C" w:rsidRPr="0046551C">
        <w:rPr>
          <w:rFonts w:ascii="Times New Roman" w:hAnsi="Times New Roman" w:cs="Times New Roman"/>
          <w:bCs/>
          <w:sz w:val="28"/>
          <w:szCs w:val="28"/>
        </w:rPr>
        <w:t>had failed to comply with its obligations under the CIP Agreement</w:t>
      </w:r>
      <w:r w:rsidR="0046551C">
        <w:rPr>
          <w:rFonts w:ascii="Times New Roman" w:hAnsi="Times New Roman" w:cs="Times New Roman"/>
          <w:bCs/>
          <w:sz w:val="28"/>
          <w:szCs w:val="28"/>
        </w:rPr>
        <w:t xml:space="preserve">. </w:t>
      </w:r>
      <w:r w:rsidR="004D2686">
        <w:rPr>
          <w:rFonts w:ascii="Times New Roman" w:hAnsi="Times New Roman" w:cs="Times New Roman"/>
          <w:bCs/>
          <w:sz w:val="28"/>
          <w:szCs w:val="28"/>
        </w:rPr>
        <w:t xml:space="preserve">The Director </w:t>
      </w:r>
      <w:r w:rsidR="00DD61F7">
        <w:rPr>
          <w:rFonts w:ascii="Times New Roman" w:hAnsi="Times New Roman" w:cs="Times New Roman"/>
          <w:bCs/>
          <w:sz w:val="28"/>
          <w:szCs w:val="28"/>
        </w:rPr>
        <w:t xml:space="preserve">replied that </w:t>
      </w:r>
      <w:r w:rsidR="00DE42BE">
        <w:rPr>
          <w:rFonts w:ascii="Times New Roman" w:hAnsi="Times New Roman" w:cs="Times New Roman"/>
          <w:bCs/>
          <w:sz w:val="28"/>
          <w:szCs w:val="28"/>
        </w:rPr>
        <w:t xml:space="preserve">it was </w:t>
      </w:r>
      <w:r w:rsidR="00872D47">
        <w:rPr>
          <w:rFonts w:ascii="Times New Roman" w:hAnsi="Times New Roman" w:cs="Times New Roman"/>
          <w:bCs/>
          <w:sz w:val="28"/>
          <w:szCs w:val="28"/>
        </w:rPr>
        <w:t xml:space="preserve">not a party to the </w:t>
      </w:r>
      <w:r w:rsidR="001A70B1">
        <w:rPr>
          <w:rFonts w:ascii="Times New Roman" w:hAnsi="Times New Roman" w:cs="Times New Roman"/>
          <w:bCs/>
          <w:sz w:val="28"/>
          <w:szCs w:val="28"/>
        </w:rPr>
        <w:t>CIP Agreement</w:t>
      </w:r>
      <w:r w:rsidR="00872D47">
        <w:rPr>
          <w:rFonts w:ascii="Times New Roman" w:hAnsi="Times New Roman" w:cs="Times New Roman"/>
          <w:bCs/>
          <w:sz w:val="28"/>
          <w:szCs w:val="28"/>
        </w:rPr>
        <w:t xml:space="preserve"> and therefore, had no authority to enforce any obligations </w:t>
      </w:r>
      <w:r w:rsidR="00A950CE">
        <w:rPr>
          <w:rFonts w:ascii="Times New Roman" w:hAnsi="Times New Roman" w:cs="Times New Roman"/>
          <w:bCs/>
          <w:sz w:val="28"/>
          <w:szCs w:val="28"/>
        </w:rPr>
        <w:t xml:space="preserve">arising from the agreement. </w:t>
      </w:r>
      <w:r w:rsidR="001A70B1">
        <w:rPr>
          <w:rFonts w:ascii="Times New Roman" w:hAnsi="Times New Roman" w:cs="Times New Roman"/>
          <w:bCs/>
          <w:sz w:val="28"/>
          <w:szCs w:val="28"/>
        </w:rPr>
        <w:t xml:space="preserve">ADK launched an application for judicial review of the Director’s decision. </w:t>
      </w:r>
      <w:r w:rsidR="00D9216D">
        <w:rPr>
          <w:rFonts w:ascii="Times New Roman" w:hAnsi="Times New Roman" w:cs="Times New Roman"/>
          <w:bCs/>
          <w:sz w:val="28"/>
          <w:szCs w:val="28"/>
        </w:rPr>
        <w:t xml:space="preserve">On May 1, 2020, this Court </w:t>
      </w:r>
      <w:r w:rsidR="00937087">
        <w:rPr>
          <w:rFonts w:ascii="Times New Roman" w:hAnsi="Times New Roman" w:cs="Times New Roman"/>
          <w:bCs/>
          <w:sz w:val="28"/>
          <w:szCs w:val="28"/>
        </w:rPr>
        <w:t xml:space="preserve">dismissed the application </w:t>
      </w:r>
      <w:r w:rsidR="00BC76AC">
        <w:rPr>
          <w:rFonts w:ascii="Times New Roman" w:hAnsi="Times New Roman" w:cs="Times New Roman"/>
          <w:bCs/>
          <w:sz w:val="28"/>
          <w:szCs w:val="28"/>
        </w:rPr>
        <w:t>finding</w:t>
      </w:r>
      <w:r w:rsidR="00FC120A">
        <w:rPr>
          <w:rFonts w:ascii="Times New Roman" w:hAnsi="Times New Roman" w:cs="Times New Roman"/>
          <w:bCs/>
          <w:sz w:val="28"/>
          <w:szCs w:val="28"/>
        </w:rPr>
        <w:t xml:space="preserve"> that the CIP Agreement was a private agreement between ADK and Paramount to which the Government of the Northwest Territories </w:t>
      </w:r>
      <w:r w:rsidR="00533E0D">
        <w:rPr>
          <w:rFonts w:ascii="Times New Roman" w:hAnsi="Times New Roman" w:cs="Times New Roman"/>
          <w:bCs/>
          <w:sz w:val="28"/>
          <w:szCs w:val="28"/>
        </w:rPr>
        <w:t xml:space="preserve">was not a </w:t>
      </w:r>
      <w:r w:rsidR="00533E0D" w:rsidRPr="00533E0D">
        <w:rPr>
          <w:rFonts w:ascii="Times New Roman" w:hAnsi="Times New Roman" w:cs="Times New Roman"/>
          <w:bCs/>
          <w:sz w:val="28"/>
          <w:szCs w:val="28"/>
        </w:rPr>
        <w:t>party and</w:t>
      </w:r>
      <w:r w:rsidR="00221EC3">
        <w:rPr>
          <w:rFonts w:ascii="Times New Roman" w:hAnsi="Times New Roman" w:cs="Times New Roman"/>
          <w:bCs/>
          <w:sz w:val="28"/>
          <w:szCs w:val="28"/>
        </w:rPr>
        <w:t>,</w:t>
      </w:r>
      <w:r w:rsidR="00533E0D" w:rsidRPr="00533E0D">
        <w:rPr>
          <w:rFonts w:ascii="Times New Roman" w:hAnsi="Times New Roman" w:cs="Times New Roman"/>
          <w:bCs/>
          <w:sz w:val="28"/>
          <w:szCs w:val="28"/>
        </w:rPr>
        <w:t xml:space="preserve"> therefore, had no authority to enforce</w:t>
      </w:r>
      <w:r w:rsidR="00856464">
        <w:rPr>
          <w:rFonts w:ascii="Times New Roman" w:hAnsi="Times New Roman" w:cs="Times New Roman"/>
          <w:bCs/>
          <w:sz w:val="28"/>
          <w:szCs w:val="28"/>
        </w:rPr>
        <w:t xml:space="preserve"> it</w:t>
      </w:r>
      <w:r w:rsidR="00533E0D" w:rsidRPr="00533E0D">
        <w:rPr>
          <w:rFonts w:ascii="Times New Roman" w:hAnsi="Times New Roman" w:cs="Times New Roman"/>
          <w:bCs/>
          <w:sz w:val="28"/>
          <w:szCs w:val="28"/>
        </w:rPr>
        <w:t xml:space="preserve">. </w:t>
      </w:r>
    </w:p>
    <w:p w14:paraId="121F2D9F" w14:textId="77777777" w:rsidR="001B5F22" w:rsidRPr="001B5F22" w:rsidRDefault="001B5F22" w:rsidP="001B5F22">
      <w:pPr>
        <w:pStyle w:val="ListParagraph"/>
        <w:spacing w:after="0" w:line="240" w:lineRule="auto"/>
        <w:ind w:left="0"/>
        <w:jc w:val="both"/>
        <w:rPr>
          <w:rFonts w:ascii="Times New Roman" w:hAnsi="Times New Roman" w:cs="Times New Roman"/>
          <w:bCs/>
          <w:sz w:val="28"/>
          <w:szCs w:val="28"/>
        </w:rPr>
      </w:pPr>
    </w:p>
    <w:p w14:paraId="2960FA88" w14:textId="1DF3DEC0" w:rsidR="001B5F22" w:rsidRDefault="00520635" w:rsidP="001B5F22">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On September 3</w:t>
      </w:r>
      <w:r w:rsidR="00BD5D9C" w:rsidRPr="00533E0D">
        <w:rPr>
          <w:rFonts w:ascii="Times New Roman" w:hAnsi="Times New Roman" w:cs="Times New Roman"/>
          <w:bCs/>
          <w:sz w:val="28"/>
          <w:szCs w:val="28"/>
        </w:rPr>
        <w:t>,</w:t>
      </w:r>
      <w:r>
        <w:rPr>
          <w:rFonts w:ascii="Times New Roman" w:hAnsi="Times New Roman" w:cs="Times New Roman"/>
          <w:bCs/>
          <w:sz w:val="28"/>
          <w:szCs w:val="28"/>
        </w:rPr>
        <w:t xml:space="preserve"> 202</w:t>
      </w:r>
      <w:r w:rsidR="005113E3">
        <w:rPr>
          <w:rFonts w:ascii="Times New Roman" w:hAnsi="Times New Roman" w:cs="Times New Roman"/>
          <w:bCs/>
          <w:sz w:val="28"/>
          <w:szCs w:val="28"/>
        </w:rPr>
        <w:t>0</w:t>
      </w:r>
      <w:r>
        <w:rPr>
          <w:rFonts w:ascii="Times New Roman" w:hAnsi="Times New Roman" w:cs="Times New Roman"/>
          <w:bCs/>
          <w:sz w:val="28"/>
          <w:szCs w:val="28"/>
        </w:rPr>
        <w:t>, ADK file</w:t>
      </w:r>
      <w:r w:rsidR="00BD6BC1">
        <w:rPr>
          <w:rFonts w:ascii="Times New Roman" w:hAnsi="Times New Roman" w:cs="Times New Roman"/>
          <w:bCs/>
          <w:sz w:val="28"/>
          <w:szCs w:val="28"/>
        </w:rPr>
        <w:t>d</w:t>
      </w:r>
      <w:r>
        <w:rPr>
          <w:rFonts w:ascii="Times New Roman" w:hAnsi="Times New Roman" w:cs="Times New Roman"/>
          <w:bCs/>
          <w:sz w:val="28"/>
          <w:szCs w:val="28"/>
        </w:rPr>
        <w:t xml:space="preserve"> its</w:t>
      </w:r>
      <w:r w:rsidR="006C120B">
        <w:rPr>
          <w:rFonts w:ascii="Times New Roman" w:hAnsi="Times New Roman" w:cs="Times New Roman"/>
          <w:bCs/>
          <w:sz w:val="28"/>
          <w:szCs w:val="28"/>
        </w:rPr>
        <w:t xml:space="preserve"> original</w:t>
      </w:r>
      <w:r>
        <w:rPr>
          <w:rFonts w:ascii="Times New Roman" w:hAnsi="Times New Roman" w:cs="Times New Roman"/>
          <w:bCs/>
          <w:sz w:val="28"/>
          <w:szCs w:val="28"/>
        </w:rPr>
        <w:t xml:space="preserve"> Statement of Claim in t</w:t>
      </w:r>
      <w:r w:rsidR="00632714">
        <w:rPr>
          <w:rFonts w:ascii="Times New Roman" w:hAnsi="Times New Roman" w:cs="Times New Roman"/>
          <w:bCs/>
          <w:sz w:val="28"/>
          <w:szCs w:val="28"/>
        </w:rPr>
        <w:t>he</w:t>
      </w:r>
      <w:r>
        <w:rPr>
          <w:rFonts w:ascii="Times New Roman" w:hAnsi="Times New Roman" w:cs="Times New Roman"/>
          <w:bCs/>
          <w:sz w:val="28"/>
          <w:szCs w:val="28"/>
        </w:rPr>
        <w:t xml:space="preserve"> present case</w:t>
      </w:r>
      <w:r w:rsidR="006C120B">
        <w:rPr>
          <w:rFonts w:ascii="Times New Roman" w:hAnsi="Times New Roman" w:cs="Times New Roman"/>
          <w:bCs/>
          <w:sz w:val="28"/>
          <w:szCs w:val="28"/>
        </w:rPr>
        <w:t xml:space="preserve">. </w:t>
      </w:r>
    </w:p>
    <w:p w14:paraId="72B4F20C" w14:textId="77777777" w:rsidR="001B5F22" w:rsidRPr="001B5F22" w:rsidRDefault="001B5F22" w:rsidP="001B5F22">
      <w:pPr>
        <w:pStyle w:val="ListParagraph"/>
        <w:rPr>
          <w:rFonts w:ascii="Times New Roman" w:hAnsi="Times New Roman" w:cs="Times New Roman"/>
          <w:bCs/>
          <w:sz w:val="28"/>
          <w:szCs w:val="28"/>
        </w:rPr>
      </w:pPr>
    </w:p>
    <w:p w14:paraId="41759DE0" w14:textId="047B878B" w:rsidR="0004035F" w:rsidRPr="0004035F" w:rsidRDefault="000D06E7" w:rsidP="0004035F">
      <w:pPr>
        <w:pStyle w:val="ListParagraph"/>
        <w:numPr>
          <w:ilvl w:val="0"/>
          <w:numId w:val="1"/>
        </w:numPr>
        <w:spacing w:after="0" w:line="240" w:lineRule="auto"/>
        <w:jc w:val="both"/>
        <w:rPr>
          <w:rFonts w:ascii="Times New Roman" w:hAnsi="Times New Roman" w:cs="Times New Roman"/>
          <w:bCs/>
          <w:sz w:val="28"/>
          <w:szCs w:val="28"/>
        </w:rPr>
      </w:pPr>
      <w:r w:rsidRPr="0004035F">
        <w:rPr>
          <w:rFonts w:ascii="Times New Roman" w:hAnsi="Times New Roman" w:cs="Times New Roman"/>
          <w:bCs/>
          <w:sz w:val="28"/>
          <w:szCs w:val="28"/>
        </w:rPr>
        <w:t>In 2022, Paramount</w:t>
      </w:r>
      <w:r w:rsidR="0004035F" w:rsidRPr="0004035F">
        <w:rPr>
          <w:rFonts w:ascii="Times New Roman" w:hAnsi="Times New Roman" w:cs="Times New Roman"/>
          <w:bCs/>
          <w:sz w:val="28"/>
          <w:szCs w:val="28"/>
        </w:rPr>
        <w:t xml:space="preserve"> </w:t>
      </w:r>
      <w:r w:rsidRPr="0004035F">
        <w:rPr>
          <w:rFonts w:ascii="Times New Roman" w:hAnsi="Times New Roman" w:cs="Times New Roman"/>
          <w:bCs/>
          <w:sz w:val="28"/>
          <w:szCs w:val="28"/>
        </w:rPr>
        <w:t>surrendered</w:t>
      </w:r>
      <w:r w:rsidR="007D7619">
        <w:rPr>
          <w:rFonts w:ascii="Times New Roman" w:hAnsi="Times New Roman" w:cs="Times New Roman"/>
          <w:bCs/>
          <w:sz w:val="28"/>
          <w:szCs w:val="28"/>
        </w:rPr>
        <w:t xml:space="preserve"> </w:t>
      </w:r>
      <w:r w:rsidR="0004035F">
        <w:rPr>
          <w:rFonts w:ascii="Times New Roman" w:hAnsi="Times New Roman" w:cs="Times New Roman"/>
          <w:bCs/>
          <w:sz w:val="28"/>
          <w:szCs w:val="28"/>
        </w:rPr>
        <w:t>its</w:t>
      </w:r>
      <w:r w:rsidRPr="0004035F">
        <w:rPr>
          <w:rFonts w:ascii="Times New Roman" w:hAnsi="Times New Roman" w:cs="Times New Roman"/>
          <w:bCs/>
          <w:sz w:val="28"/>
          <w:szCs w:val="28"/>
        </w:rPr>
        <w:t xml:space="preserve"> </w:t>
      </w:r>
      <w:r w:rsidR="00615F66" w:rsidRPr="0004035F">
        <w:rPr>
          <w:rFonts w:ascii="Times New Roman" w:hAnsi="Times New Roman" w:cs="Times New Roman"/>
          <w:bCs/>
          <w:sz w:val="28"/>
          <w:szCs w:val="28"/>
        </w:rPr>
        <w:t xml:space="preserve">Significant Discovery License and Production Licenses related to the Lands. </w:t>
      </w:r>
      <w:r w:rsidR="007636DC" w:rsidRPr="0004035F">
        <w:rPr>
          <w:rFonts w:ascii="Times New Roman" w:hAnsi="Times New Roman" w:cs="Times New Roman"/>
          <w:bCs/>
          <w:sz w:val="28"/>
          <w:szCs w:val="28"/>
        </w:rPr>
        <w:t xml:space="preserve">These licenses are no longer in force since April 4, 2022. Paramount informed ADK </w:t>
      </w:r>
      <w:r w:rsidR="00D52587" w:rsidRPr="0004035F">
        <w:rPr>
          <w:rFonts w:ascii="Times New Roman" w:hAnsi="Times New Roman" w:cs="Times New Roman"/>
          <w:bCs/>
          <w:sz w:val="28"/>
          <w:szCs w:val="28"/>
        </w:rPr>
        <w:t xml:space="preserve">that they surrendered these licences on June </w:t>
      </w:r>
      <w:r w:rsidR="0004035F" w:rsidRPr="0004035F">
        <w:rPr>
          <w:rFonts w:ascii="Times New Roman" w:hAnsi="Times New Roman" w:cs="Times New Roman"/>
          <w:bCs/>
          <w:sz w:val="28"/>
          <w:szCs w:val="28"/>
        </w:rPr>
        <w:t xml:space="preserve">13, 2022, which terminated the CIP Agreement. </w:t>
      </w:r>
    </w:p>
    <w:p w14:paraId="04603A2B" w14:textId="77777777" w:rsidR="0004035F" w:rsidRPr="0004035F" w:rsidRDefault="0004035F" w:rsidP="0004035F">
      <w:pPr>
        <w:pStyle w:val="ListParagraph"/>
        <w:spacing w:after="0" w:line="240" w:lineRule="auto"/>
        <w:ind w:left="0"/>
        <w:jc w:val="both"/>
        <w:rPr>
          <w:rFonts w:ascii="Times New Roman" w:hAnsi="Times New Roman" w:cs="Times New Roman"/>
          <w:bCs/>
          <w:sz w:val="28"/>
          <w:szCs w:val="28"/>
        </w:rPr>
      </w:pPr>
    </w:p>
    <w:p w14:paraId="4509C45D" w14:textId="687B5A6C" w:rsidR="00B149FF" w:rsidRDefault="00B149FF" w:rsidP="005E146B">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The parties agree that</w:t>
      </w:r>
      <w:r w:rsidR="006C4520">
        <w:rPr>
          <w:rFonts w:ascii="Times New Roman" w:hAnsi="Times New Roman" w:cs="Times New Roman"/>
          <w:bCs/>
          <w:sz w:val="28"/>
          <w:szCs w:val="28"/>
        </w:rPr>
        <w:t xml:space="preserve"> I </w:t>
      </w:r>
      <w:r w:rsidR="00E037BC">
        <w:rPr>
          <w:rFonts w:ascii="Times New Roman" w:hAnsi="Times New Roman" w:cs="Times New Roman"/>
          <w:bCs/>
          <w:sz w:val="28"/>
          <w:szCs w:val="28"/>
        </w:rPr>
        <w:t>should</w:t>
      </w:r>
      <w:r w:rsidR="006C4520">
        <w:rPr>
          <w:rFonts w:ascii="Times New Roman" w:hAnsi="Times New Roman" w:cs="Times New Roman"/>
          <w:bCs/>
          <w:sz w:val="28"/>
          <w:szCs w:val="28"/>
        </w:rPr>
        <w:t xml:space="preserve"> </w:t>
      </w:r>
      <w:r w:rsidR="004E0BF1">
        <w:rPr>
          <w:rFonts w:ascii="Times New Roman" w:hAnsi="Times New Roman" w:cs="Times New Roman"/>
          <w:bCs/>
          <w:sz w:val="28"/>
          <w:szCs w:val="28"/>
        </w:rPr>
        <w:t xml:space="preserve">decide whether </w:t>
      </w:r>
      <w:r w:rsidR="006C4520">
        <w:rPr>
          <w:rFonts w:ascii="Times New Roman" w:hAnsi="Times New Roman" w:cs="Times New Roman"/>
          <w:bCs/>
          <w:sz w:val="28"/>
          <w:szCs w:val="28"/>
        </w:rPr>
        <w:t xml:space="preserve">ADK’s </w:t>
      </w:r>
      <w:r w:rsidR="00F33169">
        <w:rPr>
          <w:rFonts w:ascii="Times New Roman" w:hAnsi="Times New Roman" w:cs="Times New Roman"/>
          <w:bCs/>
          <w:sz w:val="28"/>
          <w:szCs w:val="28"/>
        </w:rPr>
        <w:t>claim against Paramount should be granted</w:t>
      </w:r>
      <w:r w:rsidR="00E037BC">
        <w:rPr>
          <w:rFonts w:ascii="Times New Roman" w:hAnsi="Times New Roman" w:cs="Times New Roman"/>
          <w:bCs/>
          <w:sz w:val="28"/>
          <w:szCs w:val="28"/>
        </w:rPr>
        <w:t xml:space="preserve"> by way of summary judgment</w:t>
      </w:r>
      <w:r w:rsidR="00F33169">
        <w:rPr>
          <w:rFonts w:ascii="Times New Roman" w:hAnsi="Times New Roman" w:cs="Times New Roman"/>
          <w:bCs/>
          <w:sz w:val="28"/>
          <w:szCs w:val="28"/>
        </w:rPr>
        <w:t xml:space="preserve">. Paramount </w:t>
      </w:r>
      <w:r w:rsidR="005F56AA">
        <w:rPr>
          <w:rFonts w:ascii="Times New Roman" w:hAnsi="Times New Roman" w:cs="Times New Roman"/>
          <w:bCs/>
          <w:sz w:val="28"/>
          <w:szCs w:val="28"/>
        </w:rPr>
        <w:t>does not argue</w:t>
      </w:r>
      <w:r w:rsidR="00A165A5">
        <w:rPr>
          <w:rFonts w:ascii="Times New Roman" w:hAnsi="Times New Roman" w:cs="Times New Roman"/>
          <w:bCs/>
          <w:sz w:val="28"/>
          <w:szCs w:val="28"/>
        </w:rPr>
        <w:t xml:space="preserve"> that there is a genuine issue that require</w:t>
      </w:r>
      <w:r w:rsidR="004E0BF1">
        <w:rPr>
          <w:rFonts w:ascii="Times New Roman" w:hAnsi="Times New Roman" w:cs="Times New Roman"/>
          <w:bCs/>
          <w:sz w:val="28"/>
          <w:szCs w:val="28"/>
        </w:rPr>
        <w:t>s</w:t>
      </w:r>
      <w:r w:rsidR="00A165A5">
        <w:rPr>
          <w:rFonts w:ascii="Times New Roman" w:hAnsi="Times New Roman" w:cs="Times New Roman"/>
          <w:bCs/>
          <w:sz w:val="28"/>
          <w:szCs w:val="28"/>
        </w:rPr>
        <w:t xml:space="preserve"> a full trial.</w:t>
      </w:r>
      <w:r w:rsidR="004E0BF1">
        <w:rPr>
          <w:rFonts w:ascii="Times New Roman" w:hAnsi="Times New Roman" w:cs="Times New Roman"/>
          <w:bCs/>
          <w:sz w:val="28"/>
          <w:szCs w:val="28"/>
        </w:rPr>
        <w:t xml:space="preserve"> </w:t>
      </w:r>
      <w:r w:rsidR="00D00C37">
        <w:rPr>
          <w:rFonts w:ascii="Times New Roman" w:hAnsi="Times New Roman" w:cs="Times New Roman"/>
          <w:bCs/>
          <w:sz w:val="28"/>
          <w:szCs w:val="28"/>
        </w:rPr>
        <w:t xml:space="preserve">In fact, Paramount takes the position that I </w:t>
      </w:r>
      <w:r w:rsidR="002A584B">
        <w:rPr>
          <w:rFonts w:ascii="Times New Roman" w:hAnsi="Times New Roman" w:cs="Times New Roman"/>
          <w:bCs/>
          <w:sz w:val="28"/>
          <w:szCs w:val="28"/>
        </w:rPr>
        <w:t>can</w:t>
      </w:r>
      <w:r w:rsidR="00B3449E">
        <w:rPr>
          <w:rFonts w:ascii="Times New Roman" w:hAnsi="Times New Roman" w:cs="Times New Roman"/>
          <w:bCs/>
          <w:sz w:val="28"/>
          <w:szCs w:val="28"/>
        </w:rPr>
        <w:t>,</w:t>
      </w:r>
      <w:r w:rsidR="002A584B">
        <w:rPr>
          <w:rFonts w:ascii="Times New Roman" w:hAnsi="Times New Roman" w:cs="Times New Roman"/>
          <w:bCs/>
          <w:sz w:val="28"/>
          <w:szCs w:val="28"/>
        </w:rPr>
        <w:t xml:space="preserve"> and </w:t>
      </w:r>
      <w:r w:rsidR="00B3449E">
        <w:rPr>
          <w:rFonts w:ascii="Times New Roman" w:hAnsi="Times New Roman" w:cs="Times New Roman"/>
          <w:bCs/>
          <w:sz w:val="28"/>
          <w:szCs w:val="28"/>
        </w:rPr>
        <w:t xml:space="preserve">I </w:t>
      </w:r>
      <w:r w:rsidR="002A584B">
        <w:rPr>
          <w:rFonts w:ascii="Times New Roman" w:hAnsi="Times New Roman" w:cs="Times New Roman"/>
          <w:bCs/>
          <w:sz w:val="28"/>
          <w:szCs w:val="28"/>
        </w:rPr>
        <w:t>should</w:t>
      </w:r>
      <w:r w:rsidR="00B3449E">
        <w:rPr>
          <w:rFonts w:ascii="Times New Roman" w:hAnsi="Times New Roman" w:cs="Times New Roman"/>
          <w:bCs/>
          <w:sz w:val="28"/>
          <w:szCs w:val="28"/>
        </w:rPr>
        <w:t>,</w:t>
      </w:r>
      <w:r w:rsidR="002A584B">
        <w:rPr>
          <w:rFonts w:ascii="Times New Roman" w:hAnsi="Times New Roman" w:cs="Times New Roman"/>
          <w:bCs/>
          <w:sz w:val="28"/>
          <w:szCs w:val="28"/>
        </w:rPr>
        <w:t xml:space="preserve"> deal with </w:t>
      </w:r>
      <w:r w:rsidR="00880DCB">
        <w:rPr>
          <w:rFonts w:ascii="Times New Roman" w:hAnsi="Times New Roman" w:cs="Times New Roman"/>
          <w:bCs/>
          <w:sz w:val="28"/>
          <w:szCs w:val="28"/>
        </w:rPr>
        <w:t xml:space="preserve">all </w:t>
      </w:r>
      <w:r w:rsidR="00504AF1">
        <w:rPr>
          <w:rFonts w:ascii="Times New Roman" w:hAnsi="Times New Roman" w:cs="Times New Roman"/>
          <w:bCs/>
          <w:sz w:val="28"/>
          <w:szCs w:val="28"/>
        </w:rPr>
        <w:t xml:space="preserve">the </w:t>
      </w:r>
      <w:r w:rsidR="00880DCB">
        <w:rPr>
          <w:rFonts w:ascii="Times New Roman" w:hAnsi="Times New Roman" w:cs="Times New Roman"/>
          <w:bCs/>
          <w:sz w:val="28"/>
          <w:szCs w:val="28"/>
        </w:rPr>
        <w:t xml:space="preserve">issues </w:t>
      </w:r>
      <w:r w:rsidR="00632714">
        <w:rPr>
          <w:rFonts w:ascii="Times New Roman" w:hAnsi="Times New Roman" w:cs="Times New Roman"/>
          <w:bCs/>
          <w:sz w:val="28"/>
          <w:szCs w:val="28"/>
        </w:rPr>
        <w:t xml:space="preserve">raised by </w:t>
      </w:r>
      <w:r w:rsidR="00880DCB">
        <w:rPr>
          <w:rFonts w:ascii="Times New Roman" w:hAnsi="Times New Roman" w:cs="Times New Roman"/>
          <w:bCs/>
          <w:sz w:val="28"/>
          <w:szCs w:val="28"/>
        </w:rPr>
        <w:t>this claim</w:t>
      </w:r>
      <w:r w:rsidR="002A584B">
        <w:rPr>
          <w:rFonts w:ascii="Times New Roman" w:hAnsi="Times New Roman" w:cs="Times New Roman"/>
          <w:bCs/>
          <w:sz w:val="28"/>
          <w:szCs w:val="28"/>
        </w:rPr>
        <w:t xml:space="preserve"> </w:t>
      </w:r>
      <w:r w:rsidR="00BB5C80">
        <w:rPr>
          <w:rFonts w:ascii="Times New Roman" w:hAnsi="Times New Roman" w:cs="Times New Roman"/>
          <w:bCs/>
          <w:sz w:val="28"/>
          <w:szCs w:val="28"/>
        </w:rPr>
        <w:t xml:space="preserve">and dismiss both the application for summary judgment and the </w:t>
      </w:r>
      <w:r w:rsidR="002A584B">
        <w:rPr>
          <w:rFonts w:ascii="Times New Roman" w:hAnsi="Times New Roman" w:cs="Times New Roman"/>
          <w:bCs/>
          <w:sz w:val="28"/>
          <w:szCs w:val="28"/>
        </w:rPr>
        <w:t xml:space="preserve">action against Paramount. </w:t>
      </w:r>
      <w:r w:rsidR="002A584B" w:rsidRPr="00D053FB">
        <w:rPr>
          <w:rFonts w:ascii="Times New Roman" w:hAnsi="Times New Roman" w:cs="Times New Roman"/>
          <w:bCs/>
          <w:sz w:val="28"/>
          <w:szCs w:val="28"/>
        </w:rPr>
        <w:t>ADK submi</w:t>
      </w:r>
      <w:r w:rsidR="002A584B">
        <w:rPr>
          <w:rFonts w:ascii="Times New Roman" w:hAnsi="Times New Roman" w:cs="Times New Roman"/>
          <w:bCs/>
          <w:sz w:val="28"/>
          <w:szCs w:val="28"/>
        </w:rPr>
        <w:t>ts</w:t>
      </w:r>
      <w:r w:rsidR="002A584B" w:rsidRPr="00D053FB">
        <w:rPr>
          <w:rFonts w:ascii="Times New Roman" w:hAnsi="Times New Roman" w:cs="Times New Roman"/>
          <w:bCs/>
          <w:sz w:val="28"/>
          <w:szCs w:val="28"/>
        </w:rPr>
        <w:t xml:space="preserve"> that if I agree with Paramount and dismiss this </w:t>
      </w:r>
      <w:r w:rsidR="00B3449E">
        <w:rPr>
          <w:rFonts w:ascii="Times New Roman" w:hAnsi="Times New Roman" w:cs="Times New Roman"/>
          <w:bCs/>
          <w:sz w:val="28"/>
          <w:szCs w:val="28"/>
        </w:rPr>
        <w:t>a</w:t>
      </w:r>
      <w:r w:rsidR="002A584B" w:rsidRPr="00D053FB">
        <w:rPr>
          <w:rFonts w:ascii="Times New Roman" w:hAnsi="Times New Roman" w:cs="Times New Roman"/>
          <w:bCs/>
          <w:sz w:val="28"/>
          <w:szCs w:val="28"/>
        </w:rPr>
        <w:t xml:space="preserve">pplication for </w:t>
      </w:r>
      <w:r w:rsidR="00B3449E">
        <w:rPr>
          <w:rFonts w:ascii="Times New Roman" w:hAnsi="Times New Roman" w:cs="Times New Roman"/>
          <w:bCs/>
          <w:sz w:val="28"/>
          <w:szCs w:val="28"/>
        </w:rPr>
        <w:t>s</w:t>
      </w:r>
      <w:r w:rsidR="002A584B" w:rsidRPr="00D053FB">
        <w:rPr>
          <w:rFonts w:ascii="Times New Roman" w:hAnsi="Times New Roman" w:cs="Times New Roman"/>
          <w:bCs/>
          <w:sz w:val="28"/>
          <w:szCs w:val="28"/>
        </w:rPr>
        <w:t xml:space="preserve">ummary </w:t>
      </w:r>
      <w:r w:rsidR="00B3449E">
        <w:rPr>
          <w:rFonts w:ascii="Times New Roman" w:hAnsi="Times New Roman" w:cs="Times New Roman"/>
          <w:bCs/>
          <w:sz w:val="28"/>
          <w:szCs w:val="28"/>
        </w:rPr>
        <w:t>j</w:t>
      </w:r>
      <w:r w:rsidR="002A584B" w:rsidRPr="00D053FB">
        <w:rPr>
          <w:rFonts w:ascii="Times New Roman" w:hAnsi="Times New Roman" w:cs="Times New Roman"/>
          <w:bCs/>
          <w:sz w:val="28"/>
          <w:szCs w:val="28"/>
        </w:rPr>
        <w:t xml:space="preserve">udgment, I </w:t>
      </w:r>
      <w:r w:rsidR="00E74113">
        <w:rPr>
          <w:rFonts w:ascii="Times New Roman" w:hAnsi="Times New Roman" w:cs="Times New Roman"/>
          <w:bCs/>
          <w:sz w:val="28"/>
          <w:szCs w:val="28"/>
        </w:rPr>
        <w:t>should not</w:t>
      </w:r>
      <w:r w:rsidR="002A584B" w:rsidRPr="00D053FB">
        <w:rPr>
          <w:rFonts w:ascii="Times New Roman" w:hAnsi="Times New Roman" w:cs="Times New Roman"/>
          <w:bCs/>
          <w:sz w:val="28"/>
          <w:szCs w:val="28"/>
        </w:rPr>
        <w:t xml:space="preserve"> dismiss the action. ADK </w:t>
      </w:r>
      <w:r w:rsidR="00FD7DA3">
        <w:rPr>
          <w:rFonts w:ascii="Times New Roman" w:hAnsi="Times New Roman" w:cs="Times New Roman"/>
          <w:bCs/>
          <w:sz w:val="28"/>
          <w:szCs w:val="28"/>
        </w:rPr>
        <w:t>claims</w:t>
      </w:r>
      <w:r w:rsidR="002A584B" w:rsidRPr="00D053FB">
        <w:rPr>
          <w:rFonts w:ascii="Times New Roman" w:hAnsi="Times New Roman" w:cs="Times New Roman"/>
          <w:bCs/>
          <w:sz w:val="28"/>
          <w:szCs w:val="28"/>
        </w:rPr>
        <w:t xml:space="preserve"> that because Paramount did not file </w:t>
      </w:r>
      <w:r w:rsidR="00D80683">
        <w:rPr>
          <w:rFonts w:ascii="Times New Roman" w:hAnsi="Times New Roman" w:cs="Times New Roman"/>
          <w:bCs/>
          <w:sz w:val="28"/>
          <w:szCs w:val="28"/>
        </w:rPr>
        <w:t>its</w:t>
      </w:r>
      <w:r w:rsidR="002A584B" w:rsidRPr="00D053FB">
        <w:rPr>
          <w:rFonts w:ascii="Times New Roman" w:hAnsi="Times New Roman" w:cs="Times New Roman"/>
          <w:bCs/>
          <w:sz w:val="28"/>
          <w:szCs w:val="28"/>
        </w:rPr>
        <w:t xml:space="preserve"> own application for summary judgment, I </w:t>
      </w:r>
      <w:r w:rsidR="003D3F33">
        <w:rPr>
          <w:rFonts w:ascii="Times New Roman" w:hAnsi="Times New Roman" w:cs="Times New Roman"/>
          <w:bCs/>
          <w:sz w:val="28"/>
          <w:szCs w:val="28"/>
        </w:rPr>
        <w:t>must not</w:t>
      </w:r>
      <w:r w:rsidR="002A584B" w:rsidRPr="00D053FB">
        <w:rPr>
          <w:rFonts w:ascii="Times New Roman" w:hAnsi="Times New Roman" w:cs="Times New Roman"/>
          <w:bCs/>
          <w:sz w:val="28"/>
          <w:szCs w:val="28"/>
        </w:rPr>
        <w:t xml:space="preserve"> grant a relief </w:t>
      </w:r>
      <w:r w:rsidR="00116938">
        <w:rPr>
          <w:rFonts w:ascii="Times New Roman" w:hAnsi="Times New Roman" w:cs="Times New Roman"/>
          <w:bCs/>
          <w:sz w:val="28"/>
          <w:szCs w:val="28"/>
        </w:rPr>
        <w:t xml:space="preserve">that is </w:t>
      </w:r>
      <w:r w:rsidR="002A584B" w:rsidRPr="00D053FB">
        <w:rPr>
          <w:rFonts w:ascii="Times New Roman" w:hAnsi="Times New Roman" w:cs="Times New Roman"/>
          <w:bCs/>
          <w:sz w:val="28"/>
          <w:szCs w:val="28"/>
        </w:rPr>
        <w:t xml:space="preserve">dispositive of the action in favour of Paramount. </w:t>
      </w:r>
    </w:p>
    <w:p w14:paraId="232257D4" w14:textId="77777777" w:rsidR="005E146B" w:rsidRPr="005E146B" w:rsidRDefault="005E146B" w:rsidP="005E146B">
      <w:pPr>
        <w:pStyle w:val="ListParagraph"/>
        <w:rPr>
          <w:rFonts w:ascii="Times New Roman" w:hAnsi="Times New Roman" w:cs="Times New Roman"/>
          <w:bCs/>
          <w:sz w:val="28"/>
          <w:szCs w:val="28"/>
        </w:rPr>
      </w:pPr>
    </w:p>
    <w:p w14:paraId="3FF5C44C" w14:textId="796A6053" w:rsidR="00BD5D9C" w:rsidRPr="005E146B" w:rsidRDefault="005E146B" w:rsidP="005E146B">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On the substantive issues, </w:t>
      </w:r>
      <w:r w:rsidR="00BD5D9C" w:rsidRPr="005E146B">
        <w:rPr>
          <w:rFonts w:ascii="Times New Roman" w:hAnsi="Times New Roman" w:cs="Times New Roman"/>
          <w:bCs/>
          <w:sz w:val="28"/>
          <w:szCs w:val="28"/>
        </w:rPr>
        <w:t xml:space="preserve">ADK argues </w:t>
      </w:r>
      <w:r w:rsidR="00F81C33">
        <w:rPr>
          <w:rFonts w:ascii="Times New Roman" w:hAnsi="Times New Roman" w:cs="Times New Roman"/>
          <w:bCs/>
          <w:sz w:val="28"/>
          <w:szCs w:val="28"/>
        </w:rPr>
        <w:t>that Paramount is liable for breach</w:t>
      </w:r>
      <w:r w:rsidR="00BD5D9C" w:rsidRPr="005E146B">
        <w:rPr>
          <w:rFonts w:ascii="Times New Roman" w:hAnsi="Times New Roman" w:cs="Times New Roman"/>
          <w:bCs/>
          <w:sz w:val="28"/>
          <w:szCs w:val="28"/>
        </w:rPr>
        <w:t xml:space="preserve"> of contract and </w:t>
      </w:r>
      <w:r w:rsidR="00F81C33">
        <w:rPr>
          <w:rFonts w:ascii="Times New Roman" w:hAnsi="Times New Roman" w:cs="Times New Roman"/>
          <w:bCs/>
          <w:sz w:val="28"/>
          <w:szCs w:val="28"/>
        </w:rPr>
        <w:t xml:space="preserve">for failing to comply with its </w:t>
      </w:r>
      <w:r w:rsidR="00BD5D9C" w:rsidRPr="005E146B">
        <w:rPr>
          <w:rFonts w:ascii="Times New Roman" w:hAnsi="Times New Roman" w:cs="Times New Roman"/>
          <w:bCs/>
          <w:sz w:val="28"/>
          <w:szCs w:val="28"/>
        </w:rPr>
        <w:t xml:space="preserve">duty of good faith. </w:t>
      </w:r>
      <w:r w:rsidR="00A95CDA">
        <w:rPr>
          <w:rFonts w:ascii="Times New Roman" w:hAnsi="Times New Roman" w:cs="Times New Roman"/>
          <w:bCs/>
          <w:sz w:val="28"/>
          <w:szCs w:val="28"/>
        </w:rPr>
        <w:t>ADK submits that</w:t>
      </w:r>
      <w:r w:rsidR="00873609">
        <w:rPr>
          <w:rFonts w:ascii="Times New Roman" w:hAnsi="Times New Roman" w:cs="Times New Roman"/>
          <w:bCs/>
          <w:sz w:val="28"/>
          <w:szCs w:val="28"/>
        </w:rPr>
        <w:t xml:space="preserve"> when p</w:t>
      </w:r>
      <w:r w:rsidR="002D5D52">
        <w:rPr>
          <w:rFonts w:ascii="Times New Roman" w:hAnsi="Times New Roman" w:cs="Times New Roman"/>
          <w:bCs/>
          <w:sz w:val="28"/>
          <w:szCs w:val="28"/>
        </w:rPr>
        <w:t>roper</w:t>
      </w:r>
      <w:r w:rsidR="00873609">
        <w:rPr>
          <w:rFonts w:ascii="Times New Roman" w:hAnsi="Times New Roman" w:cs="Times New Roman"/>
          <w:bCs/>
          <w:sz w:val="28"/>
          <w:szCs w:val="28"/>
        </w:rPr>
        <w:t>ly</w:t>
      </w:r>
      <w:r w:rsidR="002D5D52">
        <w:rPr>
          <w:rFonts w:ascii="Times New Roman" w:hAnsi="Times New Roman" w:cs="Times New Roman"/>
          <w:bCs/>
          <w:sz w:val="28"/>
          <w:szCs w:val="28"/>
        </w:rPr>
        <w:t xml:space="preserve"> interpretat</w:t>
      </w:r>
      <w:r w:rsidR="00873609">
        <w:rPr>
          <w:rFonts w:ascii="Times New Roman" w:hAnsi="Times New Roman" w:cs="Times New Roman"/>
          <w:bCs/>
          <w:sz w:val="28"/>
          <w:szCs w:val="28"/>
        </w:rPr>
        <w:t>ed, t</w:t>
      </w:r>
      <w:r w:rsidR="002D5D52">
        <w:rPr>
          <w:rFonts w:ascii="Times New Roman" w:hAnsi="Times New Roman" w:cs="Times New Roman"/>
          <w:bCs/>
          <w:sz w:val="28"/>
          <w:szCs w:val="28"/>
        </w:rPr>
        <w:t xml:space="preserve">he CIP Agreement clause </w:t>
      </w:r>
      <w:r w:rsidR="000E28BF">
        <w:rPr>
          <w:rFonts w:ascii="Times New Roman" w:hAnsi="Times New Roman" w:cs="Times New Roman"/>
          <w:bCs/>
          <w:sz w:val="28"/>
          <w:szCs w:val="28"/>
        </w:rPr>
        <w:t>requiring</w:t>
      </w:r>
      <w:r w:rsidR="0014043C">
        <w:rPr>
          <w:rFonts w:ascii="Times New Roman" w:hAnsi="Times New Roman" w:cs="Times New Roman"/>
          <w:bCs/>
          <w:sz w:val="28"/>
          <w:szCs w:val="28"/>
        </w:rPr>
        <w:t xml:space="preserve"> </w:t>
      </w:r>
      <w:r w:rsidR="0087137B">
        <w:rPr>
          <w:rFonts w:ascii="Times New Roman" w:hAnsi="Times New Roman" w:cs="Times New Roman"/>
          <w:bCs/>
          <w:sz w:val="28"/>
          <w:szCs w:val="28"/>
        </w:rPr>
        <w:t>yearly</w:t>
      </w:r>
      <w:r w:rsidR="0014043C">
        <w:rPr>
          <w:rFonts w:ascii="Times New Roman" w:hAnsi="Times New Roman" w:cs="Times New Roman"/>
          <w:bCs/>
          <w:sz w:val="28"/>
          <w:szCs w:val="28"/>
        </w:rPr>
        <w:t xml:space="preserve"> payments </w:t>
      </w:r>
      <w:r w:rsidR="00873609">
        <w:rPr>
          <w:rFonts w:ascii="Times New Roman" w:hAnsi="Times New Roman" w:cs="Times New Roman"/>
          <w:bCs/>
          <w:sz w:val="28"/>
          <w:szCs w:val="28"/>
        </w:rPr>
        <w:t>by Paramount to</w:t>
      </w:r>
      <w:r w:rsidR="0014043C">
        <w:rPr>
          <w:rFonts w:ascii="Times New Roman" w:hAnsi="Times New Roman" w:cs="Times New Roman"/>
          <w:bCs/>
          <w:sz w:val="28"/>
          <w:szCs w:val="28"/>
        </w:rPr>
        <w:t xml:space="preserve"> ADK</w:t>
      </w:r>
      <w:r w:rsidR="00873609">
        <w:rPr>
          <w:rFonts w:ascii="Times New Roman" w:hAnsi="Times New Roman" w:cs="Times New Roman"/>
          <w:bCs/>
          <w:sz w:val="28"/>
          <w:szCs w:val="28"/>
        </w:rPr>
        <w:t xml:space="preserve"> provides that</w:t>
      </w:r>
      <w:r w:rsidR="0014043C">
        <w:rPr>
          <w:rFonts w:ascii="Times New Roman" w:hAnsi="Times New Roman" w:cs="Times New Roman"/>
          <w:bCs/>
          <w:sz w:val="28"/>
          <w:szCs w:val="28"/>
        </w:rPr>
        <w:t xml:space="preserve"> the annual funding </w:t>
      </w:r>
      <w:r w:rsidR="000E28BF">
        <w:rPr>
          <w:rFonts w:ascii="Times New Roman" w:hAnsi="Times New Roman" w:cs="Times New Roman"/>
          <w:bCs/>
          <w:sz w:val="28"/>
          <w:szCs w:val="28"/>
        </w:rPr>
        <w:t>can</w:t>
      </w:r>
      <w:r w:rsidR="002033B4">
        <w:rPr>
          <w:rFonts w:ascii="Times New Roman" w:hAnsi="Times New Roman" w:cs="Times New Roman"/>
          <w:bCs/>
          <w:sz w:val="28"/>
          <w:szCs w:val="28"/>
        </w:rPr>
        <w:t xml:space="preserve"> only cease once the </w:t>
      </w:r>
      <w:proofErr w:type="spellStart"/>
      <w:r w:rsidR="002033B4">
        <w:rPr>
          <w:rFonts w:ascii="Times New Roman" w:hAnsi="Times New Roman" w:cs="Times New Roman"/>
          <w:bCs/>
          <w:sz w:val="28"/>
          <w:szCs w:val="28"/>
        </w:rPr>
        <w:t>Shiha</w:t>
      </w:r>
      <w:proofErr w:type="spellEnd"/>
      <w:r w:rsidR="002033B4">
        <w:rPr>
          <w:rFonts w:ascii="Times New Roman" w:hAnsi="Times New Roman" w:cs="Times New Roman"/>
          <w:bCs/>
          <w:sz w:val="28"/>
          <w:szCs w:val="28"/>
        </w:rPr>
        <w:t xml:space="preserve"> Partnership achieve</w:t>
      </w:r>
      <w:r w:rsidR="000E28BF">
        <w:rPr>
          <w:rFonts w:ascii="Times New Roman" w:hAnsi="Times New Roman" w:cs="Times New Roman"/>
          <w:bCs/>
          <w:sz w:val="28"/>
          <w:szCs w:val="28"/>
        </w:rPr>
        <w:t>s</w:t>
      </w:r>
      <w:r w:rsidR="002033B4">
        <w:rPr>
          <w:rFonts w:ascii="Times New Roman" w:hAnsi="Times New Roman" w:cs="Times New Roman"/>
          <w:bCs/>
          <w:sz w:val="28"/>
          <w:szCs w:val="28"/>
        </w:rPr>
        <w:t xml:space="preserve"> profitability </w:t>
      </w:r>
      <w:r w:rsidR="00873609">
        <w:rPr>
          <w:rFonts w:ascii="Times New Roman" w:hAnsi="Times New Roman" w:cs="Times New Roman"/>
          <w:bCs/>
          <w:sz w:val="28"/>
          <w:szCs w:val="28"/>
        </w:rPr>
        <w:t xml:space="preserve">and ADK </w:t>
      </w:r>
      <w:r w:rsidR="00FD476A">
        <w:rPr>
          <w:rFonts w:ascii="Times New Roman" w:hAnsi="Times New Roman" w:cs="Times New Roman"/>
          <w:bCs/>
          <w:sz w:val="28"/>
          <w:szCs w:val="28"/>
        </w:rPr>
        <w:t>obtain</w:t>
      </w:r>
      <w:r w:rsidR="000E28BF">
        <w:rPr>
          <w:rFonts w:ascii="Times New Roman" w:hAnsi="Times New Roman" w:cs="Times New Roman"/>
          <w:bCs/>
          <w:sz w:val="28"/>
          <w:szCs w:val="28"/>
        </w:rPr>
        <w:t>s</w:t>
      </w:r>
      <w:r w:rsidR="00FD476A">
        <w:rPr>
          <w:rFonts w:ascii="Times New Roman" w:hAnsi="Times New Roman" w:cs="Times New Roman"/>
          <w:bCs/>
          <w:sz w:val="28"/>
          <w:szCs w:val="28"/>
        </w:rPr>
        <w:t xml:space="preserve"> a share of these profits. </w:t>
      </w:r>
      <w:r w:rsidR="00145DAE" w:rsidRPr="005E146B">
        <w:rPr>
          <w:rFonts w:ascii="Times New Roman" w:hAnsi="Times New Roman" w:cs="Times New Roman"/>
          <w:bCs/>
          <w:sz w:val="28"/>
          <w:szCs w:val="28"/>
        </w:rPr>
        <w:t xml:space="preserve">It </w:t>
      </w:r>
      <w:r w:rsidR="00BE0165">
        <w:rPr>
          <w:rFonts w:ascii="Times New Roman" w:hAnsi="Times New Roman" w:cs="Times New Roman"/>
          <w:bCs/>
          <w:sz w:val="28"/>
          <w:szCs w:val="28"/>
        </w:rPr>
        <w:t>further</w:t>
      </w:r>
      <w:r w:rsidR="00145DAE" w:rsidRPr="005E146B">
        <w:rPr>
          <w:rFonts w:ascii="Times New Roman" w:hAnsi="Times New Roman" w:cs="Times New Roman"/>
          <w:bCs/>
          <w:sz w:val="28"/>
          <w:szCs w:val="28"/>
        </w:rPr>
        <w:t xml:space="preserve"> </w:t>
      </w:r>
      <w:r w:rsidR="00F62B12">
        <w:rPr>
          <w:rFonts w:ascii="Times New Roman" w:hAnsi="Times New Roman" w:cs="Times New Roman"/>
          <w:bCs/>
          <w:sz w:val="28"/>
          <w:szCs w:val="28"/>
        </w:rPr>
        <w:t>argues</w:t>
      </w:r>
      <w:r w:rsidR="00145DAE" w:rsidRPr="005E146B">
        <w:rPr>
          <w:rFonts w:ascii="Times New Roman" w:hAnsi="Times New Roman" w:cs="Times New Roman"/>
          <w:bCs/>
          <w:sz w:val="28"/>
          <w:szCs w:val="28"/>
        </w:rPr>
        <w:t xml:space="preserve"> that Paramount manufactured a distribution under the </w:t>
      </w:r>
      <w:proofErr w:type="spellStart"/>
      <w:r w:rsidR="00145DAE" w:rsidRPr="005E146B">
        <w:rPr>
          <w:rFonts w:ascii="Times New Roman" w:hAnsi="Times New Roman" w:cs="Times New Roman"/>
          <w:bCs/>
          <w:sz w:val="28"/>
          <w:szCs w:val="28"/>
        </w:rPr>
        <w:t>Shiha</w:t>
      </w:r>
      <w:proofErr w:type="spellEnd"/>
      <w:r w:rsidR="00145DAE" w:rsidRPr="005E146B">
        <w:rPr>
          <w:rFonts w:ascii="Times New Roman" w:hAnsi="Times New Roman" w:cs="Times New Roman"/>
          <w:bCs/>
          <w:sz w:val="28"/>
          <w:szCs w:val="28"/>
        </w:rPr>
        <w:t xml:space="preserve"> Partnership to extinguish its contractual obligation under the CIP, breaching </w:t>
      </w:r>
      <w:r w:rsidR="00973FFF" w:rsidRPr="005E146B">
        <w:rPr>
          <w:rFonts w:ascii="Times New Roman" w:hAnsi="Times New Roman" w:cs="Times New Roman"/>
          <w:bCs/>
          <w:sz w:val="28"/>
          <w:szCs w:val="28"/>
        </w:rPr>
        <w:t xml:space="preserve">its duty of good faith. </w:t>
      </w:r>
    </w:p>
    <w:p w14:paraId="001FF875" w14:textId="77777777" w:rsidR="00BD5D9C" w:rsidRPr="00D053FB" w:rsidRDefault="00BD5D9C" w:rsidP="00BD5D9C">
      <w:pPr>
        <w:pStyle w:val="ListParagraph"/>
        <w:spacing w:after="0" w:line="240" w:lineRule="auto"/>
        <w:ind w:left="0"/>
        <w:jc w:val="both"/>
        <w:rPr>
          <w:rFonts w:ascii="Times New Roman" w:hAnsi="Times New Roman" w:cs="Times New Roman"/>
          <w:bCs/>
          <w:sz w:val="28"/>
          <w:szCs w:val="28"/>
        </w:rPr>
      </w:pPr>
    </w:p>
    <w:p w14:paraId="43D26451" w14:textId="49A7B70C" w:rsidR="00A04D05" w:rsidRDefault="00BD5D9C" w:rsidP="0087383A">
      <w:pPr>
        <w:pStyle w:val="ListParagraph"/>
        <w:numPr>
          <w:ilvl w:val="0"/>
          <w:numId w:val="1"/>
        </w:numPr>
        <w:spacing w:after="0" w:line="240" w:lineRule="auto"/>
        <w:jc w:val="both"/>
        <w:rPr>
          <w:rFonts w:ascii="Times New Roman" w:hAnsi="Times New Roman" w:cs="Times New Roman"/>
          <w:bCs/>
          <w:sz w:val="28"/>
          <w:szCs w:val="28"/>
        </w:rPr>
      </w:pPr>
      <w:r w:rsidRPr="00D053FB">
        <w:rPr>
          <w:rFonts w:ascii="Times New Roman" w:hAnsi="Times New Roman" w:cs="Times New Roman"/>
          <w:bCs/>
          <w:sz w:val="28"/>
          <w:szCs w:val="28"/>
        </w:rPr>
        <w:t xml:space="preserve">Paramount </w:t>
      </w:r>
      <w:r w:rsidR="005E146B">
        <w:rPr>
          <w:rFonts w:ascii="Times New Roman" w:hAnsi="Times New Roman" w:cs="Times New Roman"/>
          <w:bCs/>
          <w:sz w:val="28"/>
          <w:szCs w:val="28"/>
        </w:rPr>
        <w:t>claims that</w:t>
      </w:r>
      <w:r w:rsidRPr="00D053FB">
        <w:rPr>
          <w:rFonts w:ascii="Times New Roman" w:hAnsi="Times New Roman" w:cs="Times New Roman"/>
          <w:bCs/>
          <w:sz w:val="28"/>
          <w:szCs w:val="28"/>
        </w:rPr>
        <w:t xml:space="preserve"> this action is statute barred because the cause of action arose in December 2008</w:t>
      </w:r>
      <w:r w:rsidR="00A04D05" w:rsidRPr="00D053FB">
        <w:rPr>
          <w:rFonts w:ascii="Times New Roman" w:hAnsi="Times New Roman" w:cs="Times New Roman"/>
          <w:bCs/>
          <w:sz w:val="28"/>
          <w:szCs w:val="28"/>
        </w:rPr>
        <w:t xml:space="preserve"> and the Statement of Claim was filed in 2020, after the </w:t>
      </w:r>
      <w:r w:rsidR="002504EE">
        <w:rPr>
          <w:rFonts w:ascii="Times New Roman" w:hAnsi="Times New Roman" w:cs="Times New Roman"/>
          <w:bCs/>
          <w:sz w:val="28"/>
          <w:szCs w:val="28"/>
        </w:rPr>
        <w:t xml:space="preserve">six-year </w:t>
      </w:r>
      <w:r w:rsidR="00A04D05" w:rsidRPr="00D053FB">
        <w:rPr>
          <w:rFonts w:ascii="Times New Roman" w:hAnsi="Times New Roman" w:cs="Times New Roman"/>
          <w:bCs/>
          <w:sz w:val="28"/>
          <w:szCs w:val="28"/>
        </w:rPr>
        <w:t>limitation period had been reached</w:t>
      </w:r>
      <w:r w:rsidRPr="00D053FB">
        <w:rPr>
          <w:rFonts w:ascii="Times New Roman" w:hAnsi="Times New Roman" w:cs="Times New Roman"/>
          <w:bCs/>
          <w:sz w:val="28"/>
          <w:szCs w:val="28"/>
        </w:rPr>
        <w:t xml:space="preserve">. It </w:t>
      </w:r>
      <w:r w:rsidR="00A827B7">
        <w:rPr>
          <w:rFonts w:ascii="Times New Roman" w:hAnsi="Times New Roman" w:cs="Times New Roman"/>
          <w:bCs/>
          <w:sz w:val="28"/>
          <w:szCs w:val="28"/>
        </w:rPr>
        <w:t xml:space="preserve">further </w:t>
      </w:r>
      <w:r w:rsidR="0087383A">
        <w:rPr>
          <w:rFonts w:ascii="Times New Roman" w:hAnsi="Times New Roman" w:cs="Times New Roman"/>
          <w:bCs/>
          <w:sz w:val="28"/>
          <w:szCs w:val="28"/>
        </w:rPr>
        <w:t>submits</w:t>
      </w:r>
      <w:r w:rsidRPr="00D053FB">
        <w:rPr>
          <w:rFonts w:ascii="Times New Roman" w:hAnsi="Times New Roman" w:cs="Times New Roman"/>
          <w:bCs/>
          <w:sz w:val="28"/>
          <w:szCs w:val="28"/>
        </w:rPr>
        <w:t xml:space="preserve"> that ADK should not be allowed to argue a breach of the duty of good faith because ADK abandoned this cause of action when it filed an Amended</w:t>
      </w:r>
      <w:r w:rsidR="003D3F33">
        <w:rPr>
          <w:rFonts w:ascii="Times New Roman" w:hAnsi="Times New Roman" w:cs="Times New Roman"/>
          <w:bCs/>
          <w:sz w:val="28"/>
          <w:szCs w:val="28"/>
        </w:rPr>
        <w:t xml:space="preserve"> </w:t>
      </w:r>
      <w:proofErr w:type="spellStart"/>
      <w:r w:rsidRPr="00D053FB">
        <w:rPr>
          <w:rFonts w:ascii="Times New Roman" w:hAnsi="Times New Roman" w:cs="Times New Roman"/>
          <w:bCs/>
          <w:sz w:val="28"/>
          <w:szCs w:val="28"/>
        </w:rPr>
        <w:t>Amended</w:t>
      </w:r>
      <w:proofErr w:type="spellEnd"/>
      <w:r w:rsidRPr="00D053FB">
        <w:rPr>
          <w:rFonts w:ascii="Times New Roman" w:hAnsi="Times New Roman" w:cs="Times New Roman"/>
          <w:bCs/>
          <w:sz w:val="28"/>
          <w:szCs w:val="28"/>
        </w:rPr>
        <w:t xml:space="preserve"> Statement of Claim </w:t>
      </w:r>
      <w:r w:rsidR="00F71284">
        <w:rPr>
          <w:rFonts w:ascii="Times New Roman" w:hAnsi="Times New Roman" w:cs="Times New Roman"/>
          <w:bCs/>
          <w:sz w:val="28"/>
          <w:szCs w:val="28"/>
        </w:rPr>
        <w:t>on December 17, 2024</w:t>
      </w:r>
      <w:r w:rsidRPr="00D053FB">
        <w:rPr>
          <w:rFonts w:ascii="Times New Roman" w:hAnsi="Times New Roman" w:cs="Times New Roman"/>
          <w:bCs/>
          <w:sz w:val="28"/>
          <w:szCs w:val="28"/>
        </w:rPr>
        <w:t>.</w:t>
      </w:r>
      <w:r w:rsidR="00D92CAC">
        <w:rPr>
          <w:rFonts w:ascii="Times New Roman" w:hAnsi="Times New Roman" w:cs="Times New Roman"/>
          <w:bCs/>
          <w:sz w:val="28"/>
          <w:szCs w:val="28"/>
        </w:rPr>
        <w:t xml:space="preserve"> </w:t>
      </w:r>
      <w:r w:rsidR="00A04D05" w:rsidRPr="00D053FB">
        <w:rPr>
          <w:rFonts w:ascii="Times New Roman" w:hAnsi="Times New Roman" w:cs="Times New Roman"/>
          <w:bCs/>
          <w:sz w:val="28"/>
          <w:szCs w:val="28"/>
        </w:rPr>
        <w:t xml:space="preserve">Paramount </w:t>
      </w:r>
      <w:r w:rsidR="00D92CAC">
        <w:rPr>
          <w:rFonts w:ascii="Times New Roman" w:hAnsi="Times New Roman" w:cs="Times New Roman"/>
          <w:bCs/>
          <w:sz w:val="28"/>
          <w:szCs w:val="28"/>
        </w:rPr>
        <w:t xml:space="preserve">also </w:t>
      </w:r>
      <w:r w:rsidR="00A04D05" w:rsidRPr="00D053FB">
        <w:rPr>
          <w:rFonts w:ascii="Times New Roman" w:hAnsi="Times New Roman" w:cs="Times New Roman"/>
          <w:bCs/>
          <w:sz w:val="28"/>
          <w:szCs w:val="28"/>
        </w:rPr>
        <w:t>argues that it did not breach the CIP</w:t>
      </w:r>
      <w:r w:rsidR="001C6A5C">
        <w:rPr>
          <w:rFonts w:ascii="Times New Roman" w:hAnsi="Times New Roman" w:cs="Times New Roman"/>
          <w:bCs/>
          <w:sz w:val="28"/>
          <w:szCs w:val="28"/>
        </w:rPr>
        <w:t xml:space="preserve"> Agreement</w:t>
      </w:r>
      <w:r w:rsidR="00A04D05" w:rsidRPr="00D053FB">
        <w:rPr>
          <w:rFonts w:ascii="Times New Roman" w:hAnsi="Times New Roman" w:cs="Times New Roman"/>
          <w:bCs/>
          <w:sz w:val="28"/>
          <w:szCs w:val="28"/>
        </w:rPr>
        <w:t xml:space="preserve"> and that it did not act in bad faith in the </w:t>
      </w:r>
      <w:r w:rsidR="0015335A" w:rsidRPr="00D053FB">
        <w:rPr>
          <w:rFonts w:ascii="Times New Roman" w:hAnsi="Times New Roman" w:cs="Times New Roman"/>
          <w:bCs/>
          <w:sz w:val="28"/>
          <w:szCs w:val="28"/>
        </w:rPr>
        <w:t>performance</w:t>
      </w:r>
      <w:r w:rsidR="00A04D05" w:rsidRPr="00D053FB">
        <w:rPr>
          <w:rFonts w:ascii="Times New Roman" w:hAnsi="Times New Roman" w:cs="Times New Roman"/>
          <w:bCs/>
          <w:sz w:val="28"/>
          <w:szCs w:val="28"/>
        </w:rPr>
        <w:t xml:space="preserve"> of this contract. </w:t>
      </w:r>
    </w:p>
    <w:p w14:paraId="340FE757" w14:textId="77777777" w:rsidR="0087383A" w:rsidRPr="0087383A" w:rsidRDefault="0087383A" w:rsidP="0087383A">
      <w:pPr>
        <w:pStyle w:val="ListParagraph"/>
        <w:spacing w:after="0" w:line="240" w:lineRule="auto"/>
        <w:ind w:left="0"/>
        <w:jc w:val="both"/>
        <w:rPr>
          <w:rFonts w:ascii="Times New Roman" w:hAnsi="Times New Roman" w:cs="Times New Roman"/>
          <w:bCs/>
          <w:sz w:val="28"/>
          <w:szCs w:val="28"/>
        </w:rPr>
      </w:pPr>
    </w:p>
    <w:p w14:paraId="62123C5C" w14:textId="13A1220F" w:rsidR="00973FFF" w:rsidRPr="00EF3A3D" w:rsidRDefault="00A04D05" w:rsidP="00EF3A3D">
      <w:pPr>
        <w:pStyle w:val="ListParagraph"/>
        <w:numPr>
          <w:ilvl w:val="0"/>
          <w:numId w:val="1"/>
        </w:numPr>
        <w:spacing w:after="0" w:line="240" w:lineRule="auto"/>
        <w:jc w:val="both"/>
        <w:rPr>
          <w:rFonts w:ascii="Times New Roman" w:hAnsi="Times New Roman" w:cs="Times New Roman"/>
          <w:bCs/>
          <w:sz w:val="28"/>
          <w:szCs w:val="28"/>
        </w:rPr>
      </w:pPr>
      <w:r w:rsidRPr="00D053FB">
        <w:rPr>
          <w:rFonts w:ascii="Times New Roman" w:hAnsi="Times New Roman" w:cs="Times New Roman"/>
          <w:bCs/>
          <w:sz w:val="28"/>
          <w:szCs w:val="28"/>
        </w:rPr>
        <w:t xml:space="preserve">I find that this action is </w:t>
      </w:r>
      <w:r w:rsidR="00145A44">
        <w:rPr>
          <w:rFonts w:ascii="Times New Roman" w:hAnsi="Times New Roman" w:cs="Times New Roman"/>
          <w:bCs/>
          <w:sz w:val="28"/>
          <w:szCs w:val="28"/>
        </w:rPr>
        <w:t>time</w:t>
      </w:r>
      <w:r w:rsidRPr="00D053FB">
        <w:rPr>
          <w:rFonts w:ascii="Times New Roman" w:hAnsi="Times New Roman" w:cs="Times New Roman"/>
          <w:bCs/>
          <w:sz w:val="28"/>
          <w:szCs w:val="28"/>
        </w:rPr>
        <w:t xml:space="preserve"> barred and</w:t>
      </w:r>
      <w:r w:rsidR="00626226">
        <w:rPr>
          <w:rFonts w:ascii="Times New Roman" w:hAnsi="Times New Roman" w:cs="Times New Roman"/>
          <w:bCs/>
          <w:sz w:val="28"/>
          <w:szCs w:val="28"/>
        </w:rPr>
        <w:t>,</w:t>
      </w:r>
      <w:r w:rsidRPr="00D053FB">
        <w:rPr>
          <w:rFonts w:ascii="Times New Roman" w:hAnsi="Times New Roman" w:cs="Times New Roman"/>
          <w:bCs/>
          <w:sz w:val="28"/>
          <w:szCs w:val="28"/>
        </w:rPr>
        <w:t xml:space="preserve"> therefore, I dismiss </w:t>
      </w:r>
      <w:r w:rsidR="002F384B">
        <w:rPr>
          <w:rFonts w:ascii="Times New Roman" w:hAnsi="Times New Roman" w:cs="Times New Roman"/>
          <w:bCs/>
          <w:sz w:val="28"/>
          <w:szCs w:val="28"/>
        </w:rPr>
        <w:t>ADK’s application for summary judgment</w:t>
      </w:r>
      <w:r w:rsidRPr="00D053FB">
        <w:rPr>
          <w:rFonts w:ascii="Times New Roman" w:hAnsi="Times New Roman" w:cs="Times New Roman"/>
          <w:bCs/>
          <w:sz w:val="28"/>
          <w:szCs w:val="28"/>
        </w:rPr>
        <w:t xml:space="preserve">. In addition, I am satisfied that I can also dismiss the action </w:t>
      </w:r>
      <w:r w:rsidR="005D2CAA">
        <w:rPr>
          <w:rFonts w:ascii="Times New Roman" w:hAnsi="Times New Roman" w:cs="Times New Roman"/>
          <w:bCs/>
          <w:sz w:val="28"/>
          <w:szCs w:val="28"/>
        </w:rPr>
        <w:t>although</w:t>
      </w:r>
      <w:r w:rsidRPr="00D053FB">
        <w:rPr>
          <w:rFonts w:ascii="Times New Roman" w:hAnsi="Times New Roman" w:cs="Times New Roman"/>
          <w:bCs/>
          <w:sz w:val="28"/>
          <w:szCs w:val="28"/>
        </w:rPr>
        <w:t xml:space="preserve"> Paramount did not file </w:t>
      </w:r>
      <w:r w:rsidR="00A827B7">
        <w:rPr>
          <w:rFonts w:ascii="Times New Roman" w:hAnsi="Times New Roman" w:cs="Times New Roman"/>
          <w:bCs/>
          <w:sz w:val="28"/>
          <w:szCs w:val="28"/>
        </w:rPr>
        <w:t>a cross-</w:t>
      </w:r>
      <w:r w:rsidRPr="00D053FB">
        <w:rPr>
          <w:rFonts w:ascii="Times New Roman" w:hAnsi="Times New Roman" w:cs="Times New Roman"/>
          <w:bCs/>
          <w:sz w:val="28"/>
          <w:szCs w:val="28"/>
        </w:rPr>
        <w:t xml:space="preserve">application for summary judgment. </w:t>
      </w:r>
    </w:p>
    <w:p w14:paraId="31DBE2E3" w14:textId="77777777" w:rsidR="00BD5D9C" w:rsidRPr="00D053FB" w:rsidRDefault="00BD5D9C" w:rsidP="00BD5D9C">
      <w:pPr>
        <w:pStyle w:val="ListParagraph"/>
        <w:spacing w:after="0" w:line="240" w:lineRule="auto"/>
        <w:ind w:left="0"/>
        <w:contextualSpacing w:val="0"/>
        <w:jc w:val="both"/>
        <w:rPr>
          <w:rFonts w:ascii="Times New Roman" w:hAnsi="Times New Roman" w:cs="Times New Roman"/>
          <w:bCs/>
          <w:sz w:val="28"/>
          <w:szCs w:val="28"/>
        </w:rPr>
      </w:pPr>
    </w:p>
    <w:p w14:paraId="5B9BF1DC" w14:textId="3CD27BB5" w:rsidR="00BD5D9C" w:rsidRPr="00D053FB" w:rsidRDefault="00BD5D9C" w:rsidP="00BD5D9C">
      <w:pPr>
        <w:pStyle w:val="ListParagraph"/>
        <w:spacing w:after="0" w:line="240" w:lineRule="auto"/>
        <w:ind w:left="0"/>
        <w:jc w:val="both"/>
        <w:rPr>
          <w:rFonts w:ascii="Times New Roman" w:hAnsi="Times New Roman" w:cs="Times New Roman"/>
          <w:b/>
          <w:bCs/>
          <w:sz w:val="28"/>
          <w:szCs w:val="28"/>
        </w:rPr>
      </w:pPr>
      <w:r w:rsidRPr="00D053FB">
        <w:rPr>
          <w:rFonts w:ascii="Times New Roman" w:hAnsi="Times New Roman" w:cs="Times New Roman"/>
          <w:b/>
          <w:bCs/>
          <w:sz w:val="28"/>
          <w:szCs w:val="28"/>
        </w:rPr>
        <w:t>ANALYSIS</w:t>
      </w:r>
    </w:p>
    <w:p w14:paraId="7D8E9DE2" w14:textId="77777777" w:rsidR="00EB4254" w:rsidRPr="00D053FB" w:rsidRDefault="00EB4254" w:rsidP="00BD5D9C">
      <w:pPr>
        <w:pStyle w:val="ListParagraph"/>
        <w:spacing w:after="0" w:line="240" w:lineRule="auto"/>
        <w:ind w:left="0"/>
        <w:contextualSpacing w:val="0"/>
        <w:jc w:val="both"/>
        <w:rPr>
          <w:rFonts w:ascii="Times New Roman" w:hAnsi="Times New Roman" w:cs="Times New Roman"/>
          <w:bCs/>
          <w:sz w:val="28"/>
          <w:szCs w:val="28"/>
        </w:rPr>
      </w:pPr>
    </w:p>
    <w:p w14:paraId="2A0AB2B8" w14:textId="6E749904" w:rsidR="00575E28" w:rsidRDefault="00927CAF" w:rsidP="00973FFF">
      <w:pPr>
        <w:pStyle w:val="ListParagraph"/>
        <w:spacing w:after="0" w:line="240" w:lineRule="auto"/>
        <w:ind w:left="0"/>
        <w:jc w:val="both"/>
        <w:rPr>
          <w:rFonts w:ascii="Times New Roman" w:hAnsi="Times New Roman" w:cs="Times New Roman"/>
          <w:b/>
          <w:i/>
          <w:iCs/>
          <w:sz w:val="28"/>
          <w:szCs w:val="28"/>
        </w:rPr>
      </w:pPr>
      <w:r>
        <w:rPr>
          <w:rFonts w:ascii="Times New Roman" w:hAnsi="Times New Roman" w:cs="Times New Roman"/>
          <w:b/>
          <w:i/>
          <w:iCs/>
          <w:sz w:val="28"/>
          <w:szCs w:val="28"/>
        </w:rPr>
        <w:t xml:space="preserve">Summary </w:t>
      </w:r>
      <w:r w:rsidR="009864D1">
        <w:rPr>
          <w:rFonts w:ascii="Times New Roman" w:hAnsi="Times New Roman" w:cs="Times New Roman"/>
          <w:b/>
          <w:i/>
          <w:iCs/>
          <w:sz w:val="28"/>
          <w:szCs w:val="28"/>
        </w:rPr>
        <w:t xml:space="preserve">Judgment </w:t>
      </w:r>
    </w:p>
    <w:p w14:paraId="0B830523" w14:textId="77777777" w:rsidR="002E4414" w:rsidRPr="00483028" w:rsidRDefault="002E4414" w:rsidP="00483028">
      <w:pPr>
        <w:pStyle w:val="ListParagraph"/>
        <w:spacing w:after="0" w:line="240" w:lineRule="auto"/>
        <w:ind w:left="0"/>
        <w:jc w:val="both"/>
        <w:rPr>
          <w:rFonts w:ascii="Times New Roman" w:hAnsi="Times New Roman" w:cs="Times New Roman"/>
          <w:bCs/>
          <w:sz w:val="28"/>
          <w:szCs w:val="28"/>
        </w:rPr>
      </w:pPr>
    </w:p>
    <w:p w14:paraId="296C482D" w14:textId="4E7D8C92" w:rsidR="00927CAF" w:rsidRDefault="005643D7" w:rsidP="009612B5">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Although they take different positions on the relief the court can grant, t</w:t>
      </w:r>
      <w:r w:rsidR="002E4414">
        <w:rPr>
          <w:rFonts w:ascii="Times New Roman" w:hAnsi="Times New Roman" w:cs="Times New Roman"/>
          <w:bCs/>
          <w:sz w:val="28"/>
          <w:szCs w:val="28"/>
        </w:rPr>
        <w:t xml:space="preserve">he parties </w:t>
      </w:r>
      <w:r w:rsidR="00DE7DC6">
        <w:rPr>
          <w:rFonts w:ascii="Times New Roman" w:hAnsi="Times New Roman" w:cs="Times New Roman"/>
          <w:bCs/>
          <w:sz w:val="28"/>
          <w:szCs w:val="28"/>
        </w:rPr>
        <w:t>agree</w:t>
      </w:r>
      <w:r w:rsidR="002E4414">
        <w:rPr>
          <w:rFonts w:ascii="Times New Roman" w:hAnsi="Times New Roman" w:cs="Times New Roman"/>
          <w:bCs/>
          <w:sz w:val="28"/>
          <w:szCs w:val="28"/>
        </w:rPr>
        <w:t xml:space="preserve"> </w:t>
      </w:r>
      <w:r w:rsidR="00AB50E5">
        <w:rPr>
          <w:rFonts w:ascii="Times New Roman" w:hAnsi="Times New Roman" w:cs="Times New Roman"/>
          <w:bCs/>
          <w:sz w:val="28"/>
          <w:szCs w:val="28"/>
        </w:rPr>
        <w:t xml:space="preserve">that this matter </w:t>
      </w:r>
      <w:r w:rsidR="00A827B7">
        <w:rPr>
          <w:rFonts w:ascii="Times New Roman" w:hAnsi="Times New Roman" w:cs="Times New Roman"/>
          <w:bCs/>
          <w:sz w:val="28"/>
          <w:szCs w:val="28"/>
        </w:rPr>
        <w:t xml:space="preserve">is </w:t>
      </w:r>
      <w:r w:rsidR="00A77828">
        <w:rPr>
          <w:rFonts w:ascii="Times New Roman" w:hAnsi="Times New Roman" w:cs="Times New Roman"/>
          <w:bCs/>
          <w:sz w:val="28"/>
          <w:szCs w:val="28"/>
        </w:rPr>
        <w:t>suitable for summary disposition.</w:t>
      </w:r>
      <w:r w:rsidR="00A54933">
        <w:rPr>
          <w:rFonts w:ascii="Times New Roman" w:hAnsi="Times New Roman" w:cs="Times New Roman"/>
          <w:bCs/>
          <w:sz w:val="28"/>
          <w:szCs w:val="28"/>
        </w:rPr>
        <w:t xml:space="preserve"> </w:t>
      </w:r>
      <w:r w:rsidR="008A1DA4">
        <w:rPr>
          <w:rFonts w:ascii="Times New Roman" w:hAnsi="Times New Roman" w:cs="Times New Roman"/>
          <w:bCs/>
          <w:sz w:val="28"/>
          <w:szCs w:val="28"/>
        </w:rPr>
        <w:t>I agree</w:t>
      </w:r>
      <w:r w:rsidR="00483028">
        <w:rPr>
          <w:rFonts w:ascii="Times New Roman" w:hAnsi="Times New Roman" w:cs="Times New Roman"/>
          <w:bCs/>
          <w:sz w:val="28"/>
          <w:szCs w:val="28"/>
        </w:rPr>
        <w:t xml:space="preserve">. </w:t>
      </w:r>
      <w:r w:rsidR="00C77CF9">
        <w:rPr>
          <w:rFonts w:ascii="Times New Roman" w:hAnsi="Times New Roman" w:cs="Times New Roman"/>
          <w:bCs/>
          <w:sz w:val="28"/>
          <w:szCs w:val="28"/>
        </w:rPr>
        <w:t xml:space="preserve">The </w:t>
      </w:r>
      <w:r w:rsidR="00B1224F">
        <w:rPr>
          <w:rFonts w:ascii="Times New Roman" w:hAnsi="Times New Roman" w:cs="Times New Roman"/>
          <w:bCs/>
          <w:sz w:val="28"/>
          <w:szCs w:val="28"/>
        </w:rPr>
        <w:t>material facts are</w:t>
      </w:r>
      <w:r w:rsidR="00C77CF9">
        <w:rPr>
          <w:rFonts w:ascii="Times New Roman" w:hAnsi="Times New Roman" w:cs="Times New Roman"/>
          <w:bCs/>
          <w:sz w:val="28"/>
          <w:szCs w:val="28"/>
        </w:rPr>
        <w:t xml:space="preserve"> undisputed. </w:t>
      </w:r>
      <w:r w:rsidR="00D63923">
        <w:rPr>
          <w:rFonts w:ascii="Times New Roman" w:hAnsi="Times New Roman" w:cs="Times New Roman"/>
          <w:bCs/>
          <w:sz w:val="28"/>
          <w:szCs w:val="28"/>
        </w:rPr>
        <w:t xml:space="preserve">The parties </w:t>
      </w:r>
      <w:r w:rsidR="00A77828">
        <w:rPr>
          <w:rFonts w:ascii="Times New Roman" w:hAnsi="Times New Roman" w:cs="Times New Roman"/>
          <w:bCs/>
          <w:sz w:val="28"/>
          <w:szCs w:val="28"/>
        </w:rPr>
        <w:t xml:space="preserve">have admitted most of the facts by way </w:t>
      </w:r>
      <w:r w:rsidR="00792B7A">
        <w:rPr>
          <w:rFonts w:ascii="Times New Roman" w:hAnsi="Times New Roman" w:cs="Times New Roman"/>
          <w:bCs/>
          <w:sz w:val="28"/>
          <w:szCs w:val="28"/>
        </w:rPr>
        <w:t xml:space="preserve">of a Notice to Admit, which includes </w:t>
      </w:r>
      <w:r w:rsidR="006E0B88">
        <w:rPr>
          <w:rFonts w:ascii="Times New Roman" w:hAnsi="Times New Roman" w:cs="Times New Roman"/>
          <w:bCs/>
          <w:sz w:val="28"/>
          <w:szCs w:val="28"/>
        </w:rPr>
        <w:t>a large portion of the</w:t>
      </w:r>
      <w:r w:rsidR="00792B7A">
        <w:rPr>
          <w:rFonts w:ascii="Times New Roman" w:hAnsi="Times New Roman" w:cs="Times New Roman"/>
          <w:bCs/>
          <w:sz w:val="28"/>
          <w:szCs w:val="28"/>
        </w:rPr>
        <w:t xml:space="preserve"> evidentiary record</w:t>
      </w:r>
      <w:r w:rsidR="00720BFC">
        <w:rPr>
          <w:rFonts w:ascii="Times New Roman" w:hAnsi="Times New Roman" w:cs="Times New Roman"/>
          <w:bCs/>
          <w:sz w:val="28"/>
          <w:szCs w:val="28"/>
        </w:rPr>
        <w:t xml:space="preserve">. </w:t>
      </w:r>
      <w:r w:rsidR="00985427">
        <w:rPr>
          <w:rFonts w:ascii="Times New Roman" w:hAnsi="Times New Roman" w:cs="Times New Roman"/>
          <w:bCs/>
          <w:sz w:val="28"/>
          <w:szCs w:val="28"/>
        </w:rPr>
        <w:t xml:space="preserve">The credibility of witnesses is not at play. There </w:t>
      </w:r>
      <w:r w:rsidR="00EB19AC">
        <w:rPr>
          <w:rFonts w:ascii="Times New Roman" w:hAnsi="Times New Roman" w:cs="Times New Roman"/>
          <w:bCs/>
          <w:sz w:val="28"/>
          <w:szCs w:val="28"/>
        </w:rPr>
        <w:t xml:space="preserve">would be little benefit to embarking </w:t>
      </w:r>
      <w:r w:rsidR="00CE5092">
        <w:rPr>
          <w:rFonts w:ascii="Times New Roman" w:hAnsi="Times New Roman" w:cs="Times New Roman"/>
          <w:bCs/>
          <w:sz w:val="28"/>
          <w:szCs w:val="28"/>
        </w:rPr>
        <w:t>upon</w:t>
      </w:r>
      <w:r w:rsidR="00EB19AC">
        <w:rPr>
          <w:rFonts w:ascii="Times New Roman" w:hAnsi="Times New Roman" w:cs="Times New Roman"/>
          <w:bCs/>
          <w:sz w:val="28"/>
          <w:szCs w:val="28"/>
        </w:rPr>
        <w:t xml:space="preserve"> a full trial. </w:t>
      </w:r>
      <w:r w:rsidR="006E0B88" w:rsidRPr="004877B0">
        <w:rPr>
          <w:rFonts w:ascii="Times New Roman" w:hAnsi="Times New Roman" w:cs="Times New Roman"/>
          <w:bCs/>
          <w:sz w:val="28"/>
          <w:szCs w:val="28"/>
        </w:rPr>
        <w:t>Applying the principles set out by the S</w:t>
      </w:r>
      <w:r w:rsidR="009864D1" w:rsidRPr="004877B0">
        <w:rPr>
          <w:rFonts w:ascii="Times New Roman" w:hAnsi="Times New Roman" w:cs="Times New Roman"/>
          <w:bCs/>
          <w:sz w:val="28"/>
          <w:szCs w:val="28"/>
        </w:rPr>
        <w:t xml:space="preserve">upreme Court of Canada </w:t>
      </w:r>
      <w:r w:rsidR="006E0B88" w:rsidRPr="004877B0">
        <w:rPr>
          <w:rFonts w:ascii="Times New Roman" w:hAnsi="Times New Roman" w:cs="Times New Roman"/>
          <w:bCs/>
          <w:sz w:val="28"/>
          <w:szCs w:val="28"/>
        </w:rPr>
        <w:t xml:space="preserve">in </w:t>
      </w:r>
      <w:r w:rsidR="006E0B88" w:rsidRPr="004877B0">
        <w:rPr>
          <w:rFonts w:ascii="Times New Roman" w:hAnsi="Times New Roman" w:cs="Times New Roman"/>
          <w:bCs/>
          <w:i/>
          <w:iCs/>
          <w:sz w:val="28"/>
          <w:szCs w:val="28"/>
        </w:rPr>
        <w:t>Hryniak</w:t>
      </w:r>
      <w:r w:rsidR="006E0B88" w:rsidRPr="004877B0">
        <w:rPr>
          <w:rFonts w:ascii="Times New Roman" w:hAnsi="Times New Roman" w:cs="Times New Roman"/>
          <w:bCs/>
          <w:sz w:val="28"/>
          <w:szCs w:val="28"/>
        </w:rPr>
        <w:t xml:space="preserve"> </w:t>
      </w:r>
      <w:r w:rsidR="006E0B88" w:rsidRPr="004877B0">
        <w:rPr>
          <w:rFonts w:ascii="Times New Roman" w:hAnsi="Times New Roman" w:cs="Times New Roman"/>
          <w:bCs/>
          <w:i/>
          <w:iCs/>
          <w:sz w:val="28"/>
          <w:szCs w:val="28"/>
        </w:rPr>
        <w:t>v Maudlin</w:t>
      </w:r>
      <w:r w:rsidR="006E0B88" w:rsidRPr="004877B0">
        <w:rPr>
          <w:rFonts w:ascii="Times New Roman" w:hAnsi="Times New Roman" w:cs="Times New Roman"/>
          <w:bCs/>
          <w:sz w:val="28"/>
          <w:szCs w:val="28"/>
        </w:rPr>
        <w:t>,</w:t>
      </w:r>
      <w:r w:rsidR="009612B5" w:rsidRPr="004877B0">
        <w:rPr>
          <w:rFonts w:ascii="Open Sans" w:eastAsia="Times New Roman" w:hAnsi="Open Sans" w:cs="Open Sans"/>
          <w:color w:val="000000"/>
          <w:kern w:val="36"/>
          <w:sz w:val="36"/>
          <w:szCs w:val="36"/>
        </w:rPr>
        <w:t xml:space="preserve"> </w:t>
      </w:r>
      <w:r w:rsidR="009612B5" w:rsidRPr="004877B0">
        <w:rPr>
          <w:rFonts w:ascii="Times New Roman" w:hAnsi="Times New Roman" w:cs="Times New Roman"/>
          <w:bCs/>
          <w:sz w:val="28"/>
          <w:szCs w:val="28"/>
        </w:rPr>
        <w:t>2014 SCC 7</w:t>
      </w:r>
      <w:r w:rsidR="00A31FFE">
        <w:rPr>
          <w:rFonts w:ascii="Times New Roman" w:hAnsi="Times New Roman" w:cs="Times New Roman"/>
          <w:bCs/>
          <w:sz w:val="28"/>
          <w:szCs w:val="28"/>
        </w:rPr>
        <w:t xml:space="preserve"> [</w:t>
      </w:r>
      <w:r w:rsidR="00A31FFE" w:rsidRPr="004877B0">
        <w:rPr>
          <w:rFonts w:ascii="Times New Roman" w:hAnsi="Times New Roman" w:cs="Times New Roman"/>
          <w:bCs/>
          <w:i/>
          <w:iCs/>
          <w:sz w:val="28"/>
          <w:szCs w:val="28"/>
        </w:rPr>
        <w:t>Hryniak</w:t>
      </w:r>
      <w:r w:rsidR="00A31FFE" w:rsidRPr="00A31FFE">
        <w:rPr>
          <w:rFonts w:ascii="Times New Roman" w:hAnsi="Times New Roman" w:cs="Times New Roman"/>
          <w:bCs/>
          <w:sz w:val="28"/>
          <w:szCs w:val="28"/>
        </w:rPr>
        <w:t>]</w:t>
      </w:r>
      <w:r w:rsidR="009612B5" w:rsidRPr="004877B0">
        <w:rPr>
          <w:rFonts w:ascii="Times New Roman" w:hAnsi="Times New Roman" w:cs="Times New Roman"/>
          <w:bCs/>
          <w:sz w:val="28"/>
          <w:szCs w:val="28"/>
        </w:rPr>
        <w:t>,</w:t>
      </w:r>
      <w:r w:rsidR="009612B5">
        <w:rPr>
          <w:rFonts w:ascii="Times New Roman" w:hAnsi="Times New Roman" w:cs="Times New Roman"/>
          <w:bCs/>
          <w:sz w:val="28"/>
          <w:szCs w:val="28"/>
        </w:rPr>
        <w:t xml:space="preserve"> </w:t>
      </w:r>
      <w:r w:rsidR="004849A4" w:rsidRPr="009612B5">
        <w:rPr>
          <w:rFonts w:ascii="Times New Roman" w:hAnsi="Times New Roman" w:cs="Times New Roman"/>
          <w:bCs/>
          <w:sz w:val="28"/>
          <w:szCs w:val="28"/>
        </w:rPr>
        <w:t xml:space="preserve">I am satisfied that I can make the necessary findings of facts, apply the law to the facts and </w:t>
      </w:r>
      <w:r w:rsidR="009A6278" w:rsidRPr="009612B5">
        <w:rPr>
          <w:rFonts w:ascii="Times New Roman" w:hAnsi="Times New Roman" w:cs="Times New Roman"/>
          <w:bCs/>
          <w:sz w:val="28"/>
          <w:szCs w:val="28"/>
        </w:rPr>
        <w:t xml:space="preserve">arrive at a just conclusion based on the record </w:t>
      </w:r>
      <w:r w:rsidR="009864D1" w:rsidRPr="009612B5">
        <w:rPr>
          <w:rFonts w:ascii="Times New Roman" w:hAnsi="Times New Roman" w:cs="Times New Roman"/>
          <w:bCs/>
          <w:sz w:val="28"/>
          <w:szCs w:val="28"/>
        </w:rPr>
        <w:t xml:space="preserve">that has been presented to me. </w:t>
      </w:r>
    </w:p>
    <w:p w14:paraId="3165705C" w14:textId="77777777" w:rsidR="009612B5" w:rsidRPr="009612B5" w:rsidRDefault="009612B5" w:rsidP="009612B5">
      <w:pPr>
        <w:pStyle w:val="ListParagraph"/>
        <w:spacing w:after="0" w:line="240" w:lineRule="auto"/>
        <w:ind w:left="0"/>
        <w:jc w:val="both"/>
        <w:rPr>
          <w:rFonts w:ascii="Times New Roman" w:hAnsi="Times New Roman" w:cs="Times New Roman"/>
          <w:bCs/>
          <w:sz w:val="28"/>
          <w:szCs w:val="28"/>
        </w:rPr>
      </w:pPr>
    </w:p>
    <w:p w14:paraId="25C5C365" w14:textId="4DEF4734" w:rsidR="0086029A" w:rsidRDefault="007E4B8F" w:rsidP="0086029A">
      <w:pPr>
        <w:pStyle w:val="ListParagraph"/>
        <w:numPr>
          <w:ilvl w:val="0"/>
          <w:numId w:val="1"/>
        </w:numPr>
        <w:spacing w:after="0" w:line="240" w:lineRule="auto"/>
        <w:jc w:val="both"/>
        <w:rPr>
          <w:rFonts w:ascii="Times New Roman" w:hAnsi="Times New Roman" w:cs="Times New Roman"/>
          <w:bCs/>
          <w:sz w:val="28"/>
          <w:szCs w:val="28"/>
        </w:rPr>
      </w:pPr>
      <w:r w:rsidRPr="005F1334">
        <w:rPr>
          <w:rFonts w:ascii="Times New Roman" w:hAnsi="Times New Roman" w:cs="Times New Roman"/>
          <w:bCs/>
          <w:sz w:val="28"/>
          <w:szCs w:val="28"/>
        </w:rPr>
        <w:t>Where the parties’</w:t>
      </w:r>
      <w:r w:rsidR="00146914">
        <w:rPr>
          <w:rFonts w:ascii="Times New Roman" w:hAnsi="Times New Roman" w:cs="Times New Roman"/>
          <w:bCs/>
          <w:sz w:val="28"/>
          <w:szCs w:val="28"/>
        </w:rPr>
        <w:t xml:space="preserve"> </w:t>
      </w:r>
      <w:r w:rsidRPr="005F1334">
        <w:rPr>
          <w:rFonts w:ascii="Times New Roman" w:hAnsi="Times New Roman" w:cs="Times New Roman"/>
          <w:bCs/>
          <w:sz w:val="28"/>
          <w:szCs w:val="28"/>
        </w:rPr>
        <w:t>position</w:t>
      </w:r>
      <w:r w:rsidR="00146914">
        <w:rPr>
          <w:rFonts w:ascii="Times New Roman" w:hAnsi="Times New Roman" w:cs="Times New Roman"/>
          <w:bCs/>
          <w:sz w:val="28"/>
          <w:szCs w:val="28"/>
        </w:rPr>
        <w:t>s</w:t>
      </w:r>
      <w:r w:rsidRPr="005F1334">
        <w:rPr>
          <w:rFonts w:ascii="Times New Roman" w:hAnsi="Times New Roman" w:cs="Times New Roman"/>
          <w:bCs/>
          <w:sz w:val="28"/>
          <w:szCs w:val="28"/>
        </w:rPr>
        <w:t xml:space="preserve"> differ is</w:t>
      </w:r>
      <w:r w:rsidR="00146914">
        <w:rPr>
          <w:rFonts w:ascii="Times New Roman" w:hAnsi="Times New Roman" w:cs="Times New Roman"/>
          <w:bCs/>
          <w:sz w:val="28"/>
          <w:szCs w:val="28"/>
        </w:rPr>
        <w:t xml:space="preserve"> on</w:t>
      </w:r>
      <w:r w:rsidRPr="005F1334">
        <w:rPr>
          <w:rFonts w:ascii="Times New Roman" w:hAnsi="Times New Roman" w:cs="Times New Roman"/>
          <w:bCs/>
          <w:sz w:val="28"/>
          <w:szCs w:val="28"/>
        </w:rPr>
        <w:t xml:space="preserve"> whether</w:t>
      </w:r>
      <w:r w:rsidR="00CB7155" w:rsidRPr="005F1334">
        <w:rPr>
          <w:rFonts w:ascii="Times New Roman" w:hAnsi="Times New Roman" w:cs="Times New Roman"/>
          <w:bCs/>
          <w:sz w:val="28"/>
          <w:szCs w:val="28"/>
        </w:rPr>
        <w:t>,</w:t>
      </w:r>
      <w:r w:rsidRPr="005F1334">
        <w:rPr>
          <w:rFonts w:ascii="Times New Roman" w:hAnsi="Times New Roman" w:cs="Times New Roman"/>
          <w:bCs/>
          <w:sz w:val="28"/>
          <w:szCs w:val="28"/>
        </w:rPr>
        <w:t xml:space="preserve"> if I agree with Paramount </w:t>
      </w:r>
      <w:r w:rsidR="00CB7155" w:rsidRPr="005F1334">
        <w:rPr>
          <w:rFonts w:ascii="Times New Roman" w:hAnsi="Times New Roman" w:cs="Times New Roman"/>
          <w:bCs/>
          <w:sz w:val="28"/>
          <w:szCs w:val="28"/>
        </w:rPr>
        <w:t xml:space="preserve">and find that ADK’s </w:t>
      </w:r>
      <w:r w:rsidR="00CB7155" w:rsidRPr="00E334B2">
        <w:rPr>
          <w:rFonts w:ascii="Times New Roman" w:hAnsi="Times New Roman" w:cs="Times New Roman"/>
          <w:bCs/>
          <w:sz w:val="28"/>
          <w:szCs w:val="28"/>
        </w:rPr>
        <w:t xml:space="preserve">claim is meritless, I can go one step further and </w:t>
      </w:r>
      <w:r w:rsidR="00C87D59" w:rsidRPr="00E334B2">
        <w:rPr>
          <w:rFonts w:ascii="Times New Roman" w:hAnsi="Times New Roman" w:cs="Times New Roman"/>
          <w:bCs/>
          <w:sz w:val="28"/>
          <w:szCs w:val="28"/>
        </w:rPr>
        <w:t xml:space="preserve">summarily </w:t>
      </w:r>
      <w:r w:rsidR="00C87D59" w:rsidRPr="00E334B2">
        <w:rPr>
          <w:rFonts w:ascii="Times New Roman" w:hAnsi="Times New Roman" w:cs="Times New Roman"/>
          <w:bCs/>
          <w:sz w:val="28"/>
          <w:szCs w:val="28"/>
        </w:rPr>
        <w:lastRenderedPageBreak/>
        <w:t xml:space="preserve">dismiss the action. </w:t>
      </w:r>
      <w:r w:rsidR="00746228" w:rsidRPr="00E334B2">
        <w:rPr>
          <w:rFonts w:ascii="Times New Roman" w:hAnsi="Times New Roman" w:cs="Times New Roman"/>
          <w:bCs/>
          <w:sz w:val="28"/>
          <w:szCs w:val="28"/>
        </w:rPr>
        <w:t xml:space="preserve">ADK submits </w:t>
      </w:r>
      <w:r w:rsidR="005B7F04" w:rsidRPr="00E334B2">
        <w:rPr>
          <w:rFonts w:ascii="Times New Roman" w:hAnsi="Times New Roman" w:cs="Times New Roman"/>
          <w:bCs/>
          <w:sz w:val="28"/>
          <w:szCs w:val="28"/>
        </w:rPr>
        <w:t>that because</w:t>
      </w:r>
      <w:r w:rsidR="00C71BEB" w:rsidRPr="00E334B2">
        <w:rPr>
          <w:rFonts w:ascii="Times New Roman" w:hAnsi="Times New Roman" w:cs="Times New Roman"/>
          <w:bCs/>
          <w:sz w:val="28"/>
          <w:szCs w:val="28"/>
        </w:rPr>
        <w:t xml:space="preserve"> </w:t>
      </w:r>
      <w:r w:rsidR="0029692D" w:rsidRPr="00E334B2">
        <w:rPr>
          <w:rFonts w:ascii="Times New Roman" w:hAnsi="Times New Roman" w:cs="Times New Roman"/>
          <w:bCs/>
          <w:sz w:val="28"/>
          <w:szCs w:val="28"/>
        </w:rPr>
        <w:t>Paramount</w:t>
      </w:r>
      <w:r w:rsidR="0029692D" w:rsidRPr="005F1334">
        <w:rPr>
          <w:rFonts w:ascii="Times New Roman" w:hAnsi="Times New Roman" w:cs="Times New Roman"/>
          <w:bCs/>
          <w:sz w:val="28"/>
          <w:szCs w:val="28"/>
        </w:rPr>
        <w:t xml:space="preserve"> did not file its own formal application for summary judgment</w:t>
      </w:r>
      <w:r w:rsidR="005B7F04">
        <w:rPr>
          <w:rFonts w:ascii="Times New Roman" w:hAnsi="Times New Roman" w:cs="Times New Roman"/>
          <w:bCs/>
          <w:sz w:val="28"/>
          <w:szCs w:val="28"/>
        </w:rPr>
        <w:t>, it is not a relief I can grant</w:t>
      </w:r>
      <w:r w:rsidR="0029692D" w:rsidRPr="005F1334">
        <w:rPr>
          <w:rFonts w:ascii="Times New Roman" w:hAnsi="Times New Roman" w:cs="Times New Roman"/>
          <w:bCs/>
          <w:sz w:val="28"/>
          <w:szCs w:val="28"/>
        </w:rPr>
        <w:t xml:space="preserve">. </w:t>
      </w:r>
    </w:p>
    <w:p w14:paraId="2EE5AF44" w14:textId="77777777" w:rsidR="0086029A" w:rsidRPr="0086029A" w:rsidRDefault="0086029A" w:rsidP="0086029A">
      <w:pPr>
        <w:pStyle w:val="ListParagraph"/>
        <w:rPr>
          <w:rFonts w:ascii="Times New Roman" w:hAnsi="Times New Roman" w:cs="Times New Roman"/>
          <w:bCs/>
          <w:sz w:val="28"/>
          <w:szCs w:val="28"/>
        </w:rPr>
      </w:pPr>
    </w:p>
    <w:p w14:paraId="1A498BB4" w14:textId="31F52CD5" w:rsidR="005F1334" w:rsidRPr="0086029A" w:rsidRDefault="005F1334" w:rsidP="0086029A">
      <w:pPr>
        <w:pStyle w:val="ListParagraph"/>
        <w:numPr>
          <w:ilvl w:val="0"/>
          <w:numId w:val="1"/>
        </w:numPr>
        <w:spacing w:after="0" w:line="240" w:lineRule="auto"/>
        <w:jc w:val="both"/>
        <w:rPr>
          <w:rFonts w:ascii="Times New Roman" w:hAnsi="Times New Roman" w:cs="Times New Roman"/>
          <w:bCs/>
          <w:sz w:val="28"/>
          <w:szCs w:val="28"/>
        </w:rPr>
      </w:pPr>
      <w:r w:rsidRPr="0086029A">
        <w:rPr>
          <w:rFonts w:ascii="Times New Roman" w:hAnsi="Times New Roman" w:cs="Times New Roman"/>
          <w:bCs/>
          <w:sz w:val="28"/>
          <w:szCs w:val="28"/>
        </w:rPr>
        <w:t xml:space="preserve">The procedural history related to the application for summary judgment is </w:t>
      </w:r>
      <w:r w:rsidR="003A7B36" w:rsidRPr="0086029A">
        <w:rPr>
          <w:rFonts w:ascii="Times New Roman" w:hAnsi="Times New Roman" w:cs="Times New Roman"/>
          <w:bCs/>
          <w:sz w:val="28"/>
          <w:szCs w:val="28"/>
        </w:rPr>
        <w:t>important to understand the position of the parties.</w:t>
      </w:r>
    </w:p>
    <w:p w14:paraId="0B84B398" w14:textId="77777777" w:rsidR="003A7B36" w:rsidRPr="003A7B36" w:rsidRDefault="003A7B36" w:rsidP="003A7B36">
      <w:pPr>
        <w:pStyle w:val="ListParagraph"/>
        <w:rPr>
          <w:rFonts w:ascii="Times New Roman" w:hAnsi="Times New Roman" w:cs="Times New Roman"/>
          <w:bCs/>
          <w:sz w:val="28"/>
          <w:szCs w:val="28"/>
        </w:rPr>
      </w:pPr>
    </w:p>
    <w:p w14:paraId="43ED8E9B" w14:textId="3E2047B1" w:rsidR="003A7B36" w:rsidRPr="000E3382" w:rsidRDefault="003A7B36" w:rsidP="00187ABE">
      <w:pPr>
        <w:pStyle w:val="ListParagraph"/>
        <w:numPr>
          <w:ilvl w:val="0"/>
          <w:numId w:val="1"/>
        </w:numPr>
        <w:spacing w:after="0" w:line="240" w:lineRule="auto"/>
        <w:jc w:val="both"/>
        <w:rPr>
          <w:rFonts w:ascii="Times New Roman" w:hAnsi="Times New Roman" w:cs="Times New Roman"/>
          <w:bCs/>
          <w:i/>
          <w:iCs/>
          <w:sz w:val="28"/>
          <w:szCs w:val="28"/>
        </w:rPr>
      </w:pPr>
      <w:r>
        <w:rPr>
          <w:rFonts w:ascii="Times New Roman" w:hAnsi="Times New Roman" w:cs="Times New Roman"/>
          <w:bCs/>
          <w:sz w:val="28"/>
          <w:szCs w:val="28"/>
        </w:rPr>
        <w:t xml:space="preserve">On </w:t>
      </w:r>
      <w:r w:rsidR="003362CC">
        <w:rPr>
          <w:rFonts w:ascii="Times New Roman" w:hAnsi="Times New Roman" w:cs="Times New Roman"/>
          <w:bCs/>
          <w:sz w:val="28"/>
          <w:szCs w:val="28"/>
        </w:rPr>
        <w:t xml:space="preserve">March 12, 2024, ADK filed </w:t>
      </w:r>
      <w:r w:rsidR="008A4088">
        <w:rPr>
          <w:rFonts w:ascii="Times New Roman" w:hAnsi="Times New Roman" w:cs="Times New Roman"/>
          <w:bCs/>
          <w:sz w:val="28"/>
          <w:szCs w:val="28"/>
        </w:rPr>
        <w:t>a Notice of Motion seeking summary judgment</w:t>
      </w:r>
      <w:r w:rsidR="00E7285C">
        <w:rPr>
          <w:rFonts w:ascii="Times New Roman" w:hAnsi="Times New Roman" w:cs="Times New Roman"/>
          <w:bCs/>
          <w:sz w:val="28"/>
          <w:szCs w:val="28"/>
        </w:rPr>
        <w:t>.</w:t>
      </w:r>
      <w:r w:rsidR="008A4088">
        <w:rPr>
          <w:rFonts w:ascii="Times New Roman" w:hAnsi="Times New Roman" w:cs="Times New Roman"/>
          <w:bCs/>
          <w:sz w:val="28"/>
          <w:szCs w:val="28"/>
        </w:rPr>
        <w:t xml:space="preserve"> </w:t>
      </w:r>
      <w:r w:rsidR="00846ECC">
        <w:rPr>
          <w:rFonts w:ascii="Times New Roman" w:hAnsi="Times New Roman" w:cs="Times New Roman"/>
          <w:bCs/>
          <w:sz w:val="28"/>
          <w:szCs w:val="28"/>
        </w:rPr>
        <w:t xml:space="preserve">On October 3, 2024, counsel for ADK </w:t>
      </w:r>
      <w:r w:rsidR="00610E0B">
        <w:rPr>
          <w:rFonts w:ascii="Times New Roman" w:hAnsi="Times New Roman" w:cs="Times New Roman"/>
          <w:bCs/>
          <w:sz w:val="28"/>
          <w:szCs w:val="28"/>
        </w:rPr>
        <w:t>sent a letter to th</w:t>
      </w:r>
      <w:r w:rsidR="00457FFC">
        <w:rPr>
          <w:rFonts w:ascii="Times New Roman" w:hAnsi="Times New Roman" w:cs="Times New Roman"/>
          <w:bCs/>
          <w:sz w:val="28"/>
          <w:szCs w:val="28"/>
        </w:rPr>
        <w:t xml:space="preserve">is </w:t>
      </w:r>
      <w:r w:rsidR="00150ED9">
        <w:rPr>
          <w:rFonts w:ascii="Times New Roman" w:hAnsi="Times New Roman" w:cs="Times New Roman"/>
          <w:bCs/>
          <w:sz w:val="28"/>
          <w:szCs w:val="28"/>
        </w:rPr>
        <w:t>C</w:t>
      </w:r>
      <w:r w:rsidR="0070037C">
        <w:rPr>
          <w:rFonts w:ascii="Times New Roman" w:hAnsi="Times New Roman" w:cs="Times New Roman"/>
          <w:bCs/>
          <w:sz w:val="28"/>
          <w:szCs w:val="28"/>
        </w:rPr>
        <w:t xml:space="preserve">ourt about </w:t>
      </w:r>
      <w:r w:rsidR="00DF5C6C">
        <w:rPr>
          <w:rFonts w:ascii="Times New Roman" w:hAnsi="Times New Roman" w:cs="Times New Roman"/>
          <w:bCs/>
          <w:sz w:val="28"/>
          <w:szCs w:val="28"/>
        </w:rPr>
        <w:t xml:space="preserve">the </w:t>
      </w:r>
      <w:r w:rsidR="0070037C">
        <w:rPr>
          <w:rFonts w:ascii="Times New Roman" w:hAnsi="Times New Roman" w:cs="Times New Roman"/>
          <w:bCs/>
          <w:sz w:val="28"/>
          <w:szCs w:val="28"/>
        </w:rPr>
        <w:t>scheduling</w:t>
      </w:r>
      <w:r w:rsidR="00577533">
        <w:rPr>
          <w:rFonts w:ascii="Times New Roman" w:hAnsi="Times New Roman" w:cs="Times New Roman"/>
          <w:bCs/>
          <w:sz w:val="28"/>
          <w:szCs w:val="28"/>
        </w:rPr>
        <w:t xml:space="preserve"> </w:t>
      </w:r>
      <w:r w:rsidR="00DF5C6C">
        <w:rPr>
          <w:rFonts w:ascii="Times New Roman" w:hAnsi="Times New Roman" w:cs="Times New Roman"/>
          <w:bCs/>
          <w:sz w:val="28"/>
          <w:szCs w:val="28"/>
        </w:rPr>
        <w:t xml:space="preserve">of </w:t>
      </w:r>
      <w:r w:rsidR="00771DF3">
        <w:rPr>
          <w:rFonts w:ascii="Times New Roman" w:hAnsi="Times New Roman" w:cs="Times New Roman"/>
          <w:bCs/>
          <w:sz w:val="28"/>
          <w:szCs w:val="28"/>
        </w:rPr>
        <w:t>the</w:t>
      </w:r>
      <w:r w:rsidR="00DF5C6C">
        <w:rPr>
          <w:rFonts w:ascii="Times New Roman" w:hAnsi="Times New Roman" w:cs="Times New Roman"/>
          <w:bCs/>
          <w:sz w:val="28"/>
          <w:szCs w:val="28"/>
        </w:rPr>
        <w:t xml:space="preserve"> hearing for this application</w:t>
      </w:r>
      <w:r w:rsidR="00DC1DD3">
        <w:rPr>
          <w:rFonts w:ascii="Times New Roman" w:hAnsi="Times New Roman" w:cs="Times New Roman"/>
          <w:bCs/>
          <w:sz w:val="28"/>
          <w:szCs w:val="28"/>
        </w:rPr>
        <w:t xml:space="preserve"> copying </w:t>
      </w:r>
      <w:r w:rsidR="00577533">
        <w:rPr>
          <w:rFonts w:ascii="Times New Roman" w:hAnsi="Times New Roman" w:cs="Times New Roman"/>
          <w:bCs/>
          <w:sz w:val="28"/>
          <w:szCs w:val="28"/>
        </w:rPr>
        <w:t xml:space="preserve">counsel for Paramount. </w:t>
      </w:r>
      <w:r w:rsidR="00610E0B">
        <w:rPr>
          <w:rFonts w:ascii="Times New Roman" w:hAnsi="Times New Roman" w:cs="Times New Roman"/>
          <w:bCs/>
          <w:sz w:val="28"/>
          <w:szCs w:val="28"/>
        </w:rPr>
        <w:t xml:space="preserve">Counsel for ADK wrote: “The motion, as amended, is a debt action with no general </w:t>
      </w:r>
      <w:r w:rsidR="00D61D8C">
        <w:rPr>
          <w:rFonts w:ascii="Times New Roman" w:hAnsi="Times New Roman" w:cs="Times New Roman"/>
          <w:bCs/>
          <w:sz w:val="28"/>
          <w:szCs w:val="28"/>
        </w:rPr>
        <w:t xml:space="preserve">damages being claimed. As such, this is </w:t>
      </w:r>
      <w:r w:rsidR="00D61D8C" w:rsidRPr="00CE5092">
        <w:rPr>
          <w:rFonts w:ascii="Times New Roman" w:hAnsi="Times New Roman" w:cs="Times New Roman"/>
          <w:bCs/>
          <w:i/>
          <w:iCs/>
          <w:sz w:val="28"/>
          <w:szCs w:val="28"/>
        </w:rPr>
        <w:t>de facto</w:t>
      </w:r>
      <w:r w:rsidR="00D61D8C">
        <w:rPr>
          <w:rFonts w:ascii="Times New Roman" w:hAnsi="Times New Roman" w:cs="Times New Roman"/>
          <w:bCs/>
          <w:sz w:val="28"/>
          <w:szCs w:val="28"/>
        </w:rPr>
        <w:t xml:space="preserve"> a complete, not partial, summary judgment application. It is for this reason the Plaintiff is of the view a one-day hearing should suffice”. </w:t>
      </w:r>
      <w:r w:rsidR="00A73F57">
        <w:rPr>
          <w:rFonts w:ascii="Times New Roman" w:hAnsi="Times New Roman" w:cs="Times New Roman"/>
          <w:bCs/>
          <w:sz w:val="28"/>
          <w:szCs w:val="28"/>
        </w:rPr>
        <w:t>Counsel</w:t>
      </w:r>
      <w:r w:rsidR="00DC1DD3">
        <w:rPr>
          <w:rFonts w:ascii="Times New Roman" w:hAnsi="Times New Roman" w:cs="Times New Roman"/>
          <w:bCs/>
          <w:sz w:val="28"/>
          <w:szCs w:val="28"/>
        </w:rPr>
        <w:t xml:space="preserve"> for ADK</w:t>
      </w:r>
      <w:r w:rsidR="00A73F57">
        <w:rPr>
          <w:rFonts w:ascii="Times New Roman" w:hAnsi="Times New Roman" w:cs="Times New Roman"/>
          <w:bCs/>
          <w:sz w:val="28"/>
          <w:szCs w:val="28"/>
        </w:rPr>
        <w:t xml:space="preserve"> further indicated that </w:t>
      </w:r>
      <w:r w:rsidR="006B26D9">
        <w:rPr>
          <w:rFonts w:ascii="Times New Roman" w:hAnsi="Times New Roman" w:cs="Times New Roman"/>
          <w:bCs/>
          <w:sz w:val="28"/>
          <w:szCs w:val="28"/>
        </w:rPr>
        <w:t xml:space="preserve">counsel for Paramount had not provided </w:t>
      </w:r>
      <w:r w:rsidR="00B55285">
        <w:rPr>
          <w:rFonts w:ascii="Times New Roman" w:hAnsi="Times New Roman" w:cs="Times New Roman"/>
          <w:bCs/>
          <w:sz w:val="28"/>
          <w:szCs w:val="28"/>
        </w:rPr>
        <w:t>their availabilit</w:t>
      </w:r>
      <w:r w:rsidR="00E7285C">
        <w:rPr>
          <w:rFonts w:ascii="Times New Roman" w:hAnsi="Times New Roman" w:cs="Times New Roman"/>
          <w:bCs/>
          <w:sz w:val="28"/>
          <w:szCs w:val="28"/>
        </w:rPr>
        <w:t>y</w:t>
      </w:r>
      <w:r w:rsidR="00B55285">
        <w:rPr>
          <w:rFonts w:ascii="Times New Roman" w:hAnsi="Times New Roman" w:cs="Times New Roman"/>
          <w:bCs/>
          <w:sz w:val="28"/>
          <w:szCs w:val="28"/>
        </w:rPr>
        <w:t xml:space="preserve"> for a hearing of the application but that</w:t>
      </w:r>
      <w:r w:rsidR="00E7285C">
        <w:rPr>
          <w:rFonts w:ascii="Times New Roman" w:hAnsi="Times New Roman" w:cs="Times New Roman"/>
          <w:bCs/>
          <w:sz w:val="28"/>
          <w:szCs w:val="28"/>
        </w:rPr>
        <w:t>,</w:t>
      </w:r>
      <w:r w:rsidR="00B55285">
        <w:rPr>
          <w:rFonts w:ascii="Times New Roman" w:hAnsi="Times New Roman" w:cs="Times New Roman"/>
          <w:bCs/>
          <w:sz w:val="28"/>
          <w:szCs w:val="28"/>
        </w:rPr>
        <w:t xml:space="preserve"> “[</w:t>
      </w:r>
      <w:proofErr w:type="spellStart"/>
      <w:r w:rsidR="00B55285">
        <w:rPr>
          <w:rFonts w:ascii="Times New Roman" w:hAnsi="Times New Roman" w:cs="Times New Roman"/>
          <w:bCs/>
          <w:sz w:val="28"/>
          <w:szCs w:val="28"/>
        </w:rPr>
        <w:t>i</w:t>
      </w:r>
      <w:proofErr w:type="spellEnd"/>
      <w:r w:rsidR="00B55285">
        <w:rPr>
          <w:rFonts w:ascii="Times New Roman" w:hAnsi="Times New Roman" w:cs="Times New Roman"/>
          <w:bCs/>
          <w:sz w:val="28"/>
          <w:szCs w:val="28"/>
        </w:rPr>
        <w:t>]</w:t>
      </w:r>
      <w:proofErr w:type="spellStart"/>
      <w:r w:rsidR="00B55285">
        <w:rPr>
          <w:rFonts w:ascii="Times New Roman" w:hAnsi="Times New Roman" w:cs="Times New Roman"/>
          <w:bCs/>
          <w:sz w:val="28"/>
          <w:szCs w:val="28"/>
        </w:rPr>
        <w:t>nstead</w:t>
      </w:r>
      <w:proofErr w:type="spellEnd"/>
      <w:r w:rsidR="00B55285">
        <w:rPr>
          <w:rFonts w:ascii="Times New Roman" w:hAnsi="Times New Roman" w:cs="Times New Roman"/>
          <w:bCs/>
          <w:sz w:val="28"/>
          <w:szCs w:val="28"/>
        </w:rPr>
        <w:t xml:space="preserve">, counsel for </w:t>
      </w:r>
      <w:r w:rsidR="003241DE">
        <w:rPr>
          <w:rFonts w:ascii="Times New Roman" w:hAnsi="Times New Roman" w:cs="Times New Roman"/>
          <w:bCs/>
          <w:sz w:val="28"/>
          <w:szCs w:val="28"/>
        </w:rPr>
        <w:t xml:space="preserve">the </w:t>
      </w:r>
      <w:r w:rsidR="000E3382">
        <w:rPr>
          <w:rFonts w:ascii="Times New Roman" w:hAnsi="Times New Roman" w:cs="Times New Roman"/>
          <w:bCs/>
          <w:sz w:val="28"/>
          <w:szCs w:val="28"/>
        </w:rPr>
        <w:t>Defendant has advised that the Defendant intends to bring its own motion. However, the Defendant has not advised the basis of such motion nor the relief it will be requesting.”</w:t>
      </w:r>
    </w:p>
    <w:p w14:paraId="77773D3F" w14:textId="77777777" w:rsidR="000E3382" w:rsidRPr="000E3382" w:rsidRDefault="000E3382" w:rsidP="000E3382">
      <w:pPr>
        <w:pStyle w:val="ListParagraph"/>
        <w:rPr>
          <w:rFonts w:ascii="Times New Roman" w:hAnsi="Times New Roman" w:cs="Times New Roman"/>
          <w:bCs/>
          <w:i/>
          <w:iCs/>
          <w:sz w:val="28"/>
          <w:szCs w:val="28"/>
        </w:rPr>
      </w:pPr>
    </w:p>
    <w:p w14:paraId="09FAD983" w14:textId="2FF4D9D0" w:rsidR="000E3382" w:rsidRPr="001825F7" w:rsidRDefault="00934F21" w:rsidP="00187ABE">
      <w:pPr>
        <w:pStyle w:val="ListParagraph"/>
        <w:numPr>
          <w:ilvl w:val="0"/>
          <w:numId w:val="1"/>
        </w:numPr>
        <w:spacing w:after="0" w:line="240" w:lineRule="auto"/>
        <w:jc w:val="both"/>
        <w:rPr>
          <w:rFonts w:ascii="Times New Roman" w:hAnsi="Times New Roman" w:cs="Times New Roman"/>
          <w:bCs/>
          <w:i/>
          <w:iCs/>
          <w:sz w:val="28"/>
          <w:szCs w:val="28"/>
        </w:rPr>
      </w:pPr>
      <w:r>
        <w:rPr>
          <w:rFonts w:ascii="Times New Roman" w:hAnsi="Times New Roman" w:cs="Times New Roman"/>
          <w:bCs/>
          <w:sz w:val="28"/>
          <w:szCs w:val="28"/>
        </w:rPr>
        <w:t xml:space="preserve">On October 8, 2024, </w:t>
      </w:r>
      <w:r w:rsidR="00457E9C">
        <w:rPr>
          <w:rFonts w:ascii="Times New Roman" w:hAnsi="Times New Roman" w:cs="Times New Roman"/>
          <w:bCs/>
          <w:sz w:val="28"/>
          <w:szCs w:val="28"/>
        </w:rPr>
        <w:t xml:space="preserve">counsel for Paramount </w:t>
      </w:r>
      <w:r w:rsidR="005977C3" w:rsidRPr="00150ED9">
        <w:rPr>
          <w:rFonts w:ascii="Times New Roman" w:hAnsi="Times New Roman" w:cs="Times New Roman"/>
          <w:bCs/>
          <w:sz w:val="28"/>
          <w:szCs w:val="28"/>
        </w:rPr>
        <w:t xml:space="preserve">wrote to the Court, copying </w:t>
      </w:r>
      <w:r w:rsidR="00577533" w:rsidRPr="00150ED9">
        <w:rPr>
          <w:rFonts w:ascii="Times New Roman" w:hAnsi="Times New Roman" w:cs="Times New Roman"/>
          <w:bCs/>
          <w:sz w:val="28"/>
          <w:szCs w:val="28"/>
        </w:rPr>
        <w:t>opposing</w:t>
      </w:r>
      <w:r w:rsidR="00577533">
        <w:rPr>
          <w:rFonts w:ascii="Times New Roman" w:hAnsi="Times New Roman" w:cs="Times New Roman"/>
          <w:bCs/>
          <w:sz w:val="28"/>
          <w:szCs w:val="28"/>
        </w:rPr>
        <w:t xml:space="preserve"> counsel. In </w:t>
      </w:r>
      <w:r w:rsidR="008D2EB8">
        <w:rPr>
          <w:rFonts w:ascii="Times New Roman" w:hAnsi="Times New Roman" w:cs="Times New Roman"/>
          <w:bCs/>
          <w:sz w:val="28"/>
          <w:szCs w:val="28"/>
        </w:rPr>
        <w:t>the</w:t>
      </w:r>
      <w:r w:rsidR="00577533">
        <w:rPr>
          <w:rFonts w:ascii="Times New Roman" w:hAnsi="Times New Roman" w:cs="Times New Roman"/>
          <w:bCs/>
          <w:sz w:val="28"/>
          <w:szCs w:val="28"/>
        </w:rPr>
        <w:t xml:space="preserve"> letter, counsel for Paramount </w:t>
      </w:r>
      <w:r w:rsidR="00686D0E">
        <w:rPr>
          <w:rFonts w:ascii="Times New Roman" w:hAnsi="Times New Roman" w:cs="Times New Roman"/>
          <w:bCs/>
          <w:sz w:val="28"/>
          <w:szCs w:val="28"/>
        </w:rPr>
        <w:t>mentioned</w:t>
      </w:r>
      <w:r w:rsidR="001825F7">
        <w:rPr>
          <w:rFonts w:ascii="Times New Roman" w:hAnsi="Times New Roman" w:cs="Times New Roman"/>
          <w:bCs/>
          <w:sz w:val="28"/>
          <w:szCs w:val="28"/>
        </w:rPr>
        <w:t>:</w:t>
      </w:r>
    </w:p>
    <w:p w14:paraId="0B7ECB7F" w14:textId="77777777" w:rsidR="001825F7" w:rsidRDefault="001825F7" w:rsidP="001825F7">
      <w:pPr>
        <w:pStyle w:val="ListParagraph"/>
        <w:ind w:left="1080"/>
        <w:rPr>
          <w:rFonts w:ascii="Times New Roman" w:hAnsi="Times New Roman" w:cs="Times New Roman"/>
          <w:bCs/>
          <w:i/>
          <w:iCs/>
          <w:sz w:val="28"/>
          <w:szCs w:val="28"/>
        </w:rPr>
      </w:pPr>
    </w:p>
    <w:p w14:paraId="2FF894B3" w14:textId="642E46C2" w:rsidR="00FD6C81" w:rsidRDefault="009F0ABB" w:rsidP="00EC06EF">
      <w:pPr>
        <w:pStyle w:val="ListParagraph"/>
        <w:spacing w:after="0" w:line="240" w:lineRule="auto"/>
        <w:ind w:left="1134" w:right="1134"/>
        <w:jc w:val="both"/>
        <w:rPr>
          <w:rFonts w:ascii="Times New Roman" w:hAnsi="Times New Roman" w:cs="Times New Roman"/>
          <w:bCs/>
          <w:sz w:val="24"/>
          <w:szCs w:val="24"/>
        </w:rPr>
      </w:pPr>
      <w:r>
        <w:rPr>
          <w:rFonts w:ascii="Times New Roman" w:hAnsi="Times New Roman" w:cs="Times New Roman"/>
          <w:bCs/>
          <w:sz w:val="24"/>
          <w:szCs w:val="24"/>
        </w:rPr>
        <w:t xml:space="preserve">[…] It was unclear from the filed summary judgment motion that they were seeking a determination of all issues in the Claim. </w:t>
      </w:r>
    </w:p>
    <w:p w14:paraId="74CF8601" w14:textId="77777777" w:rsidR="00FD6C81" w:rsidRDefault="00FD6C81" w:rsidP="00EC06EF">
      <w:pPr>
        <w:pStyle w:val="ListParagraph"/>
        <w:spacing w:after="0" w:line="240" w:lineRule="auto"/>
        <w:ind w:left="1134" w:right="1134"/>
        <w:jc w:val="both"/>
        <w:rPr>
          <w:rFonts w:ascii="Times New Roman" w:hAnsi="Times New Roman" w:cs="Times New Roman"/>
          <w:bCs/>
          <w:sz w:val="24"/>
          <w:szCs w:val="24"/>
        </w:rPr>
      </w:pPr>
    </w:p>
    <w:p w14:paraId="3FEC490D" w14:textId="2BC56844" w:rsidR="001825F7" w:rsidRDefault="00214256" w:rsidP="00EC06EF">
      <w:pPr>
        <w:pStyle w:val="ListParagraph"/>
        <w:spacing w:after="0" w:line="240" w:lineRule="auto"/>
        <w:ind w:left="1134" w:right="1134"/>
        <w:jc w:val="both"/>
        <w:rPr>
          <w:rFonts w:ascii="Times New Roman" w:hAnsi="Times New Roman" w:cs="Times New Roman"/>
          <w:bCs/>
          <w:sz w:val="24"/>
          <w:szCs w:val="24"/>
        </w:rPr>
      </w:pPr>
      <w:r>
        <w:rPr>
          <w:rFonts w:ascii="Times New Roman" w:hAnsi="Times New Roman" w:cs="Times New Roman"/>
          <w:bCs/>
          <w:sz w:val="24"/>
          <w:szCs w:val="24"/>
        </w:rPr>
        <w:t xml:space="preserve">When [counsel for ADK] inquired about scheduling a summary judgment </w:t>
      </w:r>
      <w:r w:rsidRPr="00445E85">
        <w:rPr>
          <w:rFonts w:ascii="Times New Roman" w:hAnsi="Times New Roman" w:cs="Times New Roman"/>
          <w:bCs/>
          <w:sz w:val="24"/>
          <w:szCs w:val="24"/>
        </w:rPr>
        <w:t xml:space="preserve">hearing, it was the Defendant’s position that it also intended to bring a summary judgment motion. This will allow for an efficient </w:t>
      </w:r>
      <w:r w:rsidR="00E8665E" w:rsidRPr="00445E85">
        <w:rPr>
          <w:rFonts w:ascii="Times New Roman" w:hAnsi="Times New Roman" w:cs="Times New Roman"/>
          <w:bCs/>
          <w:sz w:val="24"/>
          <w:szCs w:val="24"/>
        </w:rPr>
        <w:t>use of the Court’s time, as the Defendant intend</w:t>
      </w:r>
      <w:r w:rsidR="00445E85" w:rsidRPr="00445E85">
        <w:rPr>
          <w:rFonts w:ascii="Times New Roman" w:hAnsi="Times New Roman" w:cs="Times New Roman"/>
          <w:bCs/>
          <w:sz w:val="24"/>
          <w:szCs w:val="24"/>
        </w:rPr>
        <w:t>[sic]</w:t>
      </w:r>
      <w:r w:rsidR="00E8665E" w:rsidRPr="00445E85">
        <w:rPr>
          <w:rFonts w:ascii="Times New Roman" w:hAnsi="Times New Roman" w:cs="Times New Roman"/>
          <w:bCs/>
          <w:sz w:val="24"/>
          <w:szCs w:val="24"/>
        </w:rPr>
        <w:t xml:space="preserve"> to seek on its summary judgment motion that all matters in the Claim be determined at the same time, and for a dismissal of the Claim.</w:t>
      </w:r>
      <w:r w:rsidR="00E8665E">
        <w:rPr>
          <w:rFonts w:ascii="Times New Roman" w:hAnsi="Times New Roman" w:cs="Times New Roman"/>
          <w:bCs/>
          <w:sz w:val="24"/>
          <w:szCs w:val="24"/>
        </w:rPr>
        <w:t xml:space="preserve"> </w:t>
      </w:r>
    </w:p>
    <w:p w14:paraId="274FFDA6" w14:textId="77777777" w:rsidR="00E8665E" w:rsidRDefault="00E8665E" w:rsidP="001825F7">
      <w:pPr>
        <w:pStyle w:val="ListParagraph"/>
        <w:ind w:left="1080"/>
        <w:rPr>
          <w:rFonts w:ascii="Times New Roman" w:hAnsi="Times New Roman" w:cs="Times New Roman"/>
          <w:bCs/>
          <w:sz w:val="24"/>
          <w:szCs w:val="24"/>
        </w:rPr>
      </w:pPr>
    </w:p>
    <w:p w14:paraId="3B36CAF3" w14:textId="3DD0FDF9" w:rsidR="00E8665E" w:rsidRPr="001825F7" w:rsidRDefault="00E8665E" w:rsidP="00EC06EF">
      <w:pPr>
        <w:pStyle w:val="ListParagraph"/>
        <w:spacing w:after="0" w:line="240" w:lineRule="auto"/>
        <w:ind w:left="1134" w:right="1134"/>
        <w:jc w:val="both"/>
        <w:rPr>
          <w:rFonts w:ascii="Times New Roman" w:hAnsi="Times New Roman" w:cs="Times New Roman"/>
          <w:bCs/>
          <w:sz w:val="24"/>
          <w:szCs w:val="24"/>
        </w:rPr>
      </w:pPr>
      <w:r>
        <w:rPr>
          <w:rFonts w:ascii="Times New Roman" w:hAnsi="Times New Roman" w:cs="Times New Roman"/>
          <w:bCs/>
          <w:sz w:val="24"/>
          <w:szCs w:val="24"/>
        </w:rPr>
        <w:t xml:space="preserve">Given the </w:t>
      </w:r>
      <w:r w:rsidR="00C418FA">
        <w:rPr>
          <w:rFonts w:ascii="Times New Roman" w:hAnsi="Times New Roman" w:cs="Times New Roman"/>
          <w:bCs/>
          <w:sz w:val="24"/>
          <w:szCs w:val="24"/>
        </w:rPr>
        <w:t>position taken in the Plaintiff’s letter dated October 3, 2024, which clarifies that their summary judgment motion, as amended, is not a partial summary judgment motion, but a full summary judgment motion</w:t>
      </w:r>
      <w:r w:rsidR="0040061C">
        <w:rPr>
          <w:rFonts w:ascii="Times New Roman" w:hAnsi="Times New Roman" w:cs="Times New Roman"/>
          <w:bCs/>
          <w:sz w:val="24"/>
          <w:szCs w:val="24"/>
        </w:rPr>
        <w:t xml:space="preserve"> to finally determine all issues in the Claim, and that it is a discrete debt action with no general damages being claimed, we agree that one day is sufficient for the hearing</w:t>
      </w:r>
      <w:r w:rsidR="00F20A6C">
        <w:rPr>
          <w:rFonts w:ascii="Times New Roman" w:hAnsi="Times New Roman" w:cs="Times New Roman"/>
          <w:bCs/>
          <w:sz w:val="24"/>
          <w:szCs w:val="24"/>
        </w:rPr>
        <w:t>, as we will not be required to file a separate summary judgment motion.</w:t>
      </w:r>
    </w:p>
    <w:p w14:paraId="0DB5A8EB" w14:textId="77777777" w:rsidR="00934F21" w:rsidRPr="00934F21" w:rsidRDefault="00934F21" w:rsidP="00934F21">
      <w:pPr>
        <w:pStyle w:val="ListParagraph"/>
        <w:rPr>
          <w:rFonts w:ascii="Times New Roman" w:hAnsi="Times New Roman" w:cs="Times New Roman"/>
          <w:bCs/>
          <w:i/>
          <w:iCs/>
          <w:sz w:val="28"/>
          <w:szCs w:val="28"/>
        </w:rPr>
      </w:pPr>
    </w:p>
    <w:p w14:paraId="04C943A8" w14:textId="50037089" w:rsidR="00F20A6C" w:rsidRPr="00692ED7" w:rsidRDefault="00F20A6C" w:rsidP="00187ABE">
      <w:pPr>
        <w:pStyle w:val="ListParagraph"/>
        <w:numPr>
          <w:ilvl w:val="0"/>
          <w:numId w:val="1"/>
        </w:numPr>
        <w:spacing w:after="0" w:line="240" w:lineRule="auto"/>
        <w:jc w:val="both"/>
        <w:rPr>
          <w:rFonts w:ascii="Times New Roman" w:hAnsi="Times New Roman" w:cs="Times New Roman"/>
          <w:bCs/>
          <w:i/>
          <w:iCs/>
          <w:sz w:val="28"/>
          <w:szCs w:val="28"/>
        </w:rPr>
      </w:pPr>
      <w:r>
        <w:rPr>
          <w:rFonts w:ascii="Times New Roman" w:hAnsi="Times New Roman" w:cs="Times New Roman"/>
          <w:bCs/>
          <w:sz w:val="28"/>
          <w:szCs w:val="28"/>
        </w:rPr>
        <w:lastRenderedPageBreak/>
        <w:t xml:space="preserve">Counsel for ADK did not send any further </w:t>
      </w:r>
      <w:r w:rsidR="00692ED7">
        <w:rPr>
          <w:rFonts w:ascii="Times New Roman" w:hAnsi="Times New Roman" w:cs="Times New Roman"/>
          <w:bCs/>
          <w:sz w:val="28"/>
          <w:szCs w:val="28"/>
        </w:rPr>
        <w:t xml:space="preserve">correspondence to the </w:t>
      </w:r>
      <w:r w:rsidR="004E75FA">
        <w:rPr>
          <w:rFonts w:ascii="Times New Roman" w:hAnsi="Times New Roman" w:cs="Times New Roman"/>
          <w:bCs/>
          <w:sz w:val="28"/>
          <w:szCs w:val="28"/>
        </w:rPr>
        <w:t>C</w:t>
      </w:r>
      <w:r w:rsidR="00692ED7">
        <w:rPr>
          <w:rFonts w:ascii="Times New Roman" w:hAnsi="Times New Roman" w:cs="Times New Roman"/>
          <w:bCs/>
          <w:sz w:val="28"/>
          <w:szCs w:val="28"/>
        </w:rPr>
        <w:t>ourt on this issue</w:t>
      </w:r>
      <w:r w:rsidR="004F451D">
        <w:rPr>
          <w:rFonts w:ascii="Times New Roman" w:hAnsi="Times New Roman" w:cs="Times New Roman"/>
          <w:bCs/>
          <w:sz w:val="28"/>
          <w:szCs w:val="28"/>
        </w:rPr>
        <w:t xml:space="preserve"> until May 2025</w:t>
      </w:r>
      <w:r w:rsidR="00692ED7">
        <w:rPr>
          <w:rFonts w:ascii="Times New Roman" w:hAnsi="Times New Roman" w:cs="Times New Roman"/>
          <w:bCs/>
          <w:sz w:val="28"/>
          <w:szCs w:val="28"/>
        </w:rPr>
        <w:t xml:space="preserve">. </w:t>
      </w:r>
    </w:p>
    <w:p w14:paraId="33F2E263" w14:textId="77777777" w:rsidR="00692ED7" w:rsidRPr="00F20A6C" w:rsidRDefault="00692ED7" w:rsidP="00692ED7">
      <w:pPr>
        <w:pStyle w:val="ListParagraph"/>
        <w:spacing w:after="0" w:line="240" w:lineRule="auto"/>
        <w:ind w:left="0"/>
        <w:jc w:val="both"/>
        <w:rPr>
          <w:rFonts w:ascii="Times New Roman" w:hAnsi="Times New Roman" w:cs="Times New Roman"/>
          <w:bCs/>
          <w:i/>
          <w:iCs/>
          <w:sz w:val="28"/>
          <w:szCs w:val="28"/>
        </w:rPr>
      </w:pPr>
    </w:p>
    <w:p w14:paraId="6FB2A187" w14:textId="77777777" w:rsidR="00BD1553" w:rsidRPr="00BD1553" w:rsidRDefault="007A1911" w:rsidP="00187ABE">
      <w:pPr>
        <w:pStyle w:val="ListParagraph"/>
        <w:numPr>
          <w:ilvl w:val="0"/>
          <w:numId w:val="1"/>
        </w:numPr>
        <w:spacing w:after="0" w:line="240" w:lineRule="auto"/>
        <w:jc w:val="both"/>
        <w:rPr>
          <w:rFonts w:ascii="Times New Roman" w:hAnsi="Times New Roman" w:cs="Times New Roman"/>
          <w:bCs/>
          <w:i/>
          <w:iCs/>
          <w:sz w:val="28"/>
          <w:szCs w:val="28"/>
        </w:rPr>
      </w:pPr>
      <w:r>
        <w:rPr>
          <w:rFonts w:ascii="Times New Roman" w:hAnsi="Times New Roman" w:cs="Times New Roman"/>
          <w:bCs/>
          <w:sz w:val="28"/>
          <w:szCs w:val="28"/>
        </w:rPr>
        <w:t xml:space="preserve">On </w:t>
      </w:r>
      <w:r w:rsidR="00EC06EF">
        <w:rPr>
          <w:rFonts w:ascii="Times New Roman" w:hAnsi="Times New Roman" w:cs="Times New Roman"/>
          <w:bCs/>
          <w:sz w:val="28"/>
          <w:szCs w:val="28"/>
        </w:rPr>
        <w:t>May 28, 2025</w:t>
      </w:r>
      <w:r>
        <w:rPr>
          <w:rFonts w:ascii="Times New Roman" w:hAnsi="Times New Roman" w:cs="Times New Roman"/>
          <w:bCs/>
          <w:sz w:val="28"/>
          <w:szCs w:val="28"/>
        </w:rPr>
        <w:t>, I held a pre-hearing conference by teleconference</w:t>
      </w:r>
      <w:r w:rsidR="00EC06EF">
        <w:rPr>
          <w:rFonts w:ascii="Times New Roman" w:hAnsi="Times New Roman" w:cs="Times New Roman"/>
          <w:bCs/>
          <w:sz w:val="28"/>
          <w:szCs w:val="28"/>
        </w:rPr>
        <w:t xml:space="preserve"> with counsel</w:t>
      </w:r>
      <w:r>
        <w:rPr>
          <w:rFonts w:ascii="Times New Roman" w:hAnsi="Times New Roman" w:cs="Times New Roman"/>
          <w:bCs/>
          <w:sz w:val="28"/>
          <w:szCs w:val="28"/>
        </w:rPr>
        <w:t xml:space="preserve"> after which, I issued a Pre-Hearing Conference Memorandum</w:t>
      </w:r>
      <w:r w:rsidR="008E3B1F">
        <w:rPr>
          <w:rFonts w:ascii="Times New Roman" w:hAnsi="Times New Roman" w:cs="Times New Roman"/>
          <w:bCs/>
          <w:sz w:val="28"/>
          <w:szCs w:val="28"/>
        </w:rPr>
        <w:t>.</w:t>
      </w:r>
      <w:r w:rsidR="00EC06EF">
        <w:rPr>
          <w:rFonts w:ascii="Times New Roman" w:hAnsi="Times New Roman" w:cs="Times New Roman"/>
          <w:bCs/>
          <w:sz w:val="28"/>
          <w:szCs w:val="28"/>
        </w:rPr>
        <w:t xml:space="preserve"> The memorandum contains the following </w:t>
      </w:r>
      <w:r w:rsidR="00BD1553">
        <w:rPr>
          <w:rFonts w:ascii="Times New Roman" w:hAnsi="Times New Roman" w:cs="Times New Roman"/>
          <w:bCs/>
          <w:sz w:val="28"/>
          <w:szCs w:val="28"/>
        </w:rPr>
        <w:t>passage</w:t>
      </w:r>
      <w:r w:rsidR="00EC06EF">
        <w:rPr>
          <w:rFonts w:ascii="Times New Roman" w:hAnsi="Times New Roman" w:cs="Times New Roman"/>
          <w:bCs/>
          <w:sz w:val="28"/>
          <w:szCs w:val="28"/>
        </w:rPr>
        <w:t>:</w:t>
      </w:r>
    </w:p>
    <w:p w14:paraId="152B0719" w14:textId="77777777" w:rsidR="00BD1553" w:rsidRPr="00BD1553" w:rsidRDefault="00BD1553" w:rsidP="00BD1553">
      <w:pPr>
        <w:pStyle w:val="ListParagraph"/>
        <w:rPr>
          <w:rFonts w:ascii="Times New Roman" w:hAnsi="Times New Roman" w:cs="Times New Roman"/>
          <w:bCs/>
          <w:i/>
          <w:iCs/>
          <w:sz w:val="28"/>
          <w:szCs w:val="28"/>
        </w:rPr>
      </w:pPr>
    </w:p>
    <w:p w14:paraId="11FF9605" w14:textId="75574D6B" w:rsidR="00BD1553" w:rsidRPr="00BD1553" w:rsidRDefault="00BD1553" w:rsidP="00BD1553">
      <w:pPr>
        <w:pStyle w:val="ListParagraph"/>
        <w:spacing w:after="0" w:line="240" w:lineRule="auto"/>
        <w:ind w:left="1134" w:right="1134"/>
        <w:jc w:val="both"/>
        <w:rPr>
          <w:rFonts w:ascii="Times New Roman" w:hAnsi="Times New Roman" w:cs="Times New Roman"/>
          <w:bCs/>
          <w:sz w:val="24"/>
          <w:szCs w:val="24"/>
        </w:rPr>
      </w:pPr>
      <w:r w:rsidRPr="00BD1553">
        <w:rPr>
          <w:rFonts w:ascii="Times New Roman" w:hAnsi="Times New Roman" w:cs="Times New Roman"/>
          <w:bCs/>
          <w:sz w:val="24"/>
          <w:szCs w:val="24"/>
        </w:rPr>
        <w:t xml:space="preserve">At the </w:t>
      </w:r>
      <w:r>
        <w:rPr>
          <w:rFonts w:ascii="Times New Roman" w:hAnsi="Times New Roman" w:cs="Times New Roman"/>
          <w:bCs/>
          <w:sz w:val="24"/>
          <w:szCs w:val="24"/>
        </w:rPr>
        <w:t>las</w:t>
      </w:r>
      <w:r w:rsidR="00050D07">
        <w:rPr>
          <w:rFonts w:ascii="Times New Roman" w:hAnsi="Times New Roman" w:cs="Times New Roman"/>
          <w:bCs/>
          <w:sz w:val="24"/>
          <w:szCs w:val="24"/>
        </w:rPr>
        <w:t>t</w:t>
      </w:r>
      <w:r>
        <w:rPr>
          <w:rFonts w:ascii="Times New Roman" w:hAnsi="Times New Roman" w:cs="Times New Roman"/>
          <w:bCs/>
          <w:sz w:val="24"/>
          <w:szCs w:val="24"/>
        </w:rPr>
        <w:t xml:space="preserve"> pre-hearing conference, counsel for the Defendant mentioned that the Defendant might take the position that this matter was not appropriate for summary disposition. Today, counsel for the Defendant confirmed that she does not intend on raising this argument. The parties agree that this case can be decided by way of summary judgment. </w:t>
      </w:r>
    </w:p>
    <w:p w14:paraId="32EBAD62" w14:textId="77777777" w:rsidR="00BD1553" w:rsidRPr="00BD1553" w:rsidRDefault="00BD1553" w:rsidP="00BD1553">
      <w:pPr>
        <w:pStyle w:val="ListParagraph"/>
        <w:rPr>
          <w:rFonts w:ascii="Times New Roman" w:hAnsi="Times New Roman" w:cs="Times New Roman"/>
          <w:bCs/>
          <w:sz w:val="28"/>
          <w:szCs w:val="28"/>
        </w:rPr>
      </w:pPr>
    </w:p>
    <w:p w14:paraId="10C50813" w14:textId="0172741A" w:rsidR="00194283" w:rsidRPr="007A066B" w:rsidRDefault="00BD1553" w:rsidP="006F52F3">
      <w:pPr>
        <w:pStyle w:val="ListParagraph"/>
        <w:numPr>
          <w:ilvl w:val="0"/>
          <w:numId w:val="1"/>
        </w:numPr>
        <w:spacing w:after="0" w:line="240" w:lineRule="auto"/>
        <w:jc w:val="both"/>
        <w:rPr>
          <w:rFonts w:ascii="Times New Roman" w:hAnsi="Times New Roman" w:cs="Times New Roman"/>
          <w:bCs/>
          <w:i/>
          <w:iCs/>
          <w:sz w:val="28"/>
          <w:szCs w:val="28"/>
        </w:rPr>
      </w:pPr>
      <w:r w:rsidRPr="007B7518">
        <w:rPr>
          <w:rFonts w:ascii="Times New Roman" w:hAnsi="Times New Roman" w:cs="Times New Roman"/>
          <w:bCs/>
          <w:sz w:val="28"/>
          <w:szCs w:val="28"/>
        </w:rPr>
        <w:t xml:space="preserve">On </w:t>
      </w:r>
      <w:r w:rsidR="009E0910" w:rsidRPr="007B7518">
        <w:rPr>
          <w:rFonts w:ascii="Times New Roman" w:hAnsi="Times New Roman" w:cs="Times New Roman"/>
          <w:bCs/>
          <w:sz w:val="28"/>
          <w:szCs w:val="28"/>
        </w:rPr>
        <w:t xml:space="preserve">the same day, counsel for ADK wrote to the </w:t>
      </w:r>
      <w:r w:rsidR="004E75FA">
        <w:rPr>
          <w:rFonts w:ascii="Times New Roman" w:hAnsi="Times New Roman" w:cs="Times New Roman"/>
          <w:bCs/>
          <w:sz w:val="28"/>
          <w:szCs w:val="28"/>
        </w:rPr>
        <w:t>C</w:t>
      </w:r>
      <w:r w:rsidR="009E0910" w:rsidRPr="007B7518">
        <w:rPr>
          <w:rFonts w:ascii="Times New Roman" w:hAnsi="Times New Roman" w:cs="Times New Roman"/>
          <w:bCs/>
          <w:sz w:val="28"/>
          <w:szCs w:val="28"/>
        </w:rPr>
        <w:t xml:space="preserve">ourt indicating that </w:t>
      </w:r>
      <w:r w:rsidR="00474A3C" w:rsidRPr="007B7518">
        <w:rPr>
          <w:rFonts w:ascii="Times New Roman" w:hAnsi="Times New Roman" w:cs="Times New Roman"/>
          <w:bCs/>
          <w:sz w:val="28"/>
          <w:szCs w:val="28"/>
        </w:rPr>
        <w:t xml:space="preserve">ADK took </w:t>
      </w:r>
      <w:r w:rsidR="00474A3C" w:rsidRPr="007A066B">
        <w:rPr>
          <w:rFonts w:ascii="Times New Roman" w:hAnsi="Times New Roman" w:cs="Times New Roman"/>
          <w:bCs/>
          <w:sz w:val="28"/>
          <w:szCs w:val="28"/>
        </w:rPr>
        <w:t xml:space="preserve">issue with the last sentence of the preceding paragraph. </w:t>
      </w:r>
      <w:r w:rsidR="00907622" w:rsidRPr="007A066B">
        <w:rPr>
          <w:rFonts w:ascii="Times New Roman" w:hAnsi="Times New Roman" w:cs="Times New Roman"/>
          <w:bCs/>
          <w:sz w:val="28"/>
          <w:szCs w:val="28"/>
        </w:rPr>
        <w:t xml:space="preserve">Counsel </w:t>
      </w:r>
      <w:r w:rsidR="00686D0E" w:rsidRPr="007A066B">
        <w:rPr>
          <w:rFonts w:ascii="Times New Roman" w:hAnsi="Times New Roman" w:cs="Times New Roman"/>
          <w:bCs/>
          <w:sz w:val="28"/>
          <w:szCs w:val="28"/>
        </w:rPr>
        <w:t xml:space="preserve">for ADK </w:t>
      </w:r>
      <w:r w:rsidR="00907622" w:rsidRPr="007A066B">
        <w:rPr>
          <w:rFonts w:ascii="Times New Roman" w:hAnsi="Times New Roman" w:cs="Times New Roman"/>
          <w:bCs/>
          <w:sz w:val="28"/>
          <w:szCs w:val="28"/>
        </w:rPr>
        <w:t xml:space="preserve">specified that ADK’s </w:t>
      </w:r>
      <w:r w:rsidR="00BF4B89" w:rsidRPr="007A066B">
        <w:rPr>
          <w:rFonts w:ascii="Times New Roman" w:hAnsi="Times New Roman" w:cs="Times New Roman"/>
          <w:bCs/>
          <w:sz w:val="28"/>
          <w:szCs w:val="28"/>
        </w:rPr>
        <w:t xml:space="preserve">understanding was that because Paramount had not brought </w:t>
      </w:r>
      <w:r w:rsidR="00DA5036" w:rsidRPr="007A066B">
        <w:rPr>
          <w:rFonts w:ascii="Times New Roman" w:hAnsi="Times New Roman" w:cs="Times New Roman"/>
          <w:bCs/>
          <w:sz w:val="28"/>
          <w:szCs w:val="28"/>
        </w:rPr>
        <w:t>its</w:t>
      </w:r>
      <w:r w:rsidR="00BF4B89" w:rsidRPr="007A066B">
        <w:rPr>
          <w:rFonts w:ascii="Times New Roman" w:hAnsi="Times New Roman" w:cs="Times New Roman"/>
          <w:bCs/>
          <w:sz w:val="28"/>
          <w:szCs w:val="28"/>
        </w:rPr>
        <w:t xml:space="preserve"> own</w:t>
      </w:r>
      <w:r w:rsidR="00BF236C" w:rsidRPr="007A066B">
        <w:rPr>
          <w:rFonts w:ascii="Times New Roman" w:hAnsi="Times New Roman" w:cs="Times New Roman"/>
          <w:bCs/>
          <w:sz w:val="28"/>
          <w:szCs w:val="28"/>
        </w:rPr>
        <w:t xml:space="preserve"> motion seeking </w:t>
      </w:r>
      <w:r w:rsidR="00E64BD4" w:rsidRPr="007A066B">
        <w:rPr>
          <w:rFonts w:ascii="Times New Roman" w:hAnsi="Times New Roman" w:cs="Times New Roman"/>
          <w:bCs/>
          <w:sz w:val="28"/>
          <w:szCs w:val="28"/>
        </w:rPr>
        <w:t xml:space="preserve">to dismiss the action, </w:t>
      </w:r>
      <w:r w:rsidR="005347F8" w:rsidRPr="007A066B">
        <w:rPr>
          <w:rFonts w:ascii="Times New Roman" w:hAnsi="Times New Roman" w:cs="Times New Roman"/>
          <w:bCs/>
          <w:sz w:val="28"/>
          <w:szCs w:val="28"/>
        </w:rPr>
        <w:t xml:space="preserve">it was not a relief the </w:t>
      </w:r>
      <w:r w:rsidR="00A86707">
        <w:rPr>
          <w:rFonts w:ascii="Times New Roman" w:hAnsi="Times New Roman" w:cs="Times New Roman"/>
          <w:bCs/>
          <w:sz w:val="28"/>
          <w:szCs w:val="28"/>
        </w:rPr>
        <w:t>c</w:t>
      </w:r>
      <w:r w:rsidR="005347F8" w:rsidRPr="007A066B">
        <w:rPr>
          <w:rFonts w:ascii="Times New Roman" w:hAnsi="Times New Roman" w:cs="Times New Roman"/>
          <w:bCs/>
          <w:sz w:val="28"/>
          <w:szCs w:val="28"/>
        </w:rPr>
        <w:t xml:space="preserve">ourt </w:t>
      </w:r>
      <w:r w:rsidR="00E136B0" w:rsidRPr="007A066B">
        <w:rPr>
          <w:rFonts w:ascii="Times New Roman" w:hAnsi="Times New Roman" w:cs="Times New Roman"/>
          <w:bCs/>
          <w:sz w:val="28"/>
          <w:szCs w:val="28"/>
        </w:rPr>
        <w:t>c</w:t>
      </w:r>
      <w:r w:rsidR="00622496" w:rsidRPr="007A066B">
        <w:rPr>
          <w:rFonts w:ascii="Times New Roman" w:hAnsi="Times New Roman" w:cs="Times New Roman"/>
          <w:bCs/>
          <w:sz w:val="28"/>
          <w:szCs w:val="28"/>
        </w:rPr>
        <w:t>ould</w:t>
      </w:r>
      <w:r w:rsidR="005347F8" w:rsidRPr="007A066B">
        <w:rPr>
          <w:rFonts w:ascii="Times New Roman" w:hAnsi="Times New Roman" w:cs="Times New Roman"/>
          <w:bCs/>
          <w:sz w:val="28"/>
          <w:szCs w:val="28"/>
        </w:rPr>
        <w:t xml:space="preserve"> grant. </w:t>
      </w:r>
      <w:r w:rsidR="00542186" w:rsidRPr="007A066B">
        <w:rPr>
          <w:rFonts w:ascii="Times New Roman" w:hAnsi="Times New Roman" w:cs="Times New Roman"/>
          <w:bCs/>
          <w:sz w:val="28"/>
          <w:szCs w:val="28"/>
        </w:rPr>
        <w:t>The next day, counsel for Paramount sent</w:t>
      </w:r>
      <w:r w:rsidR="004F0A0F" w:rsidRPr="007A066B">
        <w:rPr>
          <w:rFonts w:ascii="Times New Roman" w:hAnsi="Times New Roman" w:cs="Times New Roman"/>
          <w:bCs/>
          <w:sz w:val="28"/>
          <w:szCs w:val="28"/>
        </w:rPr>
        <w:t xml:space="preserve"> a letter to th</w:t>
      </w:r>
      <w:r w:rsidR="007A066B">
        <w:rPr>
          <w:rFonts w:ascii="Times New Roman" w:hAnsi="Times New Roman" w:cs="Times New Roman"/>
          <w:bCs/>
          <w:sz w:val="28"/>
          <w:szCs w:val="28"/>
        </w:rPr>
        <w:t xml:space="preserve">is </w:t>
      </w:r>
      <w:r w:rsidR="007A066B" w:rsidRPr="007A066B">
        <w:rPr>
          <w:rFonts w:ascii="Times New Roman" w:hAnsi="Times New Roman" w:cs="Times New Roman"/>
          <w:bCs/>
          <w:sz w:val="28"/>
          <w:szCs w:val="28"/>
        </w:rPr>
        <w:t>C</w:t>
      </w:r>
      <w:r w:rsidR="004F0A0F" w:rsidRPr="007A066B">
        <w:rPr>
          <w:rFonts w:ascii="Times New Roman" w:hAnsi="Times New Roman" w:cs="Times New Roman"/>
          <w:bCs/>
          <w:sz w:val="28"/>
          <w:szCs w:val="28"/>
        </w:rPr>
        <w:t>ourt setting</w:t>
      </w:r>
      <w:r w:rsidR="00290457" w:rsidRPr="007A066B">
        <w:rPr>
          <w:rFonts w:ascii="Times New Roman" w:hAnsi="Times New Roman" w:cs="Times New Roman"/>
          <w:bCs/>
          <w:sz w:val="28"/>
          <w:szCs w:val="28"/>
        </w:rPr>
        <w:t xml:space="preserve"> out</w:t>
      </w:r>
      <w:r w:rsidR="004F0A0F" w:rsidRPr="007A066B">
        <w:rPr>
          <w:rFonts w:ascii="Times New Roman" w:hAnsi="Times New Roman" w:cs="Times New Roman"/>
          <w:bCs/>
          <w:sz w:val="28"/>
          <w:szCs w:val="28"/>
        </w:rPr>
        <w:t xml:space="preserve"> </w:t>
      </w:r>
      <w:r w:rsidR="004354E5" w:rsidRPr="007A066B">
        <w:rPr>
          <w:rFonts w:ascii="Times New Roman" w:hAnsi="Times New Roman" w:cs="Times New Roman"/>
          <w:bCs/>
          <w:sz w:val="28"/>
          <w:szCs w:val="28"/>
        </w:rPr>
        <w:t xml:space="preserve">why they took the </w:t>
      </w:r>
      <w:r w:rsidR="00E136B0" w:rsidRPr="007A066B">
        <w:rPr>
          <w:rFonts w:ascii="Times New Roman" w:hAnsi="Times New Roman" w:cs="Times New Roman"/>
          <w:bCs/>
          <w:sz w:val="28"/>
          <w:szCs w:val="28"/>
        </w:rPr>
        <w:t xml:space="preserve">position </w:t>
      </w:r>
      <w:r w:rsidR="008741BF">
        <w:rPr>
          <w:rFonts w:ascii="Times New Roman" w:hAnsi="Times New Roman" w:cs="Times New Roman"/>
          <w:bCs/>
          <w:sz w:val="28"/>
          <w:szCs w:val="28"/>
        </w:rPr>
        <w:t>a dismissal of the action was an available relief</w:t>
      </w:r>
      <w:r w:rsidR="00E136B0" w:rsidRPr="007A066B">
        <w:rPr>
          <w:rFonts w:ascii="Times New Roman" w:hAnsi="Times New Roman" w:cs="Times New Roman"/>
          <w:bCs/>
          <w:sz w:val="28"/>
          <w:szCs w:val="28"/>
        </w:rPr>
        <w:t xml:space="preserve">. </w:t>
      </w:r>
    </w:p>
    <w:p w14:paraId="15C481C4" w14:textId="77777777" w:rsidR="007B7518" w:rsidRPr="007A066B" w:rsidRDefault="007B7518" w:rsidP="007B7518">
      <w:pPr>
        <w:pStyle w:val="ListParagraph"/>
        <w:spacing w:after="0" w:line="240" w:lineRule="auto"/>
        <w:ind w:left="0"/>
        <w:jc w:val="both"/>
        <w:rPr>
          <w:rFonts w:ascii="Times New Roman" w:hAnsi="Times New Roman" w:cs="Times New Roman"/>
          <w:bCs/>
          <w:i/>
          <w:iCs/>
          <w:sz w:val="28"/>
          <w:szCs w:val="28"/>
        </w:rPr>
      </w:pPr>
    </w:p>
    <w:p w14:paraId="7145E299" w14:textId="39FDF6CC" w:rsidR="00C87D59" w:rsidRPr="00687293" w:rsidRDefault="00194283" w:rsidP="00C87D59">
      <w:pPr>
        <w:pStyle w:val="ListParagraph"/>
        <w:numPr>
          <w:ilvl w:val="0"/>
          <w:numId w:val="1"/>
        </w:numPr>
        <w:spacing w:after="0" w:line="240" w:lineRule="auto"/>
        <w:jc w:val="both"/>
        <w:rPr>
          <w:rFonts w:ascii="Times New Roman" w:hAnsi="Times New Roman" w:cs="Times New Roman"/>
          <w:bCs/>
          <w:sz w:val="28"/>
          <w:szCs w:val="28"/>
        </w:rPr>
      </w:pPr>
      <w:r w:rsidRPr="007A066B">
        <w:rPr>
          <w:rFonts w:ascii="Times New Roman" w:hAnsi="Times New Roman" w:cs="Times New Roman"/>
          <w:bCs/>
          <w:sz w:val="28"/>
          <w:szCs w:val="28"/>
        </w:rPr>
        <w:t xml:space="preserve">Upon receiving </w:t>
      </w:r>
      <w:r w:rsidR="00903D66" w:rsidRPr="007A066B">
        <w:rPr>
          <w:rFonts w:ascii="Times New Roman" w:hAnsi="Times New Roman" w:cs="Times New Roman"/>
          <w:bCs/>
          <w:sz w:val="28"/>
          <w:szCs w:val="28"/>
        </w:rPr>
        <w:t>the</w:t>
      </w:r>
      <w:r w:rsidRPr="007A066B">
        <w:rPr>
          <w:rFonts w:ascii="Times New Roman" w:hAnsi="Times New Roman" w:cs="Times New Roman"/>
          <w:bCs/>
          <w:sz w:val="28"/>
          <w:szCs w:val="28"/>
        </w:rPr>
        <w:t xml:space="preserve"> letter</w:t>
      </w:r>
      <w:r w:rsidR="004F0A0F" w:rsidRPr="007A066B">
        <w:rPr>
          <w:rFonts w:ascii="Times New Roman" w:hAnsi="Times New Roman" w:cs="Times New Roman"/>
          <w:bCs/>
          <w:sz w:val="28"/>
          <w:szCs w:val="28"/>
        </w:rPr>
        <w:t>s</w:t>
      </w:r>
      <w:r w:rsidR="00903D66" w:rsidRPr="007A066B">
        <w:rPr>
          <w:rFonts w:ascii="Times New Roman" w:hAnsi="Times New Roman" w:cs="Times New Roman"/>
          <w:bCs/>
          <w:sz w:val="28"/>
          <w:szCs w:val="28"/>
        </w:rPr>
        <w:t xml:space="preserve"> from counsel</w:t>
      </w:r>
      <w:r>
        <w:rPr>
          <w:rFonts w:ascii="Times New Roman" w:hAnsi="Times New Roman" w:cs="Times New Roman"/>
          <w:bCs/>
          <w:sz w:val="28"/>
          <w:szCs w:val="28"/>
        </w:rPr>
        <w:t>, I convened an appearance on the record</w:t>
      </w:r>
      <w:r w:rsidR="008A6C2C">
        <w:rPr>
          <w:rFonts w:ascii="Times New Roman" w:hAnsi="Times New Roman" w:cs="Times New Roman"/>
          <w:bCs/>
          <w:sz w:val="28"/>
          <w:szCs w:val="28"/>
        </w:rPr>
        <w:t>.</w:t>
      </w:r>
      <w:r w:rsidR="0005563B">
        <w:rPr>
          <w:rFonts w:ascii="Times New Roman" w:hAnsi="Times New Roman" w:cs="Times New Roman"/>
          <w:bCs/>
          <w:sz w:val="28"/>
          <w:szCs w:val="28"/>
        </w:rPr>
        <w:t xml:space="preserve"> </w:t>
      </w:r>
      <w:r w:rsidR="00C32E02">
        <w:rPr>
          <w:rFonts w:ascii="Times New Roman" w:hAnsi="Times New Roman" w:cs="Times New Roman"/>
          <w:bCs/>
          <w:sz w:val="28"/>
          <w:szCs w:val="28"/>
        </w:rPr>
        <w:t xml:space="preserve">At this appearance, on May 30, 2025, </w:t>
      </w:r>
      <w:r w:rsidR="00137E6F">
        <w:rPr>
          <w:rFonts w:ascii="Times New Roman" w:hAnsi="Times New Roman" w:cs="Times New Roman"/>
          <w:bCs/>
          <w:sz w:val="28"/>
          <w:szCs w:val="28"/>
        </w:rPr>
        <w:t xml:space="preserve">ADK was provided with </w:t>
      </w:r>
      <w:r w:rsidR="008A6C2C">
        <w:rPr>
          <w:rFonts w:ascii="Times New Roman" w:hAnsi="Times New Roman" w:cs="Times New Roman"/>
          <w:bCs/>
          <w:sz w:val="28"/>
          <w:szCs w:val="28"/>
        </w:rPr>
        <w:t>the</w:t>
      </w:r>
      <w:r w:rsidR="00137E6F">
        <w:rPr>
          <w:rFonts w:ascii="Times New Roman" w:hAnsi="Times New Roman" w:cs="Times New Roman"/>
          <w:bCs/>
          <w:sz w:val="28"/>
          <w:szCs w:val="28"/>
        </w:rPr>
        <w:t xml:space="preserve"> opportunity to seek an adjournment of the </w:t>
      </w:r>
      <w:r w:rsidR="00CB3B5F">
        <w:rPr>
          <w:rFonts w:ascii="Times New Roman" w:hAnsi="Times New Roman" w:cs="Times New Roman"/>
          <w:bCs/>
          <w:sz w:val="28"/>
          <w:szCs w:val="28"/>
        </w:rPr>
        <w:t>summary judgment</w:t>
      </w:r>
      <w:r w:rsidR="00C32E02">
        <w:rPr>
          <w:rFonts w:ascii="Times New Roman" w:hAnsi="Times New Roman" w:cs="Times New Roman"/>
          <w:bCs/>
          <w:sz w:val="28"/>
          <w:szCs w:val="28"/>
        </w:rPr>
        <w:t xml:space="preserve"> </w:t>
      </w:r>
      <w:r w:rsidR="00622496">
        <w:rPr>
          <w:rFonts w:ascii="Times New Roman" w:hAnsi="Times New Roman" w:cs="Times New Roman"/>
          <w:bCs/>
          <w:sz w:val="28"/>
          <w:szCs w:val="28"/>
        </w:rPr>
        <w:t>application</w:t>
      </w:r>
      <w:r w:rsidR="00CB3B5F">
        <w:rPr>
          <w:rFonts w:ascii="Times New Roman" w:hAnsi="Times New Roman" w:cs="Times New Roman"/>
          <w:bCs/>
          <w:sz w:val="28"/>
          <w:szCs w:val="28"/>
        </w:rPr>
        <w:t xml:space="preserve"> </w:t>
      </w:r>
      <w:r w:rsidR="00137E6F">
        <w:rPr>
          <w:rFonts w:ascii="Times New Roman" w:hAnsi="Times New Roman" w:cs="Times New Roman"/>
          <w:bCs/>
          <w:sz w:val="28"/>
          <w:szCs w:val="28"/>
        </w:rPr>
        <w:t xml:space="preserve">hearing </w:t>
      </w:r>
      <w:r w:rsidR="004F4111">
        <w:rPr>
          <w:rFonts w:ascii="Times New Roman" w:hAnsi="Times New Roman" w:cs="Times New Roman"/>
          <w:bCs/>
          <w:sz w:val="28"/>
          <w:szCs w:val="28"/>
        </w:rPr>
        <w:t xml:space="preserve">to remedy any prejudice </w:t>
      </w:r>
      <w:r w:rsidR="00422561">
        <w:rPr>
          <w:rFonts w:ascii="Times New Roman" w:hAnsi="Times New Roman" w:cs="Times New Roman"/>
          <w:bCs/>
          <w:sz w:val="28"/>
          <w:szCs w:val="28"/>
        </w:rPr>
        <w:t xml:space="preserve">it felt </w:t>
      </w:r>
      <w:r w:rsidR="00842CFB">
        <w:rPr>
          <w:rFonts w:ascii="Times New Roman" w:hAnsi="Times New Roman" w:cs="Times New Roman"/>
          <w:bCs/>
          <w:sz w:val="28"/>
          <w:szCs w:val="28"/>
        </w:rPr>
        <w:t>ADK suffered because of the parties’ different understanding of the scope of hearing</w:t>
      </w:r>
      <w:r w:rsidR="00137E6F">
        <w:rPr>
          <w:rFonts w:ascii="Times New Roman" w:hAnsi="Times New Roman" w:cs="Times New Roman"/>
          <w:bCs/>
          <w:sz w:val="28"/>
          <w:szCs w:val="28"/>
        </w:rPr>
        <w:t xml:space="preserve">. Counsel for ADK declined this offer and insisted the hearing </w:t>
      </w:r>
      <w:r w:rsidR="000E1617">
        <w:rPr>
          <w:rFonts w:ascii="Times New Roman" w:hAnsi="Times New Roman" w:cs="Times New Roman"/>
          <w:bCs/>
          <w:sz w:val="28"/>
          <w:szCs w:val="28"/>
        </w:rPr>
        <w:t xml:space="preserve">of its application for summary judgment </w:t>
      </w:r>
      <w:r w:rsidR="00137E6F">
        <w:rPr>
          <w:rFonts w:ascii="Times New Roman" w:hAnsi="Times New Roman" w:cs="Times New Roman"/>
          <w:bCs/>
          <w:sz w:val="28"/>
          <w:szCs w:val="28"/>
        </w:rPr>
        <w:t>proceed on June 3, 2025, as scheduled</w:t>
      </w:r>
      <w:r w:rsidR="00687293">
        <w:rPr>
          <w:rFonts w:ascii="Times New Roman" w:hAnsi="Times New Roman" w:cs="Times New Roman"/>
          <w:bCs/>
          <w:sz w:val="28"/>
          <w:szCs w:val="28"/>
        </w:rPr>
        <w:t xml:space="preserve">. Counsel for ADK </w:t>
      </w:r>
      <w:r w:rsidR="00842CFB">
        <w:rPr>
          <w:rFonts w:ascii="Times New Roman" w:hAnsi="Times New Roman" w:cs="Times New Roman"/>
          <w:bCs/>
          <w:sz w:val="28"/>
          <w:szCs w:val="28"/>
        </w:rPr>
        <w:t>requested a further opportunity to make submissions on the reliefs available to Paramount</w:t>
      </w:r>
      <w:r w:rsidR="000E1617">
        <w:rPr>
          <w:rFonts w:ascii="Times New Roman" w:hAnsi="Times New Roman" w:cs="Times New Roman"/>
          <w:bCs/>
          <w:sz w:val="28"/>
          <w:szCs w:val="28"/>
        </w:rPr>
        <w:t xml:space="preserve"> and I agreed that the parties could make further submissions on this issue</w:t>
      </w:r>
      <w:r w:rsidR="00137E6F">
        <w:rPr>
          <w:rFonts w:ascii="Times New Roman" w:hAnsi="Times New Roman" w:cs="Times New Roman"/>
          <w:bCs/>
          <w:sz w:val="28"/>
          <w:szCs w:val="28"/>
        </w:rPr>
        <w:t>. I</w:t>
      </w:r>
      <w:r w:rsidR="00934F21" w:rsidRPr="00137E6F">
        <w:rPr>
          <w:rFonts w:ascii="Times New Roman" w:hAnsi="Times New Roman" w:cs="Times New Roman"/>
          <w:bCs/>
          <w:sz w:val="28"/>
          <w:szCs w:val="28"/>
        </w:rPr>
        <w:t xml:space="preserve"> </w:t>
      </w:r>
      <w:r w:rsidR="007A1911" w:rsidRPr="00137E6F">
        <w:rPr>
          <w:rFonts w:ascii="Times New Roman" w:hAnsi="Times New Roman" w:cs="Times New Roman"/>
          <w:bCs/>
          <w:sz w:val="28"/>
          <w:szCs w:val="28"/>
        </w:rPr>
        <w:t xml:space="preserve">heard </w:t>
      </w:r>
      <w:r w:rsidR="00137E6F">
        <w:rPr>
          <w:rFonts w:ascii="Times New Roman" w:hAnsi="Times New Roman" w:cs="Times New Roman"/>
          <w:bCs/>
          <w:sz w:val="28"/>
          <w:szCs w:val="28"/>
        </w:rPr>
        <w:t>the</w:t>
      </w:r>
      <w:r w:rsidR="007A1911" w:rsidRPr="00137E6F">
        <w:rPr>
          <w:rFonts w:ascii="Times New Roman" w:hAnsi="Times New Roman" w:cs="Times New Roman"/>
          <w:bCs/>
          <w:sz w:val="28"/>
          <w:szCs w:val="28"/>
        </w:rPr>
        <w:t xml:space="preserve"> application for summary judgment on June 3, 202</w:t>
      </w:r>
      <w:r w:rsidR="00137E6F">
        <w:rPr>
          <w:rFonts w:ascii="Times New Roman" w:hAnsi="Times New Roman" w:cs="Times New Roman"/>
          <w:bCs/>
          <w:sz w:val="28"/>
          <w:szCs w:val="28"/>
        </w:rPr>
        <w:t>5</w:t>
      </w:r>
      <w:r w:rsidR="00687293">
        <w:rPr>
          <w:rFonts w:ascii="Times New Roman" w:hAnsi="Times New Roman" w:cs="Times New Roman"/>
          <w:bCs/>
          <w:sz w:val="28"/>
          <w:szCs w:val="28"/>
        </w:rPr>
        <w:t xml:space="preserve">. </w:t>
      </w:r>
    </w:p>
    <w:p w14:paraId="6F5B5B94" w14:textId="77777777" w:rsidR="00C87D59" w:rsidRDefault="00C87D59" w:rsidP="00C87D59">
      <w:pPr>
        <w:pStyle w:val="ListParagraph"/>
        <w:spacing w:after="0" w:line="240" w:lineRule="auto"/>
        <w:ind w:left="0"/>
        <w:jc w:val="both"/>
        <w:rPr>
          <w:rFonts w:ascii="Times New Roman" w:hAnsi="Times New Roman" w:cs="Times New Roman"/>
          <w:bCs/>
          <w:sz w:val="28"/>
          <w:szCs w:val="28"/>
        </w:rPr>
      </w:pPr>
    </w:p>
    <w:p w14:paraId="673B94DA" w14:textId="09048942" w:rsidR="00746228" w:rsidRPr="00F12AE5" w:rsidRDefault="00EA6E4D" w:rsidP="003673CF">
      <w:pPr>
        <w:pStyle w:val="ListParagraph"/>
        <w:numPr>
          <w:ilvl w:val="0"/>
          <w:numId w:val="1"/>
        </w:numPr>
        <w:spacing w:after="0" w:line="240" w:lineRule="auto"/>
        <w:jc w:val="both"/>
        <w:rPr>
          <w:rFonts w:ascii="Times New Roman" w:hAnsi="Times New Roman" w:cs="Times New Roman"/>
          <w:bCs/>
          <w:sz w:val="28"/>
          <w:szCs w:val="28"/>
        </w:rPr>
      </w:pPr>
      <w:r w:rsidRPr="005B7F04">
        <w:rPr>
          <w:rFonts w:ascii="Times New Roman" w:hAnsi="Times New Roman" w:cs="Times New Roman"/>
          <w:bCs/>
          <w:sz w:val="28"/>
          <w:szCs w:val="28"/>
        </w:rPr>
        <w:t xml:space="preserve">ADK says </w:t>
      </w:r>
      <w:r w:rsidR="00CA7896" w:rsidRPr="005B7F04">
        <w:rPr>
          <w:rFonts w:ascii="Times New Roman" w:hAnsi="Times New Roman" w:cs="Times New Roman"/>
          <w:bCs/>
          <w:sz w:val="28"/>
          <w:szCs w:val="28"/>
        </w:rPr>
        <w:t xml:space="preserve">there is no authority </w:t>
      </w:r>
      <w:r w:rsidR="00DD64E7" w:rsidRPr="005B7F04">
        <w:rPr>
          <w:rFonts w:ascii="Times New Roman" w:hAnsi="Times New Roman" w:cs="Times New Roman"/>
          <w:bCs/>
          <w:sz w:val="28"/>
          <w:szCs w:val="28"/>
        </w:rPr>
        <w:t>in</w:t>
      </w:r>
      <w:r w:rsidR="00CA7896" w:rsidRPr="005B7F04">
        <w:rPr>
          <w:rFonts w:ascii="Times New Roman" w:hAnsi="Times New Roman" w:cs="Times New Roman"/>
          <w:bCs/>
          <w:sz w:val="28"/>
          <w:szCs w:val="28"/>
        </w:rPr>
        <w:t xml:space="preserve"> this jurisdiction that support</w:t>
      </w:r>
      <w:r w:rsidR="00DF01EA" w:rsidRPr="005B7F04">
        <w:rPr>
          <w:rFonts w:ascii="Times New Roman" w:hAnsi="Times New Roman" w:cs="Times New Roman"/>
          <w:bCs/>
          <w:sz w:val="28"/>
          <w:szCs w:val="28"/>
        </w:rPr>
        <w:t>s</w:t>
      </w:r>
      <w:r w:rsidR="00CA7896" w:rsidRPr="005B7F04">
        <w:rPr>
          <w:rFonts w:ascii="Times New Roman" w:hAnsi="Times New Roman" w:cs="Times New Roman"/>
          <w:bCs/>
          <w:sz w:val="28"/>
          <w:szCs w:val="28"/>
        </w:rPr>
        <w:t xml:space="preserve"> </w:t>
      </w:r>
      <w:r w:rsidR="00420605" w:rsidRPr="005B7F04">
        <w:rPr>
          <w:rFonts w:ascii="Times New Roman" w:hAnsi="Times New Roman" w:cs="Times New Roman"/>
          <w:bCs/>
          <w:sz w:val="28"/>
          <w:szCs w:val="28"/>
        </w:rPr>
        <w:t xml:space="preserve">the dismissal of the action </w:t>
      </w:r>
      <w:r w:rsidR="00B6443E" w:rsidRPr="005B7F04">
        <w:rPr>
          <w:rFonts w:ascii="Times New Roman" w:hAnsi="Times New Roman" w:cs="Times New Roman"/>
          <w:bCs/>
          <w:sz w:val="28"/>
          <w:szCs w:val="28"/>
        </w:rPr>
        <w:t>by</w:t>
      </w:r>
      <w:r w:rsidR="00420605" w:rsidRPr="005B7F04">
        <w:rPr>
          <w:rFonts w:ascii="Times New Roman" w:hAnsi="Times New Roman" w:cs="Times New Roman"/>
          <w:bCs/>
          <w:sz w:val="28"/>
          <w:szCs w:val="28"/>
        </w:rPr>
        <w:t xml:space="preserve"> the non-moving party on an application for summary judgment, which </w:t>
      </w:r>
      <w:r w:rsidR="00EA1BCE">
        <w:rPr>
          <w:rFonts w:ascii="Times New Roman" w:hAnsi="Times New Roman" w:cs="Times New Roman"/>
          <w:bCs/>
          <w:sz w:val="28"/>
          <w:szCs w:val="28"/>
        </w:rPr>
        <w:t>has been</w:t>
      </w:r>
      <w:r w:rsidRPr="005B7F04">
        <w:rPr>
          <w:rFonts w:ascii="Times New Roman" w:hAnsi="Times New Roman" w:cs="Times New Roman"/>
          <w:bCs/>
          <w:sz w:val="28"/>
          <w:szCs w:val="28"/>
        </w:rPr>
        <w:t xml:space="preserve"> referred to</w:t>
      </w:r>
      <w:r w:rsidR="00E022DB">
        <w:rPr>
          <w:rFonts w:ascii="Times New Roman" w:hAnsi="Times New Roman" w:cs="Times New Roman"/>
          <w:bCs/>
          <w:sz w:val="28"/>
          <w:szCs w:val="28"/>
        </w:rPr>
        <w:t xml:space="preserve"> </w:t>
      </w:r>
      <w:r w:rsidRPr="005B7F04">
        <w:rPr>
          <w:rFonts w:ascii="Times New Roman" w:hAnsi="Times New Roman" w:cs="Times New Roman"/>
          <w:bCs/>
          <w:sz w:val="28"/>
          <w:szCs w:val="28"/>
        </w:rPr>
        <w:t xml:space="preserve">as a </w:t>
      </w:r>
      <w:r w:rsidR="00CA7896" w:rsidRPr="005B7F04">
        <w:rPr>
          <w:rFonts w:ascii="Times New Roman" w:hAnsi="Times New Roman" w:cs="Times New Roman"/>
          <w:bCs/>
          <w:sz w:val="28"/>
          <w:szCs w:val="28"/>
        </w:rPr>
        <w:t>“boomerang</w:t>
      </w:r>
      <w:r w:rsidR="00A76DFD" w:rsidRPr="005B7F04">
        <w:rPr>
          <w:rFonts w:ascii="Times New Roman" w:hAnsi="Times New Roman" w:cs="Times New Roman"/>
          <w:bCs/>
          <w:sz w:val="28"/>
          <w:szCs w:val="28"/>
        </w:rPr>
        <w:t xml:space="preserve"> </w:t>
      </w:r>
      <w:r w:rsidR="00CA7896" w:rsidRPr="005B7F04">
        <w:rPr>
          <w:rFonts w:ascii="Times New Roman" w:hAnsi="Times New Roman" w:cs="Times New Roman"/>
          <w:bCs/>
          <w:sz w:val="28"/>
          <w:szCs w:val="28"/>
        </w:rPr>
        <w:t>summary</w:t>
      </w:r>
      <w:r w:rsidR="008131A8" w:rsidRPr="005B7F04">
        <w:rPr>
          <w:rFonts w:ascii="Times New Roman" w:hAnsi="Times New Roman" w:cs="Times New Roman"/>
          <w:bCs/>
          <w:sz w:val="28"/>
          <w:szCs w:val="28"/>
        </w:rPr>
        <w:t xml:space="preserve"> judgment</w:t>
      </w:r>
      <w:r w:rsidR="00A76DFD" w:rsidRPr="005B7F04">
        <w:rPr>
          <w:rFonts w:ascii="Times New Roman" w:hAnsi="Times New Roman" w:cs="Times New Roman"/>
          <w:bCs/>
          <w:sz w:val="28"/>
          <w:szCs w:val="28"/>
        </w:rPr>
        <w:t>”</w:t>
      </w:r>
      <w:r w:rsidR="00EA1BCE">
        <w:rPr>
          <w:rFonts w:ascii="Times New Roman" w:hAnsi="Times New Roman" w:cs="Times New Roman"/>
          <w:bCs/>
          <w:sz w:val="28"/>
          <w:szCs w:val="28"/>
        </w:rPr>
        <w:t xml:space="preserve"> or a “reverse summary judgment”</w:t>
      </w:r>
      <w:r w:rsidR="00420605" w:rsidRPr="005B7F04">
        <w:rPr>
          <w:rFonts w:ascii="Times New Roman" w:hAnsi="Times New Roman" w:cs="Times New Roman"/>
          <w:bCs/>
          <w:sz w:val="28"/>
          <w:szCs w:val="28"/>
        </w:rPr>
        <w:t xml:space="preserve">. </w:t>
      </w:r>
      <w:r w:rsidR="00DD64E7" w:rsidRPr="003673CF">
        <w:rPr>
          <w:rFonts w:ascii="Times New Roman" w:hAnsi="Times New Roman" w:cs="Times New Roman"/>
          <w:bCs/>
          <w:sz w:val="28"/>
          <w:szCs w:val="28"/>
        </w:rPr>
        <w:t xml:space="preserve">ADK </w:t>
      </w:r>
      <w:r w:rsidR="00420605" w:rsidRPr="003673CF">
        <w:rPr>
          <w:rFonts w:ascii="Times New Roman" w:hAnsi="Times New Roman" w:cs="Times New Roman"/>
          <w:bCs/>
          <w:sz w:val="28"/>
          <w:szCs w:val="28"/>
        </w:rPr>
        <w:t xml:space="preserve">argues </w:t>
      </w:r>
      <w:r w:rsidR="00EA1BCE" w:rsidRPr="003673CF">
        <w:rPr>
          <w:rFonts w:ascii="Times New Roman" w:hAnsi="Times New Roman" w:cs="Times New Roman"/>
          <w:bCs/>
          <w:sz w:val="28"/>
          <w:szCs w:val="28"/>
        </w:rPr>
        <w:t>reverse</w:t>
      </w:r>
      <w:r w:rsidR="00A76DFD" w:rsidRPr="003673CF">
        <w:rPr>
          <w:rFonts w:ascii="Times New Roman" w:hAnsi="Times New Roman" w:cs="Times New Roman"/>
          <w:bCs/>
          <w:sz w:val="28"/>
          <w:szCs w:val="28"/>
        </w:rPr>
        <w:t xml:space="preserve"> summary judgments </w:t>
      </w:r>
      <w:r w:rsidR="00AF355A" w:rsidRPr="003673CF">
        <w:rPr>
          <w:rFonts w:ascii="Times New Roman" w:hAnsi="Times New Roman" w:cs="Times New Roman"/>
          <w:bCs/>
          <w:sz w:val="28"/>
          <w:szCs w:val="28"/>
        </w:rPr>
        <w:t>ha</w:t>
      </w:r>
      <w:r w:rsidR="00A76DFD" w:rsidRPr="003673CF">
        <w:rPr>
          <w:rFonts w:ascii="Times New Roman" w:hAnsi="Times New Roman" w:cs="Times New Roman"/>
          <w:bCs/>
          <w:sz w:val="28"/>
          <w:szCs w:val="28"/>
        </w:rPr>
        <w:t>ve</w:t>
      </w:r>
      <w:r w:rsidR="00AF355A" w:rsidRPr="003673CF">
        <w:rPr>
          <w:rFonts w:ascii="Times New Roman" w:hAnsi="Times New Roman" w:cs="Times New Roman"/>
          <w:bCs/>
          <w:sz w:val="28"/>
          <w:szCs w:val="28"/>
        </w:rPr>
        <w:t xml:space="preserve"> not been widely accepted outside</w:t>
      </w:r>
      <w:r w:rsidR="00460FC8" w:rsidRPr="003673CF">
        <w:rPr>
          <w:rFonts w:ascii="Times New Roman" w:hAnsi="Times New Roman" w:cs="Times New Roman"/>
          <w:bCs/>
          <w:sz w:val="28"/>
          <w:szCs w:val="28"/>
        </w:rPr>
        <w:t xml:space="preserve"> of</w:t>
      </w:r>
      <w:r w:rsidR="00AF355A" w:rsidRPr="003673CF">
        <w:rPr>
          <w:rFonts w:ascii="Times New Roman" w:hAnsi="Times New Roman" w:cs="Times New Roman"/>
          <w:bCs/>
          <w:sz w:val="28"/>
          <w:szCs w:val="28"/>
        </w:rPr>
        <w:t xml:space="preserve"> Ontario. </w:t>
      </w:r>
      <w:r w:rsidR="00125785" w:rsidRPr="003673CF">
        <w:rPr>
          <w:rFonts w:ascii="Times New Roman" w:hAnsi="Times New Roman" w:cs="Times New Roman"/>
          <w:bCs/>
          <w:sz w:val="28"/>
          <w:szCs w:val="28"/>
        </w:rPr>
        <w:t>It submit</w:t>
      </w:r>
      <w:r w:rsidR="00E3233B" w:rsidRPr="003673CF">
        <w:rPr>
          <w:rFonts w:ascii="Times New Roman" w:hAnsi="Times New Roman" w:cs="Times New Roman"/>
          <w:bCs/>
          <w:sz w:val="28"/>
          <w:szCs w:val="28"/>
        </w:rPr>
        <w:t>s</w:t>
      </w:r>
      <w:r w:rsidR="00125785" w:rsidRPr="003673CF">
        <w:rPr>
          <w:rFonts w:ascii="Times New Roman" w:hAnsi="Times New Roman" w:cs="Times New Roman"/>
          <w:bCs/>
          <w:sz w:val="28"/>
          <w:szCs w:val="28"/>
        </w:rPr>
        <w:t xml:space="preserve"> that the foundational case on </w:t>
      </w:r>
      <w:r w:rsidR="00AB0C37" w:rsidRPr="003673CF">
        <w:rPr>
          <w:rFonts w:ascii="Times New Roman" w:hAnsi="Times New Roman" w:cs="Times New Roman"/>
          <w:bCs/>
          <w:sz w:val="28"/>
          <w:szCs w:val="28"/>
        </w:rPr>
        <w:t>reverse</w:t>
      </w:r>
      <w:r w:rsidR="00125785" w:rsidRPr="003673CF">
        <w:rPr>
          <w:rFonts w:ascii="Times New Roman" w:hAnsi="Times New Roman" w:cs="Times New Roman"/>
          <w:bCs/>
          <w:sz w:val="28"/>
          <w:szCs w:val="28"/>
        </w:rPr>
        <w:t xml:space="preserve"> summary judgments is </w:t>
      </w:r>
      <w:r w:rsidR="005B731B" w:rsidRPr="003673CF">
        <w:rPr>
          <w:rFonts w:ascii="Times New Roman" w:hAnsi="Times New Roman" w:cs="Times New Roman"/>
          <w:bCs/>
          <w:i/>
          <w:iCs/>
          <w:sz w:val="28"/>
          <w:szCs w:val="28"/>
        </w:rPr>
        <w:t>King Lofts Toronto I Ltd v Emmons</w:t>
      </w:r>
      <w:r w:rsidR="005B731B" w:rsidRPr="003673CF">
        <w:rPr>
          <w:rFonts w:ascii="Times New Roman" w:hAnsi="Times New Roman" w:cs="Times New Roman"/>
          <w:bCs/>
          <w:sz w:val="28"/>
          <w:szCs w:val="28"/>
        </w:rPr>
        <w:t>, 2013 ONSC 6113</w:t>
      </w:r>
      <w:r w:rsidR="00AB0C37" w:rsidRPr="003673CF">
        <w:rPr>
          <w:rFonts w:ascii="Times New Roman" w:hAnsi="Times New Roman" w:cs="Times New Roman"/>
          <w:bCs/>
          <w:sz w:val="28"/>
          <w:szCs w:val="28"/>
        </w:rPr>
        <w:t xml:space="preserve">. ADK claims </w:t>
      </w:r>
      <w:r w:rsidR="00E3233B" w:rsidRPr="003673CF">
        <w:rPr>
          <w:rFonts w:ascii="Times New Roman" w:hAnsi="Times New Roman" w:cs="Times New Roman"/>
          <w:bCs/>
          <w:sz w:val="28"/>
          <w:szCs w:val="28"/>
        </w:rPr>
        <w:t>that t</w:t>
      </w:r>
      <w:r w:rsidR="00C715DE" w:rsidRPr="003673CF">
        <w:rPr>
          <w:rFonts w:ascii="Times New Roman" w:hAnsi="Times New Roman" w:cs="Times New Roman"/>
          <w:bCs/>
          <w:sz w:val="28"/>
          <w:szCs w:val="28"/>
        </w:rPr>
        <w:t>he outcome</w:t>
      </w:r>
      <w:r w:rsidR="00CA6138" w:rsidRPr="003673CF">
        <w:rPr>
          <w:rFonts w:ascii="Times New Roman" w:hAnsi="Times New Roman" w:cs="Times New Roman"/>
          <w:bCs/>
          <w:sz w:val="28"/>
          <w:szCs w:val="28"/>
        </w:rPr>
        <w:t xml:space="preserve"> of this case</w:t>
      </w:r>
      <w:r w:rsidR="00C715DE" w:rsidRPr="003673CF">
        <w:rPr>
          <w:rFonts w:ascii="Times New Roman" w:hAnsi="Times New Roman" w:cs="Times New Roman"/>
          <w:bCs/>
          <w:sz w:val="28"/>
          <w:szCs w:val="28"/>
        </w:rPr>
        <w:t xml:space="preserve"> is grounded in the </w:t>
      </w:r>
      <w:r w:rsidR="008A7C10" w:rsidRPr="003673CF">
        <w:rPr>
          <w:rFonts w:ascii="Times New Roman" w:hAnsi="Times New Roman" w:cs="Times New Roman"/>
          <w:bCs/>
          <w:sz w:val="28"/>
          <w:szCs w:val="28"/>
        </w:rPr>
        <w:t>Ontario</w:t>
      </w:r>
      <w:r w:rsidR="00C715DE" w:rsidRPr="003673CF">
        <w:rPr>
          <w:rFonts w:ascii="Times New Roman" w:hAnsi="Times New Roman" w:cs="Times New Roman"/>
          <w:bCs/>
          <w:sz w:val="28"/>
          <w:szCs w:val="28"/>
        </w:rPr>
        <w:t xml:space="preserve"> </w:t>
      </w:r>
      <w:r w:rsidR="00E03F44" w:rsidRPr="003673CF">
        <w:rPr>
          <w:rFonts w:ascii="Times New Roman" w:hAnsi="Times New Roman" w:cs="Times New Roman"/>
          <w:bCs/>
          <w:i/>
          <w:iCs/>
          <w:sz w:val="28"/>
          <w:szCs w:val="28"/>
        </w:rPr>
        <w:t>R</w:t>
      </w:r>
      <w:r w:rsidR="00C715DE" w:rsidRPr="003673CF">
        <w:rPr>
          <w:rFonts w:ascii="Times New Roman" w:hAnsi="Times New Roman" w:cs="Times New Roman"/>
          <w:bCs/>
          <w:i/>
          <w:iCs/>
          <w:sz w:val="28"/>
          <w:szCs w:val="28"/>
        </w:rPr>
        <w:t xml:space="preserve">ules of </w:t>
      </w:r>
      <w:r w:rsidR="00E03F44" w:rsidRPr="003673CF">
        <w:rPr>
          <w:rFonts w:ascii="Times New Roman" w:hAnsi="Times New Roman" w:cs="Times New Roman"/>
          <w:bCs/>
          <w:i/>
          <w:iCs/>
          <w:sz w:val="28"/>
          <w:szCs w:val="28"/>
        </w:rPr>
        <w:t>C</w:t>
      </w:r>
      <w:r w:rsidR="00CA6138" w:rsidRPr="003673CF">
        <w:rPr>
          <w:rFonts w:ascii="Times New Roman" w:hAnsi="Times New Roman" w:cs="Times New Roman"/>
          <w:bCs/>
          <w:i/>
          <w:iCs/>
          <w:sz w:val="28"/>
          <w:szCs w:val="28"/>
        </w:rPr>
        <w:t xml:space="preserve">ivil </w:t>
      </w:r>
      <w:r w:rsidR="00E03F44" w:rsidRPr="003673CF">
        <w:rPr>
          <w:rFonts w:ascii="Times New Roman" w:hAnsi="Times New Roman" w:cs="Times New Roman"/>
          <w:bCs/>
          <w:i/>
          <w:iCs/>
          <w:sz w:val="28"/>
          <w:szCs w:val="28"/>
        </w:rPr>
        <w:t>P</w:t>
      </w:r>
      <w:r w:rsidR="00CA6138" w:rsidRPr="003673CF">
        <w:rPr>
          <w:rFonts w:ascii="Times New Roman" w:hAnsi="Times New Roman" w:cs="Times New Roman"/>
          <w:bCs/>
          <w:i/>
          <w:iCs/>
          <w:sz w:val="28"/>
          <w:szCs w:val="28"/>
        </w:rPr>
        <w:t>rocedure</w:t>
      </w:r>
      <w:r w:rsidR="00CA6138" w:rsidRPr="003673CF">
        <w:rPr>
          <w:rFonts w:ascii="Times New Roman" w:hAnsi="Times New Roman" w:cs="Times New Roman"/>
          <w:bCs/>
          <w:sz w:val="28"/>
          <w:szCs w:val="28"/>
        </w:rPr>
        <w:t xml:space="preserve">, which are different from the </w:t>
      </w:r>
      <w:r w:rsidR="00CA6138" w:rsidRPr="003673CF">
        <w:rPr>
          <w:rFonts w:ascii="Times New Roman" w:hAnsi="Times New Roman" w:cs="Times New Roman"/>
          <w:bCs/>
          <w:i/>
          <w:iCs/>
          <w:sz w:val="28"/>
          <w:szCs w:val="28"/>
        </w:rPr>
        <w:t xml:space="preserve">Rules of the Supreme Court of the </w:t>
      </w:r>
      <w:r w:rsidR="00CA6138" w:rsidRPr="003673CF">
        <w:rPr>
          <w:rFonts w:ascii="Times New Roman" w:hAnsi="Times New Roman" w:cs="Times New Roman"/>
          <w:bCs/>
          <w:i/>
          <w:iCs/>
          <w:sz w:val="28"/>
          <w:szCs w:val="28"/>
        </w:rPr>
        <w:lastRenderedPageBreak/>
        <w:t>Northwest Territories</w:t>
      </w:r>
      <w:r w:rsidR="00CA6138" w:rsidRPr="003673CF">
        <w:rPr>
          <w:rFonts w:ascii="Times New Roman" w:hAnsi="Times New Roman" w:cs="Times New Roman"/>
          <w:bCs/>
          <w:sz w:val="28"/>
          <w:szCs w:val="28"/>
        </w:rPr>
        <w:t xml:space="preserve"> </w:t>
      </w:r>
      <w:r w:rsidR="008B02FF" w:rsidRPr="003673CF">
        <w:rPr>
          <w:rFonts w:ascii="Times New Roman" w:hAnsi="Times New Roman" w:cs="Times New Roman"/>
          <w:bCs/>
          <w:sz w:val="28"/>
          <w:szCs w:val="28"/>
        </w:rPr>
        <w:t xml:space="preserve">(the </w:t>
      </w:r>
      <w:r w:rsidR="008B02FF" w:rsidRPr="003673CF">
        <w:rPr>
          <w:rFonts w:ascii="Times New Roman" w:hAnsi="Times New Roman" w:cs="Times New Roman"/>
          <w:bCs/>
          <w:i/>
          <w:iCs/>
          <w:sz w:val="28"/>
          <w:szCs w:val="28"/>
        </w:rPr>
        <w:t>Rules</w:t>
      </w:r>
      <w:r w:rsidR="008B02FF" w:rsidRPr="003673CF">
        <w:rPr>
          <w:rFonts w:ascii="Times New Roman" w:hAnsi="Times New Roman" w:cs="Times New Roman"/>
          <w:bCs/>
          <w:sz w:val="28"/>
          <w:szCs w:val="28"/>
        </w:rPr>
        <w:t xml:space="preserve">). </w:t>
      </w:r>
      <w:r w:rsidR="002779A2" w:rsidRPr="003673CF">
        <w:rPr>
          <w:rFonts w:ascii="Times New Roman" w:hAnsi="Times New Roman" w:cs="Times New Roman"/>
          <w:bCs/>
          <w:sz w:val="28"/>
          <w:szCs w:val="28"/>
        </w:rPr>
        <w:t>ADK acknowledges th</w:t>
      </w:r>
      <w:r w:rsidR="00CF3642" w:rsidRPr="003673CF">
        <w:rPr>
          <w:rFonts w:ascii="Times New Roman" w:hAnsi="Times New Roman" w:cs="Times New Roman"/>
          <w:bCs/>
          <w:sz w:val="28"/>
          <w:szCs w:val="28"/>
        </w:rPr>
        <w:t>at a majority of the</w:t>
      </w:r>
      <w:r w:rsidR="002779A2" w:rsidRPr="003673CF">
        <w:rPr>
          <w:rFonts w:ascii="Times New Roman" w:hAnsi="Times New Roman" w:cs="Times New Roman"/>
          <w:bCs/>
          <w:sz w:val="28"/>
          <w:szCs w:val="28"/>
        </w:rPr>
        <w:t xml:space="preserve"> Alberta Court of Appeal </w:t>
      </w:r>
      <w:r w:rsidR="003D1B89" w:rsidRPr="003673CF">
        <w:rPr>
          <w:rFonts w:ascii="Times New Roman" w:hAnsi="Times New Roman" w:cs="Times New Roman"/>
          <w:bCs/>
          <w:sz w:val="28"/>
          <w:szCs w:val="28"/>
        </w:rPr>
        <w:t xml:space="preserve">endorsed </w:t>
      </w:r>
      <w:r w:rsidR="008462F8" w:rsidRPr="003673CF">
        <w:rPr>
          <w:rFonts w:ascii="Times New Roman" w:hAnsi="Times New Roman" w:cs="Times New Roman"/>
          <w:bCs/>
          <w:sz w:val="28"/>
          <w:szCs w:val="28"/>
        </w:rPr>
        <w:t>such</w:t>
      </w:r>
      <w:r w:rsidR="002779A2" w:rsidRPr="003673CF">
        <w:rPr>
          <w:rFonts w:ascii="Times New Roman" w:hAnsi="Times New Roman" w:cs="Times New Roman"/>
          <w:bCs/>
          <w:sz w:val="28"/>
          <w:szCs w:val="28"/>
        </w:rPr>
        <w:t xml:space="preserve"> approach</w:t>
      </w:r>
      <w:r w:rsidR="008462F8" w:rsidRPr="003673CF">
        <w:rPr>
          <w:rFonts w:ascii="Times New Roman" w:hAnsi="Times New Roman" w:cs="Times New Roman"/>
          <w:bCs/>
          <w:sz w:val="28"/>
          <w:szCs w:val="28"/>
        </w:rPr>
        <w:t xml:space="preserve"> in</w:t>
      </w:r>
      <w:r w:rsidR="002779A2" w:rsidRPr="003673CF">
        <w:rPr>
          <w:rFonts w:ascii="Times New Roman" w:hAnsi="Times New Roman" w:cs="Times New Roman"/>
          <w:bCs/>
          <w:sz w:val="28"/>
          <w:szCs w:val="28"/>
        </w:rPr>
        <w:t xml:space="preserve"> </w:t>
      </w:r>
      <w:r w:rsidR="002779A2" w:rsidRPr="003673CF">
        <w:rPr>
          <w:rFonts w:ascii="Times New Roman" w:hAnsi="Times New Roman" w:cs="Times New Roman"/>
          <w:bCs/>
          <w:i/>
          <w:iCs/>
          <w:sz w:val="28"/>
          <w:szCs w:val="28"/>
        </w:rPr>
        <w:t>Pyrrha Design Inc v Plum and Posey Inc</w:t>
      </w:r>
      <w:r w:rsidR="002779A2" w:rsidRPr="003673CF">
        <w:rPr>
          <w:rFonts w:ascii="Times New Roman" w:hAnsi="Times New Roman" w:cs="Times New Roman"/>
          <w:bCs/>
          <w:sz w:val="28"/>
          <w:szCs w:val="28"/>
        </w:rPr>
        <w:t>, 2016 ABCA 12 [</w:t>
      </w:r>
      <w:r w:rsidR="002779A2" w:rsidRPr="003673CF">
        <w:rPr>
          <w:rFonts w:ascii="Times New Roman" w:hAnsi="Times New Roman" w:cs="Times New Roman"/>
          <w:bCs/>
          <w:i/>
          <w:iCs/>
          <w:sz w:val="28"/>
          <w:szCs w:val="28"/>
        </w:rPr>
        <w:t>Pyrrha Design</w:t>
      </w:r>
      <w:r w:rsidR="00FD1867" w:rsidRPr="003673CF">
        <w:rPr>
          <w:rFonts w:ascii="Times New Roman" w:hAnsi="Times New Roman" w:cs="Times New Roman"/>
          <w:bCs/>
          <w:sz w:val="28"/>
          <w:szCs w:val="28"/>
        </w:rPr>
        <w:t>]</w:t>
      </w:r>
      <w:r w:rsidR="00421015" w:rsidRPr="003673CF">
        <w:rPr>
          <w:rFonts w:ascii="Times New Roman" w:hAnsi="Times New Roman" w:cs="Times New Roman"/>
          <w:bCs/>
          <w:sz w:val="28"/>
          <w:szCs w:val="28"/>
        </w:rPr>
        <w:t xml:space="preserve"> but it</w:t>
      </w:r>
      <w:r w:rsidR="00444177" w:rsidRPr="003673CF">
        <w:rPr>
          <w:rFonts w:ascii="Times New Roman" w:hAnsi="Times New Roman" w:cs="Times New Roman"/>
          <w:bCs/>
          <w:sz w:val="28"/>
          <w:szCs w:val="28"/>
        </w:rPr>
        <w:t xml:space="preserve"> notes that this decision is not binding on this </w:t>
      </w:r>
      <w:r w:rsidR="00444177" w:rsidRPr="00F12AE5">
        <w:rPr>
          <w:rFonts w:ascii="Times New Roman" w:hAnsi="Times New Roman" w:cs="Times New Roman"/>
          <w:bCs/>
          <w:sz w:val="28"/>
          <w:szCs w:val="28"/>
        </w:rPr>
        <w:t>Court and</w:t>
      </w:r>
      <w:r w:rsidR="00421015" w:rsidRPr="00F12AE5">
        <w:rPr>
          <w:rFonts w:ascii="Times New Roman" w:hAnsi="Times New Roman" w:cs="Times New Roman"/>
          <w:bCs/>
          <w:sz w:val="28"/>
          <w:szCs w:val="28"/>
        </w:rPr>
        <w:t xml:space="preserve"> invites me to</w:t>
      </w:r>
      <w:r w:rsidR="00CF3642" w:rsidRPr="00F12AE5">
        <w:rPr>
          <w:rFonts w:ascii="Times New Roman" w:hAnsi="Times New Roman" w:cs="Times New Roman"/>
          <w:bCs/>
          <w:sz w:val="28"/>
          <w:szCs w:val="28"/>
        </w:rPr>
        <w:t xml:space="preserve"> adopt the position </w:t>
      </w:r>
      <w:r w:rsidR="00B6443E" w:rsidRPr="00F12AE5">
        <w:rPr>
          <w:rFonts w:ascii="Times New Roman" w:hAnsi="Times New Roman" w:cs="Times New Roman"/>
          <w:bCs/>
          <w:sz w:val="28"/>
          <w:szCs w:val="28"/>
        </w:rPr>
        <w:t xml:space="preserve">of </w:t>
      </w:r>
      <w:r w:rsidR="00BA09C1" w:rsidRPr="00F12AE5">
        <w:rPr>
          <w:rFonts w:ascii="Times New Roman" w:hAnsi="Times New Roman" w:cs="Times New Roman"/>
          <w:bCs/>
          <w:sz w:val="28"/>
          <w:szCs w:val="28"/>
        </w:rPr>
        <w:t xml:space="preserve">the dissenting </w:t>
      </w:r>
      <w:r w:rsidR="00204D92" w:rsidRPr="00F12AE5">
        <w:rPr>
          <w:rFonts w:ascii="Times New Roman" w:hAnsi="Times New Roman" w:cs="Times New Roman"/>
          <w:bCs/>
          <w:sz w:val="28"/>
          <w:szCs w:val="28"/>
        </w:rPr>
        <w:t>judge</w:t>
      </w:r>
      <w:r w:rsidR="00BA09C1" w:rsidRPr="00F12AE5">
        <w:rPr>
          <w:rFonts w:ascii="Times New Roman" w:hAnsi="Times New Roman" w:cs="Times New Roman"/>
          <w:bCs/>
          <w:sz w:val="28"/>
          <w:szCs w:val="28"/>
        </w:rPr>
        <w:t xml:space="preserve">. </w:t>
      </w:r>
      <w:r w:rsidR="002D4334" w:rsidRPr="00F12AE5">
        <w:rPr>
          <w:rFonts w:ascii="Times New Roman" w:hAnsi="Times New Roman" w:cs="Times New Roman"/>
          <w:bCs/>
          <w:sz w:val="28"/>
          <w:szCs w:val="28"/>
        </w:rPr>
        <w:t xml:space="preserve">In the alternative, if I accept that this relief is available to Paramount, ADK claims that it would be unfair to ADK to allow Paramount to seek this relief in the circumstances of this case. </w:t>
      </w:r>
      <w:r w:rsidR="00BA09C1" w:rsidRPr="00F12AE5">
        <w:rPr>
          <w:rFonts w:ascii="Times New Roman" w:hAnsi="Times New Roman" w:cs="Times New Roman"/>
          <w:bCs/>
          <w:sz w:val="28"/>
          <w:szCs w:val="28"/>
        </w:rPr>
        <w:t>ADK relies on</w:t>
      </w:r>
      <w:r w:rsidR="007B4543" w:rsidRPr="00F12AE5">
        <w:rPr>
          <w:rFonts w:ascii="Times New Roman" w:hAnsi="Times New Roman" w:cs="Times New Roman"/>
          <w:bCs/>
          <w:sz w:val="28"/>
          <w:szCs w:val="28"/>
        </w:rPr>
        <w:t xml:space="preserve"> </w:t>
      </w:r>
      <w:r w:rsidR="007B4543" w:rsidRPr="00F12AE5">
        <w:rPr>
          <w:rFonts w:ascii="Times New Roman" w:hAnsi="Times New Roman" w:cs="Times New Roman"/>
          <w:bCs/>
          <w:i/>
          <w:iCs/>
          <w:sz w:val="28"/>
          <w:szCs w:val="28"/>
        </w:rPr>
        <w:t>Canada Trust Company (</w:t>
      </w:r>
      <w:proofErr w:type="spellStart"/>
      <w:r w:rsidR="007B4543" w:rsidRPr="00F12AE5">
        <w:rPr>
          <w:rFonts w:ascii="Times New Roman" w:hAnsi="Times New Roman" w:cs="Times New Roman"/>
          <w:bCs/>
          <w:i/>
          <w:iCs/>
          <w:sz w:val="28"/>
          <w:szCs w:val="28"/>
        </w:rPr>
        <w:t>McDiarmaid</w:t>
      </w:r>
      <w:proofErr w:type="spellEnd"/>
      <w:r w:rsidR="007B4543" w:rsidRPr="00F12AE5">
        <w:rPr>
          <w:rFonts w:ascii="Times New Roman" w:hAnsi="Times New Roman" w:cs="Times New Roman"/>
          <w:bCs/>
          <w:i/>
          <w:iCs/>
          <w:sz w:val="28"/>
          <w:szCs w:val="28"/>
        </w:rPr>
        <w:t xml:space="preserve"> Estate</w:t>
      </w:r>
      <w:r w:rsidR="00A82A11" w:rsidRPr="00F12AE5">
        <w:rPr>
          <w:rFonts w:ascii="Times New Roman" w:hAnsi="Times New Roman" w:cs="Times New Roman"/>
          <w:bCs/>
          <w:i/>
          <w:iCs/>
          <w:sz w:val="28"/>
          <w:szCs w:val="28"/>
        </w:rPr>
        <w:t>) v Albert</w:t>
      </w:r>
      <w:r w:rsidR="00F12AE5" w:rsidRPr="00F12AE5">
        <w:rPr>
          <w:rFonts w:ascii="Times New Roman" w:hAnsi="Times New Roman" w:cs="Times New Roman"/>
          <w:bCs/>
          <w:i/>
          <w:iCs/>
          <w:sz w:val="28"/>
          <w:szCs w:val="28"/>
        </w:rPr>
        <w:t>a</w:t>
      </w:r>
      <w:r w:rsidR="00A82A11" w:rsidRPr="00F12AE5">
        <w:rPr>
          <w:rFonts w:ascii="Times New Roman" w:hAnsi="Times New Roman" w:cs="Times New Roman"/>
          <w:bCs/>
          <w:i/>
          <w:iCs/>
          <w:sz w:val="28"/>
          <w:szCs w:val="28"/>
        </w:rPr>
        <w:t xml:space="preserve"> (Infrastructure)</w:t>
      </w:r>
      <w:r w:rsidR="00A82A11" w:rsidRPr="00F12AE5">
        <w:rPr>
          <w:rFonts w:ascii="Times New Roman" w:hAnsi="Times New Roman" w:cs="Times New Roman"/>
          <w:bCs/>
          <w:sz w:val="28"/>
          <w:szCs w:val="28"/>
        </w:rPr>
        <w:t>, 2021 ABCA 53</w:t>
      </w:r>
      <w:r w:rsidR="00286AB3" w:rsidRPr="00F12AE5">
        <w:rPr>
          <w:rFonts w:ascii="Times New Roman" w:hAnsi="Times New Roman" w:cs="Times New Roman"/>
          <w:bCs/>
          <w:sz w:val="28"/>
          <w:szCs w:val="28"/>
        </w:rPr>
        <w:t xml:space="preserve"> [</w:t>
      </w:r>
      <w:r w:rsidR="00286AB3" w:rsidRPr="00F12AE5">
        <w:rPr>
          <w:rFonts w:ascii="Times New Roman" w:hAnsi="Times New Roman" w:cs="Times New Roman"/>
          <w:bCs/>
          <w:i/>
          <w:iCs/>
          <w:sz w:val="28"/>
          <w:szCs w:val="28"/>
        </w:rPr>
        <w:t>Canada Trust Company</w:t>
      </w:r>
      <w:r w:rsidR="00286AB3" w:rsidRPr="00F12AE5">
        <w:rPr>
          <w:rFonts w:ascii="Times New Roman" w:hAnsi="Times New Roman" w:cs="Times New Roman"/>
          <w:bCs/>
          <w:sz w:val="28"/>
          <w:szCs w:val="28"/>
        </w:rPr>
        <w:t>]</w:t>
      </w:r>
      <w:r w:rsidR="005F4BEA" w:rsidRPr="00F12AE5">
        <w:rPr>
          <w:rFonts w:ascii="Times New Roman" w:hAnsi="Times New Roman" w:cs="Times New Roman"/>
          <w:bCs/>
          <w:sz w:val="28"/>
          <w:szCs w:val="28"/>
        </w:rPr>
        <w:t xml:space="preserve">, </w:t>
      </w:r>
      <w:r w:rsidR="005F4BEA" w:rsidRPr="00F12AE5">
        <w:rPr>
          <w:rFonts w:ascii="Times New Roman" w:hAnsi="Times New Roman" w:cs="Times New Roman"/>
          <w:bCs/>
          <w:i/>
          <w:iCs/>
          <w:sz w:val="28"/>
          <w:szCs w:val="28"/>
        </w:rPr>
        <w:t>Drummond v Cadillac Fairview Corporation Limited</w:t>
      </w:r>
      <w:r w:rsidR="005F4BEA" w:rsidRPr="00F12AE5">
        <w:rPr>
          <w:rFonts w:ascii="Times New Roman" w:hAnsi="Times New Roman" w:cs="Times New Roman"/>
          <w:bCs/>
          <w:sz w:val="28"/>
          <w:szCs w:val="28"/>
        </w:rPr>
        <w:t>, 2019 ONCA 447</w:t>
      </w:r>
      <w:r w:rsidR="00895772" w:rsidRPr="00F12AE5">
        <w:rPr>
          <w:rFonts w:ascii="Times New Roman" w:hAnsi="Times New Roman" w:cs="Times New Roman"/>
          <w:bCs/>
          <w:sz w:val="28"/>
          <w:szCs w:val="28"/>
        </w:rPr>
        <w:t xml:space="preserve"> [</w:t>
      </w:r>
      <w:r w:rsidR="00895772" w:rsidRPr="00F12AE5">
        <w:rPr>
          <w:rFonts w:ascii="Times New Roman" w:hAnsi="Times New Roman" w:cs="Times New Roman"/>
          <w:bCs/>
          <w:i/>
          <w:iCs/>
          <w:sz w:val="28"/>
          <w:szCs w:val="28"/>
        </w:rPr>
        <w:t>Drummond</w:t>
      </w:r>
      <w:r w:rsidR="00895772" w:rsidRPr="00F12AE5">
        <w:rPr>
          <w:rFonts w:ascii="Times New Roman" w:hAnsi="Times New Roman" w:cs="Times New Roman"/>
          <w:bCs/>
          <w:sz w:val="28"/>
          <w:szCs w:val="28"/>
        </w:rPr>
        <w:t>]</w:t>
      </w:r>
      <w:r w:rsidR="005F4BEA" w:rsidRPr="00F12AE5">
        <w:rPr>
          <w:rFonts w:ascii="Times New Roman" w:hAnsi="Times New Roman" w:cs="Times New Roman"/>
          <w:bCs/>
          <w:sz w:val="28"/>
          <w:szCs w:val="28"/>
        </w:rPr>
        <w:t xml:space="preserve"> and </w:t>
      </w:r>
      <w:r w:rsidR="005F4BEA" w:rsidRPr="00F12AE5">
        <w:rPr>
          <w:rFonts w:ascii="Times New Roman" w:hAnsi="Times New Roman" w:cs="Times New Roman"/>
          <w:bCs/>
          <w:i/>
          <w:iCs/>
          <w:sz w:val="28"/>
          <w:szCs w:val="28"/>
        </w:rPr>
        <w:t>Graham v Toronto</w:t>
      </w:r>
      <w:r w:rsidR="00EF0B33" w:rsidRPr="00F12AE5">
        <w:rPr>
          <w:rFonts w:ascii="Times New Roman" w:hAnsi="Times New Roman" w:cs="Times New Roman"/>
          <w:bCs/>
          <w:i/>
          <w:iCs/>
          <w:sz w:val="28"/>
          <w:szCs w:val="28"/>
        </w:rPr>
        <w:t xml:space="preserve"> (City)</w:t>
      </w:r>
      <w:r w:rsidR="00EF0B33" w:rsidRPr="00F12AE5">
        <w:rPr>
          <w:rFonts w:ascii="Times New Roman" w:hAnsi="Times New Roman" w:cs="Times New Roman"/>
          <w:bCs/>
          <w:sz w:val="28"/>
          <w:szCs w:val="28"/>
        </w:rPr>
        <w:t>, 2022 ONCA 149</w:t>
      </w:r>
      <w:r w:rsidR="00895772" w:rsidRPr="00F12AE5">
        <w:rPr>
          <w:rFonts w:ascii="Times New Roman" w:hAnsi="Times New Roman" w:cs="Times New Roman"/>
          <w:bCs/>
          <w:sz w:val="28"/>
          <w:szCs w:val="28"/>
        </w:rPr>
        <w:t xml:space="preserve"> [</w:t>
      </w:r>
      <w:r w:rsidR="00895772" w:rsidRPr="00F12AE5">
        <w:rPr>
          <w:rFonts w:ascii="Times New Roman" w:hAnsi="Times New Roman" w:cs="Times New Roman"/>
          <w:bCs/>
          <w:i/>
          <w:iCs/>
          <w:sz w:val="28"/>
          <w:szCs w:val="28"/>
        </w:rPr>
        <w:t>Graham</w:t>
      </w:r>
      <w:r w:rsidR="00895772" w:rsidRPr="00F12AE5">
        <w:rPr>
          <w:rFonts w:ascii="Times New Roman" w:hAnsi="Times New Roman" w:cs="Times New Roman"/>
          <w:bCs/>
          <w:sz w:val="28"/>
          <w:szCs w:val="28"/>
        </w:rPr>
        <w:t>]</w:t>
      </w:r>
      <w:r w:rsidR="00D92CAC" w:rsidRPr="00F12AE5">
        <w:rPr>
          <w:rFonts w:ascii="Times New Roman" w:hAnsi="Times New Roman" w:cs="Times New Roman"/>
          <w:bCs/>
          <w:sz w:val="28"/>
          <w:szCs w:val="28"/>
        </w:rPr>
        <w:t>,</w:t>
      </w:r>
      <w:r w:rsidR="00BD3169" w:rsidRPr="00F12AE5">
        <w:rPr>
          <w:rFonts w:ascii="Times New Roman" w:hAnsi="Times New Roman" w:cs="Times New Roman"/>
          <w:bCs/>
          <w:sz w:val="28"/>
          <w:szCs w:val="28"/>
        </w:rPr>
        <w:t xml:space="preserve"> which have found that </w:t>
      </w:r>
      <w:r w:rsidR="000354DE" w:rsidRPr="00F12AE5">
        <w:rPr>
          <w:rFonts w:ascii="Times New Roman" w:hAnsi="Times New Roman" w:cs="Times New Roman"/>
          <w:bCs/>
          <w:sz w:val="28"/>
          <w:szCs w:val="28"/>
        </w:rPr>
        <w:t xml:space="preserve">granting </w:t>
      </w:r>
      <w:r w:rsidR="009A57D0" w:rsidRPr="00F12AE5">
        <w:rPr>
          <w:rFonts w:ascii="Times New Roman" w:hAnsi="Times New Roman" w:cs="Times New Roman"/>
          <w:bCs/>
          <w:sz w:val="28"/>
          <w:szCs w:val="28"/>
        </w:rPr>
        <w:t xml:space="preserve">a </w:t>
      </w:r>
      <w:r w:rsidR="00BD3169" w:rsidRPr="00F12AE5">
        <w:rPr>
          <w:rFonts w:ascii="Times New Roman" w:hAnsi="Times New Roman" w:cs="Times New Roman"/>
          <w:bCs/>
          <w:sz w:val="28"/>
          <w:szCs w:val="28"/>
        </w:rPr>
        <w:t>reverse</w:t>
      </w:r>
      <w:r w:rsidR="009A57D0" w:rsidRPr="00F12AE5">
        <w:rPr>
          <w:rFonts w:ascii="Times New Roman" w:hAnsi="Times New Roman" w:cs="Times New Roman"/>
          <w:bCs/>
          <w:sz w:val="28"/>
          <w:szCs w:val="28"/>
        </w:rPr>
        <w:t xml:space="preserve"> summary judgment would </w:t>
      </w:r>
      <w:r w:rsidR="00BD3169" w:rsidRPr="00F12AE5">
        <w:rPr>
          <w:rFonts w:ascii="Times New Roman" w:hAnsi="Times New Roman" w:cs="Times New Roman"/>
          <w:bCs/>
          <w:sz w:val="28"/>
          <w:szCs w:val="28"/>
        </w:rPr>
        <w:t>be unfair</w:t>
      </w:r>
      <w:r w:rsidR="009A57D0" w:rsidRPr="00F12AE5">
        <w:rPr>
          <w:rFonts w:ascii="Times New Roman" w:hAnsi="Times New Roman" w:cs="Times New Roman"/>
          <w:bCs/>
          <w:sz w:val="28"/>
          <w:szCs w:val="28"/>
        </w:rPr>
        <w:t xml:space="preserve"> in the absence of </w:t>
      </w:r>
      <w:r w:rsidR="00C74C08" w:rsidRPr="00F12AE5">
        <w:rPr>
          <w:rFonts w:ascii="Times New Roman" w:hAnsi="Times New Roman" w:cs="Times New Roman"/>
          <w:bCs/>
          <w:sz w:val="28"/>
          <w:szCs w:val="28"/>
        </w:rPr>
        <w:t>a</w:t>
      </w:r>
      <w:r w:rsidR="00812CF4" w:rsidRPr="00F12AE5">
        <w:rPr>
          <w:rFonts w:ascii="Times New Roman" w:hAnsi="Times New Roman" w:cs="Times New Roman"/>
          <w:bCs/>
          <w:sz w:val="28"/>
          <w:szCs w:val="28"/>
        </w:rPr>
        <w:t xml:space="preserve"> </w:t>
      </w:r>
      <w:r w:rsidR="00E0567C" w:rsidRPr="00F12AE5">
        <w:rPr>
          <w:rFonts w:ascii="Times New Roman" w:hAnsi="Times New Roman" w:cs="Times New Roman"/>
          <w:bCs/>
          <w:sz w:val="28"/>
          <w:szCs w:val="28"/>
        </w:rPr>
        <w:t>proper</w:t>
      </w:r>
      <w:r w:rsidR="00812CF4" w:rsidRPr="00F12AE5">
        <w:rPr>
          <w:rFonts w:ascii="Times New Roman" w:hAnsi="Times New Roman" w:cs="Times New Roman"/>
          <w:bCs/>
          <w:sz w:val="28"/>
          <w:szCs w:val="28"/>
        </w:rPr>
        <w:t xml:space="preserve"> </w:t>
      </w:r>
      <w:r w:rsidR="009A57D0" w:rsidRPr="00F12AE5">
        <w:rPr>
          <w:rFonts w:ascii="Times New Roman" w:hAnsi="Times New Roman" w:cs="Times New Roman"/>
          <w:bCs/>
          <w:sz w:val="28"/>
          <w:szCs w:val="28"/>
        </w:rPr>
        <w:t xml:space="preserve">formal or informal notice </w:t>
      </w:r>
      <w:r w:rsidR="00812CF4" w:rsidRPr="00F12AE5">
        <w:rPr>
          <w:rFonts w:ascii="Times New Roman" w:hAnsi="Times New Roman" w:cs="Times New Roman"/>
          <w:bCs/>
          <w:sz w:val="28"/>
          <w:szCs w:val="28"/>
        </w:rPr>
        <w:t>of a</w:t>
      </w:r>
      <w:r w:rsidR="002D4334" w:rsidRPr="00F12AE5">
        <w:rPr>
          <w:rFonts w:ascii="Times New Roman" w:hAnsi="Times New Roman" w:cs="Times New Roman"/>
          <w:bCs/>
          <w:sz w:val="28"/>
          <w:szCs w:val="28"/>
        </w:rPr>
        <w:t xml:space="preserve"> cross-application for summary judgment</w:t>
      </w:r>
      <w:r w:rsidR="00D347A5" w:rsidRPr="00F12AE5">
        <w:rPr>
          <w:rFonts w:ascii="Times New Roman" w:hAnsi="Times New Roman" w:cs="Times New Roman"/>
          <w:bCs/>
          <w:sz w:val="28"/>
          <w:szCs w:val="28"/>
        </w:rPr>
        <w:t>.</w:t>
      </w:r>
      <w:r w:rsidR="00CA7896" w:rsidRPr="00F12AE5">
        <w:rPr>
          <w:rFonts w:ascii="Times New Roman" w:hAnsi="Times New Roman" w:cs="Times New Roman"/>
          <w:bCs/>
          <w:sz w:val="28"/>
          <w:szCs w:val="28"/>
        </w:rPr>
        <w:t xml:space="preserve"> </w:t>
      </w:r>
    </w:p>
    <w:p w14:paraId="6E048884" w14:textId="77777777" w:rsidR="0029692D" w:rsidRDefault="0029692D" w:rsidP="0029692D">
      <w:pPr>
        <w:pStyle w:val="ListParagraph"/>
        <w:rPr>
          <w:rFonts w:ascii="Times New Roman" w:hAnsi="Times New Roman" w:cs="Times New Roman"/>
          <w:bCs/>
          <w:sz w:val="28"/>
          <w:szCs w:val="28"/>
        </w:rPr>
      </w:pPr>
    </w:p>
    <w:p w14:paraId="6264FC68" w14:textId="0E125C15" w:rsidR="00045871" w:rsidRDefault="0029692D" w:rsidP="00574350">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Paramount </w:t>
      </w:r>
      <w:r w:rsidR="00D354E0">
        <w:rPr>
          <w:rFonts w:ascii="Times New Roman" w:hAnsi="Times New Roman" w:cs="Times New Roman"/>
          <w:bCs/>
          <w:sz w:val="28"/>
          <w:szCs w:val="28"/>
        </w:rPr>
        <w:t>recognizes</w:t>
      </w:r>
      <w:r w:rsidR="00000BEA">
        <w:rPr>
          <w:rFonts w:ascii="Times New Roman" w:hAnsi="Times New Roman" w:cs="Times New Roman"/>
          <w:bCs/>
          <w:sz w:val="28"/>
          <w:szCs w:val="28"/>
        </w:rPr>
        <w:t xml:space="preserve"> </w:t>
      </w:r>
      <w:r w:rsidR="007A5DD3">
        <w:rPr>
          <w:rFonts w:ascii="Times New Roman" w:hAnsi="Times New Roman" w:cs="Times New Roman"/>
          <w:bCs/>
          <w:sz w:val="28"/>
          <w:szCs w:val="28"/>
        </w:rPr>
        <w:t>no decision from this jurisdiction</w:t>
      </w:r>
      <w:r w:rsidR="00000BEA">
        <w:rPr>
          <w:rFonts w:ascii="Times New Roman" w:hAnsi="Times New Roman" w:cs="Times New Roman"/>
          <w:bCs/>
          <w:sz w:val="28"/>
          <w:szCs w:val="28"/>
        </w:rPr>
        <w:t xml:space="preserve"> </w:t>
      </w:r>
      <w:r w:rsidR="007A5DD3">
        <w:rPr>
          <w:rFonts w:ascii="Times New Roman" w:hAnsi="Times New Roman" w:cs="Times New Roman"/>
          <w:bCs/>
          <w:sz w:val="28"/>
          <w:szCs w:val="28"/>
        </w:rPr>
        <w:t xml:space="preserve">has </w:t>
      </w:r>
      <w:r w:rsidR="00000BEA">
        <w:rPr>
          <w:rFonts w:ascii="Times New Roman" w:hAnsi="Times New Roman" w:cs="Times New Roman"/>
          <w:bCs/>
          <w:sz w:val="28"/>
          <w:szCs w:val="28"/>
        </w:rPr>
        <w:t>considered this issue</w:t>
      </w:r>
      <w:r w:rsidR="00D068DB">
        <w:rPr>
          <w:rFonts w:ascii="Times New Roman" w:hAnsi="Times New Roman" w:cs="Times New Roman"/>
          <w:bCs/>
          <w:sz w:val="28"/>
          <w:szCs w:val="28"/>
        </w:rPr>
        <w:t xml:space="preserve">, </w:t>
      </w:r>
      <w:r w:rsidR="00000BEA">
        <w:rPr>
          <w:rFonts w:ascii="Times New Roman" w:hAnsi="Times New Roman" w:cs="Times New Roman"/>
          <w:bCs/>
          <w:sz w:val="28"/>
          <w:szCs w:val="28"/>
        </w:rPr>
        <w:t xml:space="preserve">but </w:t>
      </w:r>
      <w:r w:rsidR="007A5DD3">
        <w:rPr>
          <w:rFonts w:ascii="Times New Roman" w:hAnsi="Times New Roman" w:cs="Times New Roman"/>
          <w:bCs/>
          <w:sz w:val="28"/>
          <w:szCs w:val="28"/>
        </w:rPr>
        <w:t>it</w:t>
      </w:r>
      <w:r w:rsidR="00000BEA">
        <w:rPr>
          <w:rFonts w:ascii="Times New Roman" w:hAnsi="Times New Roman" w:cs="Times New Roman"/>
          <w:bCs/>
          <w:sz w:val="28"/>
          <w:szCs w:val="28"/>
        </w:rPr>
        <w:t xml:space="preserve"> rel</w:t>
      </w:r>
      <w:r w:rsidR="007A5DD3">
        <w:rPr>
          <w:rFonts w:ascii="Times New Roman" w:hAnsi="Times New Roman" w:cs="Times New Roman"/>
          <w:bCs/>
          <w:sz w:val="28"/>
          <w:szCs w:val="28"/>
        </w:rPr>
        <w:t>ies</w:t>
      </w:r>
      <w:r w:rsidR="00000BEA">
        <w:rPr>
          <w:rFonts w:ascii="Times New Roman" w:hAnsi="Times New Roman" w:cs="Times New Roman"/>
          <w:bCs/>
          <w:sz w:val="28"/>
          <w:szCs w:val="28"/>
        </w:rPr>
        <w:t xml:space="preserve"> on </w:t>
      </w:r>
      <w:r w:rsidR="007A5DD3">
        <w:rPr>
          <w:rFonts w:ascii="Times New Roman" w:hAnsi="Times New Roman" w:cs="Times New Roman"/>
          <w:bCs/>
          <w:sz w:val="28"/>
          <w:szCs w:val="28"/>
        </w:rPr>
        <w:t>judgments</w:t>
      </w:r>
      <w:r w:rsidR="00000BEA">
        <w:rPr>
          <w:rFonts w:ascii="Times New Roman" w:hAnsi="Times New Roman" w:cs="Times New Roman"/>
          <w:bCs/>
          <w:sz w:val="28"/>
          <w:szCs w:val="28"/>
        </w:rPr>
        <w:t xml:space="preserve"> </w:t>
      </w:r>
      <w:r w:rsidR="00F60D2C">
        <w:rPr>
          <w:rFonts w:ascii="Times New Roman" w:hAnsi="Times New Roman" w:cs="Times New Roman"/>
          <w:bCs/>
          <w:sz w:val="28"/>
          <w:szCs w:val="28"/>
        </w:rPr>
        <w:t>from two appellate courts</w:t>
      </w:r>
      <w:r w:rsidR="00AB00D2">
        <w:rPr>
          <w:rFonts w:ascii="Times New Roman" w:hAnsi="Times New Roman" w:cs="Times New Roman"/>
          <w:bCs/>
          <w:sz w:val="28"/>
          <w:szCs w:val="28"/>
        </w:rPr>
        <w:t>,</w:t>
      </w:r>
      <w:r w:rsidR="00F60D2C">
        <w:rPr>
          <w:rFonts w:ascii="Times New Roman" w:hAnsi="Times New Roman" w:cs="Times New Roman"/>
          <w:bCs/>
          <w:sz w:val="28"/>
          <w:szCs w:val="28"/>
        </w:rPr>
        <w:t xml:space="preserve"> </w:t>
      </w:r>
      <w:r w:rsidR="00421015" w:rsidRPr="00FD1867">
        <w:rPr>
          <w:rFonts w:ascii="Times New Roman" w:hAnsi="Times New Roman" w:cs="Times New Roman"/>
          <w:bCs/>
          <w:i/>
          <w:iCs/>
          <w:sz w:val="28"/>
          <w:szCs w:val="28"/>
        </w:rPr>
        <w:t>Pyrrha Design</w:t>
      </w:r>
      <w:r w:rsidR="00421015">
        <w:rPr>
          <w:rFonts w:ascii="Times New Roman" w:hAnsi="Times New Roman" w:cs="Times New Roman"/>
          <w:bCs/>
          <w:sz w:val="28"/>
          <w:szCs w:val="28"/>
        </w:rPr>
        <w:t xml:space="preserve"> </w:t>
      </w:r>
      <w:r w:rsidR="00F60D2C">
        <w:rPr>
          <w:rFonts w:ascii="Times New Roman" w:hAnsi="Times New Roman" w:cs="Times New Roman"/>
          <w:bCs/>
          <w:sz w:val="28"/>
          <w:szCs w:val="28"/>
        </w:rPr>
        <w:t xml:space="preserve">and </w:t>
      </w:r>
      <w:proofErr w:type="spellStart"/>
      <w:r w:rsidR="00D068DB" w:rsidRPr="000E30A4">
        <w:rPr>
          <w:rFonts w:ascii="Times New Roman" w:hAnsi="Times New Roman" w:cs="Times New Roman"/>
          <w:bCs/>
          <w:i/>
          <w:iCs/>
          <w:sz w:val="28"/>
          <w:szCs w:val="28"/>
        </w:rPr>
        <w:t>Kassburg</w:t>
      </w:r>
      <w:proofErr w:type="spellEnd"/>
      <w:r w:rsidR="00D068DB" w:rsidRPr="000E30A4">
        <w:rPr>
          <w:rFonts w:ascii="Times New Roman" w:hAnsi="Times New Roman" w:cs="Times New Roman"/>
          <w:bCs/>
          <w:i/>
          <w:iCs/>
          <w:sz w:val="28"/>
          <w:szCs w:val="28"/>
        </w:rPr>
        <w:t xml:space="preserve"> v Sun Life Assurance Compa</w:t>
      </w:r>
      <w:r w:rsidR="000E30A4" w:rsidRPr="000E30A4">
        <w:rPr>
          <w:rFonts w:ascii="Times New Roman" w:hAnsi="Times New Roman" w:cs="Times New Roman"/>
          <w:bCs/>
          <w:i/>
          <w:iCs/>
          <w:sz w:val="28"/>
          <w:szCs w:val="28"/>
        </w:rPr>
        <w:t>ny of Canada</w:t>
      </w:r>
      <w:r w:rsidR="000E30A4">
        <w:rPr>
          <w:rFonts w:ascii="Times New Roman" w:hAnsi="Times New Roman" w:cs="Times New Roman"/>
          <w:bCs/>
          <w:sz w:val="28"/>
          <w:szCs w:val="28"/>
        </w:rPr>
        <w:t xml:space="preserve">, 2014 ONCA 922 </w:t>
      </w:r>
      <w:r w:rsidR="000C3285">
        <w:rPr>
          <w:rFonts w:ascii="Times New Roman" w:hAnsi="Times New Roman" w:cs="Times New Roman"/>
          <w:bCs/>
          <w:sz w:val="28"/>
          <w:szCs w:val="28"/>
        </w:rPr>
        <w:t>[</w:t>
      </w:r>
      <w:proofErr w:type="spellStart"/>
      <w:r w:rsidR="000C3285" w:rsidRPr="00AB00D2">
        <w:rPr>
          <w:rFonts w:ascii="Times New Roman" w:hAnsi="Times New Roman" w:cs="Times New Roman"/>
          <w:bCs/>
          <w:i/>
          <w:iCs/>
          <w:sz w:val="28"/>
          <w:szCs w:val="28"/>
        </w:rPr>
        <w:t>Kassbu</w:t>
      </w:r>
      <w:r w:rsidR="00AB00D2" w:rsidRPr="00AB00D2">
        <w:rPr>
          <w:rFonts w:ascii="Times New Roman" w:hAnsi="Times New Roman" w:cs="Times New Roman"/>
          <w:bCs/>
          <w:i/>
          <w:iCs/>
          <w:sz w:val="28"/>
          <w:szCs w:val="28"/>
        </w:rPr>
        <w:t>rg</w:t>
      </w:r>
      <w:proofErr w:type="spellEnd"/>
      <w:r w:rsidR="00AB00D2">
        <w:rPr>
          <w:rFonts w:ascii="Times New Roman" w:hAnsi="Times New Roman" w:cs="Times New Roman"/>
          <w:bCs/>
          <w:sz w:val="28"/>
          <w:szCs w:val="28"/>
        </w:rPr>
        <w:t>], which</w:t>
      </w:r>
      <w:r w:rsidR="000E30A4">
        <w:rPr>
          <w:rFonts w:ascii="Times New Roman" w:hAnsi="Times New Roman" w:cs="Times New Roman"/>
          <w:bCs/>
          <w:sz w:val="28"/>
          <w:szCs w:val="28"/>
        </w:rPr>
        <w:t xml:space="preserve"> </w:t>
      </w:r>
      <w:r w:rsidR="009525B6">
        <w:rPr>
          <w:rFonts w:ascii="Times New Roman" w:hAnsi="Times New Roman" w:cs="Times New Roman"/>
          <w:bCs/>
          <w:sz w:val="28"/>
          <w:szCs w:val="28"/>
        </w:rPr>
        <w:t xml:space="preserve">support the proposition </w:t>
      </w:r>
      <w:r w:rsidR="00E93729">
        <w:rPr>
          <w:rFonts w:ascii="Times New Roman" w:hAnsi="Times New Roman" w:cs="Times New Roman"/>
          <w:bCs/>
          <w:sz w:val="28"/>
          <w:szCs w:val="28"/>
        </w:rPr>
        <w:t xml:space="preserve">that </w:t>
      </w:r>
      <w:r w:rsidR="00063050">
        <w:rPr>
          <w:rFonts w:ascii="Times New Roman" w:hAnsi="Times New Roman" w:cs="Times New Roman"/>
          <w:bCs/>
          <w:sz w:val="28"/>
          <w:szCs w:val="28"/>
        </w:rPr>
        <w:t xml:space="preserve">a court can make final determinations on the issues in dispute despite the absence of a formal cross-application for summary judgment </w:t>
      </w:r>
      <w:r w:rsidR="00E93729">
        <w:rPr>
          <w:rFonts w:ascii="Times New Roman" w:hAnsi="Times New Roman" w:cs="Times New Roman"/>
          <w:bCs/>
          <w:sz w:val="28"/>
          <w:szCs w:val="28"/>
        </w:rPr>
        <w:t xml:space="preserve">when the other party received sufficient notice and when the record before the court </w:t>
      </w:r>
      <w:r w:rsidR="00A03A4E">
        <w:rPr>
          <w:rFonts w:ascii="Times New Roman" w:hAnsi="Times New Roman" w:cs="Times New Roman"/>
          <w:bCs/>
          <w:sz w:val="28"/>
          <w:szCs w:val="28"/>
        </w:rPr>
        <w:t>is</w:t>
      </w:r>
      <w:r w:rsidR="00E93729">
        <w:rPr>
          <w:rFonts w:ascii="Times New Roman" w:hAnsi="Times New Roman" w:cs="Times New Roman"/>
          <w:bCs/>
          <w:sz w:val="28"/>
          <w:szCs w:val="28"/>
        </w:rPr>
        <w:t xml:space="preserve"> comprehensive enough to determine the issues</w:t>
      </w:r>
      <w:r w:rsidR="008A3E0A">
        <w:rPr>
          <w:rFonts w:ascii="Times New Roman" w:hAnsi="Times New Roman" w:cs="Times New Roman"/>
          <w:bCs/>
          <w:sz w:val="28"/>
          <w:szCs w:val="28"/>
        </w:rPr>
        <w:t>.</w:t>
      </w:r>
      <w:r w:rsidR="005F2E97">
        <w:rPr>
          <w:rFonts w:ascii="Times New Roman" w:hAnsi="Times New Roman" w:cs="Times New Roman"/>
          <w:bCs/>
          <w:sz w:val="28"/>
          <w:szCs w:val="28"/>
        </w:rPr>
        <w:t xml:space="preserve"> </w:t>
      </w:r>
      <w:r w:rsidR="0029546B">
        <w:rPr>
          <w:rFonts w:ascii="Times New Roman" w:hAnsi="Times New Roman" w:cs="Times New Roman"/>
          <w:bCs/>
          <w:sz w:val="28"/>
          <w:szCs w:val="28"/>
        </w:rPr>
        <w:t xml:space="preserve">Paramount also relies on </w:t>
      </w:r>
      <w:r w:rsidR="00337B9E">
        <w:rPr>
          <w:rFonts w:ascii="Times New Roman" w:hAnsi="Times New Roman" w:cs="Times New Roman"/>
          <w:bCs/>
          <w:sz w:val="28"/>
          <w:szCs w:val="28"/>
        </w:rPr>
        <w:t xml:space="preserve">Rule 3 </w:t>
      </w:r>
      <w:r w:rsidR="00A35060">
        <w:rPr>
          <w:rFonts w:ascii="Times New Roman" w:hAnsi="Times New Roman" w:cs="Times New Roman"/>
          <w:bCs/>
          <w:sz w:val="28"/>
          <w:szCs w:val="28"/>
        </w:rPr>
        <w:t xml:space="preserve">of the </w:t>
      </w:r>
      <w:r w:rsidR="00A35060" w:rsidRPr="00A35060">
        <w:rPr>
          <w:rFonts w:ascii="Times New Roman" w:hAnsi="Times New Roman" w:cs="Times New Roman"/>
          <w:bCs/>
          <w:i/>
          <w:iCs/>
          <w:sz w:val="28"/>
          <w:szCs w:val="28"/>
        </w:rPr>
        <w:t>Rules</w:t>
      </w:r>
      <w:r w:rsidR="00A35060">
        <w:rPr>
          <w:rFonts w:ascii="Times New Roman" w:hAnsi="Times New Roman" w:cs="Times New Roman"/>
          <w:bCs/>
          <w:sz w:val="28"/>
          <w:szCs w:val="28"/>
        </w:rPr>
        <w:t xml:space="preserve">, which provides that “the object </w:t>
      </w:r>
      <w:r w:rsidR="00A35060" w:rsidRPr="00383554">
        <w:rPr>
          <w:rFonts w:ascii="Times New Roman" w:hAnsi="Times New Roman" w:cs="Times New Roman"/>
          <w:bCs/>
          <w:sz w:val="28"/>
          <w:szCs w:val="28"/>
        </w:rPr>
        <w:t>of these rules is to</w:t>
      </w:r>
      <w:r w:rsidR="00A35060">
        <w:rPr>
          <w:rFonts w:ascii="Times New Roman" w:hAnsi="Times New Roman" w:cs="Times New Roman"/>
          <w:bCs/>
          <w:sz w:val="28"/>
          <w:szCs w:val="28"/>
        </w:rPr>
        <w:t xml:space="preserve"> secure the just, speedy and inexpensive </w:t>
      </w:r>
      <w:r w:rsidR="00327B01">
        <w:rPr>
          <w:rFonts w:ascii="Times New Roman" w:hAnsi="Times New Roman" w:cs="Times New Roman"/>
          <w:bCs/>
          <w:sz w:val="28"/>
          <w:szCs w:val="28"/>
        </w:rPr>
        <w:t xml:space="preserve">determination of every proceeding”, and </w:t>
      </w:r>
      <w:r w:rsidR="00E7285C">
        <w:rPr>
          <w:rFonts w:ascii="Times New Roman" w:hAnsi="Times New Roman" w:cs="Times New Roman"/>
          <w:bCs/>
          <w:sz w:val="28"/>
          <w:szCs w:val="28"/>
        </w:rPr>
        <w:t>s</w:t>
      </w:r>
      <w:r w:rsidR="00337B9E">
        <w:rPr>
          <w:rFonts w:ascii="Times New Roman" w:hAnsi="Times New Roman" w:cs="Times New Roman"/>
          <w:bCs/>
          <w:sz w:val="28"/>
          <w:szCs w:val="28"/>
        </w:rPr>
        <w:t>ection</w:t>
      </w:r>
      <w:r w:rsidR="0029546B">
        <w:rPr>
          <w:rFonts w:ascii="Times New Roman" w:hAnsi="Times New Roman" w:cs="Times New Roman"/>
          <w:bCs/>
          <w:sz w:val="28"/>
          <w:szCs w:val="28"/>
        </w:rPr>
        <w:t xml:space="preserve"> 27 of the </w:t>
      </w:r>
      <w:r w:rsidR="0029546B" w:rsidRPr="001C66D4">
        <w:rPr>
          <w:rFonts w:ascii="Times New Roman" w:hAnsi="Times New Roman" w:cs="Times New Roman"/>
          <w:bCs/>
          <w:i/>
          <w:iCs/>
          <w:sz w:val="28"/>
          <w:szCs w:val="28"/>
        </w:rPr>
        <w:t>Ju</w:t>
      </w:r>
      <w:r w:rsidR="00B150C3" w:rsidRPr="001C66D4">
        <w:rPr>
          <w:rFonts w:ascii="Times New Roman" w:hAnsi="Times New Roman" w:cs="Times New Roman"/>
          <w:bCs/>
          <w:i/>
          <w:iCs/>
          <w:sz w:val="28"/>
          <w:szCs w:val="28"/>
        </w:rPr>
        <w:t>dicature Act</w:t>
      </w:r>
      <w:r w:rsidR="00B150C3">
        <w:rPr>
          <w:rFonts w:ascii="Times New Roman" w:hAnsi="Times New Roman" w:cs="Times New Roman"/>
          <w:bCs/>
          <w:sz w:val="28"/>
          <w:szCs w:val="28"/>
        </w:rPr>
        <w:t>, which stipulates</w:t>
      </w:r>
      <w:r w:rsidR="00D50A61">
        <w:rPr>
          <w:rFonts w:ascii="Times New Roman" w:hAnsi="Times New Roman" w:cs="Times New Roman"/>
          <w:bCs/>
          <w:sz w:val="28"/>
          <w:szCs w:val="28"/>
        </w:rPr>
        <w:t xml:space="preserve"> that</w:t>
      </w:r>
      <w:r w:rsidR="00511258">
        <w:rPr>
          <w:rFonts w:ascii="Times New Roman" w:hAnsi="Times New Roman" w:cs="Times New Roman"/>
          <w:bCs/>
          <w:sz w:val="28"/>
          <w:szCs w:val="28"/>
        </w:rPr>
        <w:t xml:space="preserve"> </w:t>
      </w:r>
      <w:r w:rsidR="00F500E5">
        <w:rPr>
          <w:rFonts w:ascii="Times New Roman" w:hAnsi="Times New Roman" w:cs="Times New Roman"/>
          <w:bCs/>
          <w:sz w:val="28"/>
          <w:szCs w:val="28"/>
        </w:rPr>
        <w:t xml:space="preserve">a court can grant </w:t>
      </w:r>
      <w:r w:rsidR="00294EE6">
        <w:rPr>
          <w:rFonts w:ascii="Times New Roman" w:hAnsi="Times New Roman" w:cs="Times New Roman"/>
          <w:bCs/>
          <w:sz w:val="28"/>
          <w:szCs w:val="28"/>
        </w:rPr>
        <w:t xml:space="preserve">all </w:t>
      </w:r>
      <w:r w:rsidR="00F500E5">
        <w:rPr>
          <w:rFonts w:ascii="Times New Roman" w:hAnsi="Times New Roman" w:cs="Times New Roman"/>
          <w:bCs/>
          <w:sz w:val="28"/>
          <w:szCs w:val="28"/>
        </w:rPr>
        <w:t>remedies</w:t>
      </w:r>
      <w:r w:rsidR="006842F0">
        <w:rPr>
          <w:rFonts w:ascii="Times New Roman" w:hAnsi="Times New Roman" w:cs="Times New Roman"/>
          <w:bCs/>
          <w:sz w:val="28"/>
          <w:szCs w:val="28"/>
        </w:rPr>
        <w:t xml:space="preserve"> any of the parties </w:t>
      </w:r>
      <w:r w:rsidR="00580A02">
        <w:rPr>
          <w:rFonts w:ascii="Times New Roman" w:hAnsi="Times New Roman" w:cs="Times New Roman"/>
          <w:bCs/>
          <w:sz w:val="28"/>
          <w:szCs w:val="28"/>
        </w:rPr>
        <w:t xml:space="preserve">are </w:t>
      </w:r>
      <w:r w:rsidR="00F12AE5">
        <w:rPr>
          <w:rFonts w:ascii="Times New Roman" w:hAnsi="Times New Roman" w:cs="Times New Roman"/>
          <w:bCs/>
          <w:sz w:val="28"/>
          <w:szCs w:val="28"/>
        </w:rPr>
        <w:t>e</w:t>
      </w:r>
      <w:r w:rsidR="00580A02">
        <w:rPr>
          <w:rFonts w:ascii="Times New Roman" w:hAnsi="Times New Roman" w:cs="Times New Roman"/>
          <w:bCs/>
          <w:sz w:val="28"/>
          <w:szCs w:val="28"/>
        </w:rPr>
        <w:t xml:space="preserve">ntitled to </w:t>
      </w:r>
      <w:r w:rsidR="00AF4209">
        <w:rPr>
          <w:rFonts w:ascii="Times New Roman" w:hAnsi="Times New Roman" w:cs="Times New Roman"/>
          <w:bCs/>
          <w:sz w:val="28"/>
          <w:szCs w:val="28"/>
        </w:rPr>
        <w:t xml:space="preserve">and </w:t>
      </w:r>
      <w:r w:rsidR="00580A02">
        <w:rPr>
          <w:rFonts w:ascii="Times New Roman" w:hAnsi="Times New Roman" w:cs="Times New Roman"/>
          <w:bCs/>
          <w:sz w:val="28"/>
          <w:szCs w:val="28"/>
        </w:rPr>
        <w:t xml:space="preserve">as far as possible, determine all </w:t>
      </w:r>
      <w:r w:rsidR="00AF4209">
        <w:rPr>
          <w:rFonts w:ascii="Times New Roman" w:hAnsi="Times New Roman" w:cs="Times New Roman"/>
          <w:bCs/>
          <w:sz w:val="28"/>
          <w:szCs w:val="28"/>
        </w:rPr>
        <w:t>disputed issues completely and finally to avoid the multiplicity of proceedings</w:t>
      </w:r>
      <w:r w:rsidR="003C7328">
        <w:rPr>
          <w:rFonts w:ascii="Times New Roman" w:hAnsi="Times New Roman" w:cs="Times New Roman"/>
          <w:bCs/>
          <w:sz w:val="28"/>
          <w:szCs w:val="28"/>
        </w:rPr>
        <w:t xml:space="preserve">. Finally, Paramount stresses that ADK has been on notice </w:t>
      </w:r>
      <w:r w:rsidR="00FF603F">
        <w:rPr>
          <w:rFonts w:ascii="Times New Roman" w:hAnsi="Times New Roman" w:cs="Times New Roman"/>
          <w:bCs/>
          <w:sz w:val="28"/>
          <w:szCs w:val="28"/>
        </w:rPr>
        <w:t>since October 8, 2024</w:t>
      </w:r>
      <w:r w:rsidR="00537CAF">
        <w:rPr>
          <w:rFonts w:ascii="Times New Roman" w:hAnsi="Times New Roman" w:cs="Times New Roman"/>
          <w:bCs/>
          <w:sz w:val="28"/>
          <w:szCs w:val="28"/>
        </w:rPr>
        <w:t>,</w:t>
      </w:r>
      <w:r w:rsidR="00FF603F">
        <w:rPr>
          <w:rFonts w:ascii="Times New Roman" w:hAnsi="Times New Roman" w:cs="Times New Roman"/>
          <w:bCs/>
          <w:sz w:val="28"/>
          <w:szCs w:val="28"/>
        </w:rPr>
        <w:t xml:space="preserve"> that Paramount would be seeking a dismissal of the action without bringing </w:t>
      </w:r>
      <w:r w:rsidR="00DA355C">
        <w:rPr>
          <w:rFonts w:ascii="Times New Roman" w:hAnsi="Times New Roman" w:cs="Times New Roman"/>
          <w:bCs/>
          <w:sz w:val="28"/>
          <w:szCs w:val="28"/>
        </w:rPr>
        <w:t>its</w:t>
      </w:r>
      <w:r w:rsidR="00FF603F">
        <w:rPr>
          <w:rFonts w:ascii="Times New Roman" w:hAnsi="Times New Roman" w:cs="Times New Roman"/>
          <w:bCs/>
          <w:sz w:val="28"/>
          <w:szCs w:val="28"/>
        </w:rPr>
        <w:t xml:space="preserve"> own </w:t>
      </w:r>
      <w:r w:rsidR="00DA355C">
        <w:rPr>
          <w:rFonts w:ascii="Times New Roman" w:hAnsi="Times New Roman" w:cs="Times New Roman"/>
          <w:bCs/>
          <w:sz w:val="28"/>
          <w:szCs w:val="28"/>
        </w:rPr>
        <w:t>cross-</w:t>
      </w:r>
      <w:r w:rsidR="00FF603F">
        <w:rPr>
          <w:rFonts w:ascii="Times New Roman" w:hAnsi="Times New Roman" w:cs="Times New Roman"/>
          <w:bCs/>
          <w:sz w:val="28"/>
          <w:szCs w:val="28"/>
        </w:rPr>
        <w:t>application</w:t>
      </w:r>
      <w:r w:rsidR="00871AAD">
        <w:rPr>
          <w:rFonts w:ascii="Times New Roman" w:hAnsi="Times New Roman" w:cs="Times New Roman"/>
          <w:bCs/>
          <w:sz w:val="28"/>
          <w:szCs w:val="28"/>
        </w:rPr>
        <w:t xml:space="preserve">. </w:t>
      </w:r>
      <w:r w:rsidR="00AE55CD">
        <w:rPr>
          <w:rFonts w:ascii="Times New Roman" w:hAnsi="Times New Roman" w:cs="Times New Roman"/>
          <w:bCs/>
          <w:sz w:val="28"/>
          <w:szCs w:val="28"/>
        </w:rPr>
        <w:t>Paramount further</w:t>
      </w:r>
      <w:r w:rsidR="00871AAD">
        <w:rPr>
          <w:rFonts w:ascii="Times New Roman" w:hAnsi="Times New Roman" w:cs="Times New Roman"/>
          <w:bCs/>
          <w:sz w:val="28"/>
          <w:szCs w:val="28"/>
        </w:rPr>
        <w:t xml:space="preserve"> submits that allowing </w:t>
      </w:r>
      <w:r w:rsidR="00A75AD1">
        <w:rPr>
          <w:rFonts w:ascii="Times New Roman" w:hAnsi="Times New Roman" w:cs="Times New Roman"/>
          <w:bCs/>
          <w:sz w:val="28"/>
          <w:szCs w:val="28"/>
        </w:rPr>
        <w:t xml:space="preserve">it to seek </w:t>
      </w:r>
      <w:r w:rsidR="00FB4264">
        <w:rPr>
          <w:rFonts w:ascii="Times New Roman" w:hAnsi="Times New Roman" w:cs="Times New Roman"/>
          <w:bCs/>
          <w:sz w:val="28"/>
          <w:szCs w:val="28"/>
        </w:rPr>
        <w:t>a dismissal of the action</w:t>
      </w:r>
      <w:r w:rsidR="00A75AD1">
        <w:rPr>
          <w:rFonts w:ascii="Times New Roman" w:hAnsi="Times New Roman" w:cs="Times New Roman"/>
          <w:bCs/>
          <w:sz w:val="28"/>
          <w:szCs w:val="28"/>
        </w:rPr>
        <w:t xml:space="preserve"> is the most efficient way </w:t>
      </w:r>
      <w:r w:rsidR="00A1195E">
        <w:rPr>
          <w:rFonts w:ascii="Times New Roman" w:hAnsi="Times New Roman" w:cs="Times New Roman"/>
          <w:bCs/>
          <w:sz w:val="28"/>
          <w:szCs w:val="28"/>
        </w:rPr>
        <w:t>to proceed</w:t>
      </w:r>
      <w:r w:rsidR="00FB4264">
        <w:rPr>
          <w:rFonts w:ascii="Times New Roman" w:hAnsi="Times New Roman" w:cs="Times New Roman"/>
          <w:bCs/>
          <w:sz w:val="28"/>
          <w:szCs w:val="28"/>
        </w:rPr>
        <w:t xml:space="preserve"> in this case and </w:t>
      </w:r>
      <w:r w:rsidR="00A75AD1">
        <w:rPr>
          <w:rFonts w:ascii="Times New Roman" w:hAnsi="Times New Roman" w:cs="Times New Roman"/>
          <w:bCs/>
          <w:sz w:val="28"/>
          <w:szCs w:val="28"/>
        </w:rPr>
        <w:t>in keeping with the Supreme Court of Canada</w:t>
      </w:r>
      <w:r w:rsidR="00A557E9">
        <w:rPr>
          <w:rFonts w:ascii="Times New Roman" w:hAnsi="Times New Roman" w:cs="Times New Roman"/>
          <w:bCs/>
          <w:sz w:val="28"/>
          <w:szCs w:val="28"/>
        </w:rPr>
        <w:t xml:space="preserve">’s </w:t>
      </w:r>
      <w:r w:rsidR="00780F3F">
        <w:rPr>
          <w:rFonts w:ascii="Times New Roman" w:hAnsi="Times New Roman" w:cs="Times New Roman"/>
          <w:bCs/>
          <w:sz w:val="28"/>
          <w:szCs w:val="28"/>
        </w:rPr>
        <w:t>guidance</w:t>
      </w:r>
      <w:r w:rsidR="00A75AD1">
        <w:rPr>
          <w:rFonts w:ascii="Times New Roman" w:hAnsi="Times New Roman" w:cs="Times New Roman"/>
          <w:bCs/>
          <w:sz w:val="28"/>
          <w:szCs w:val="28"/>
        </w:rPr>
        <w:t xml:space="preserve"> on summary judgment applications</w:t>
      </w:r>
      <w:r w:rsidR="00A31FFE">
        <w:rPr>
          <w:rFonts w:ascii="Times New Roman" w:hAnsi="Times New Roman" w:cs="Times New Roman"/>
          <w:bCs/>
          <w:sz w:val="28"/>
          <w:szCs w:val="28"/>
        </w:rPr>
        <w:t xml:space="preserve"> in </w:t>
      </w:r>
      <w:r w:rsidR="00A31FFE" w:rsidRPr="004877B0">
        <w:rPr>
          <w:rFonts w:ascii="Times New Roman" w:hAnsi="Times New Roman" w:cs="Times New Roman"/>
          <w:bCs/>
          <w:i/>
          <w:iCs/>
          <w:sz w:val="28"/>
          <w:szCs w:val="28"/>
        </w:rPr>
        <w:t>Hryniak</w:t>
      </w:r>
      <w:r w:rsidR="00A75AD1">
        <w:rPr>
          <w:rFonts w:ascii="Times New Roman" w:hAnsi="Times New Roman" w:cs="Times New Roman"/>
          <w:bCs/>
          <w:sz w:val="28"/>
          <w:szCs w:val="28"/>
        </w:rPr>
        <w:t xml:space="preserve">. </w:t>
      </w:r>
    </w:p>
    <w:p w14:paraId="2B5255DA" w14:textId="77777777" w:rsidR="00AB2B61" w:rsidRPr="00AB2B61" w:rsidRDefault="00AB2B61" w:rsidP="00AB2B61">
      <w:pPr>
        <w:pStyle w:val="ListParagraph"/>
        <w:spacing w:after="0" w:line="240" w:lineRule="auto"/>
        <w:ind w:left="0"/>
        <w:jc w:val="both"/>
        <w:rPr>
          <w:rFonts w:ascii="Times New Roman" w:hAnsi="Times New Roman" w:cs="Times New Roman"/>
          <w:bCs/>
          <w:sz w:val="28"/>
          <w:szCs w:val="28"/>
        </w:rPr>
      </w:pPr>
    </w:p>
    <w:p w14:paraId="5FBF6726" w14:textId="55438ED6" w:rsidR="0076041E" w:rsidRDefault="002463DE" w:rsidP="00337B9E">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There are n</w:t>
      </w:r>
      <w:r w:rsidR="004E78A3" w:rsidRPr="00337B9E">
        <w:rPr>
          <w:rFonts w:ascii="Times New Roman" w:hAnsi="Times New Roman" w:cs="Times New Roman"/>
          <w:bCs/>
          <w:sz w:val="28"/>
          <w:szCs w:val="28"/>
        </w:rPr>
        <w:t>o</w:t>
      </w:r>
      <w:r w:rsidR="00A908F1" w:rsidRPr="00337B9E">
        <w:rPr>
          <w:rFonts w:ascii="Times New Roman" w:hAnsi="Times New Roman" w:cs="Times New Roman"/>
          <w:bCs/>
          <w:sz w:val="28"/>
          <w:szCs w:val="28"/>
        </w:rPr>
        <w:t xml:space="preserve"> precedents in the Northwest Territories </w:t>
      </w:r>
      <w:r>
        <w:rPr>
          <w:rFonts w:ascii="Times New Roman" w:hAnsi="Times New Roman" w:cs="Times New Roman"/>
          <w:bCs/>
          <w:sz w:val="28"/>
          <w:szCs w:val="28"/>
        </w:rPr>
        <w:t xml:space="preserve">that </w:t>
      </w:r>
      <w:r w:rsidR="00A908F1" w:rsidRPr="00337B9E">
        <w:rPr>
          <w:rFonts w:ascii="Times New Roman" w:hAnsi="Times New Roman" w:cs="Times New Roman"/>
          <w:bCs/>
          <w:sz w:val="28"/>
          <w:szCs w:val="28"/>
        </w:rPr>
        <w:t xml:space="preserve">address </w:t>
      </w:r>
      <w:r w:rsidR="0089429F" w:rsidRPr="00337B9E">
        <w:rPr>
          <w:rFonts w:ascii="Times New Roman" w:hAnsi="Times New Roman" w:cs="Times New Roman"/>
          <w:bCs/>
          <w:sz w:val="28"/>
          <w:szCs w:val="28"/>
        </w:rPr>
        <w:t xml:space="preserve">the issue of reverse </w:t>
      </w:r>
      <w:r w:rsidR="00771596" w:rsidRPr="00337B9E">
        <w:rPr>
          <w:rFonts w:ascii="Times New Roman" w:hAnsi="Times New Roman" w:cs="Times New Roman"/>
          <w:bCs/>
          <w:sz w:val="28"/>
          <w:szCs w:val="28"/>
        </w:rPr>
        <w:t>summary judgments</w:t>
      </w:r>
      <w:r w:rsidR="00627127" w:rsidRPr="00337B9E">
        <w:rPr>
          <w:rFonts w:ascii="Times New Roman" w:hAnsi="Times New Roman" w:cs="Times New Roman"/>
          <w:bCs/>
          <w:sz w:val="28"/>
          <w:szCs w:val="28"/>
        </w:rPr>
        <w:t xml:space="preserve">. </w:t>
      </w:r>
      <w:r w:rsidR="0078330A" w:rsidRPr="00337B9E">
        <w:rPr>
          <w:rFonts w:ascii="Times New Roman" w:hAnsi="Times New Roman" w:cs="Times New Roman"/>
          <w:bCs/>
          <w:sz w:val="28"/>
          <w:szCs w:val="28"/>
        </w:rPr>
        <w:t xml:space="preserve">Although there is no </w:t>
      </w:r>
      <w:r w:rsidR="00E172CB" w:rsidRPr="00337B9E">
        <w:rPr>
          <w:rFonts w:ascii="Times New Roman" w:hAnsi="Times New Roman" w:cs="Times New Roman"/>
          <w:bCs/>
          <w:sz w:val="28"/>
          <w:szCs w:val="28"/>
        </w:rPr>
        <w:t xml:space="preserve">authority binding on this Court </w:t>
      </w:r>
      <w:r w:rsidR="0078330A" w:rsidRPr="00337B9E">
        <w:rPr>
          <w:rFonts w:ascii="Times New Roman" w:hAnsi="Times New Roman" w:cs="Times New Roman"/>
          <w:bCs/>
          <w:sz w:val="28"/>
          <w:szCs w:val="28"/>
        </w:rPr>
        <w:t xml:space="preserve">that has endorsed </w:t>
      </w:r>
      <w:r w:rsidR="002B0D40" w:rsidRPr="00337B9E">
        <w:rPr>
          <w:rFonts w:ascii="Times New Roman" w:hAnsi="Times New Roman" w:cs="Times New Roman"/>
          <w:bCs/>
          <w:sz w:val="28"/>
          <w:szCs w:val="28"/>
        </w:rPr>
        <w:t>reverse</w:t>
      </w:r>
      <w:r w:rsidR="0078330A" w:rsidRPr="00337B9E">
        <w:rPr>
          <w:rFonts w:ascii="Times New Roman" w:hAnsi="Times New Roman" w:cs="Times New Roman"/>
          <w:bCs/>
          <w:sz w:val="28"/>
          <w:szCs w:val="28"/>
        </w:rPr>
        <w:t xml:space="preserve"> summary judgment in the absence of </w:t>
      </w:r>
      <w:r w:rsidR="00003413" w:rsidRPr="00337B9E">
        <w:rPr>
          <w:rFonts w:ascii="Times New Roman" w:hAnsi="Times New Roman" w:cs="Times New Roman"/>
          <w:bCs/>
          <w:sz w:val="28"/>
          <w:szCs w:val="28"/>
        </w:rPr>
        <w:t xml:space="preserve">a formal cross-application, I find the </w:t>
      </w:r>
      <w:r w:rsidR="00E172CB" w:rsidRPr="00337B9E">
        <w:rPr>
          <w:rFonts w:ascii="Times New Roman" w:hAnsi="Times New Roman" w:cs="Times New Roman"/>
          <w:bCs/>
          <w:sz w:val="28"/>
          <w:szCs w:val="28"/>
        </w:rPr>
        <w:t>appellate cases</w:t>
      </w:r>
      <w:r w:rsidR="00003413" w:rsidRPr="00337B9E">
        <w:rPr>
          <w:rFonts w:ascii="Times New Roman" w:hAnsi="Times New Roman" w:cs="Times New Roman"/>
          <w:bCs/>
          <w:sz w:val="28"/>
          <w:szCs w:val="28"/>
        </w:rPr>
        <w:t xml:space="preserve"> cited by both parties </w:t>
      </w:r>
      <w:r w:rsidR="00FF6AC1" w:rsidRPr="00337B9E">
        <w:rPr>
          <w:rFonts w:ascii="Times New Roman" w:hAnsi="Times New Roman" w:cs="Times New Roman"/>
          <w:bCs/>
          <w:sz w:val="28"/>
          <w:szCs w:val="28"/>
        </w:rPr>
        <w:t>persuasively</w:t>
      </w:r>
      <w:r w:rsidR="00FB5804" w:rsidRPr="00337B9E">
        <w:rPr>
          <w:rFonts w:ascii="Times New Roman" w:hAnsi="Times New Roman" w:cs="Times New Roman"/>
          <w:bCs/>
          <w:sz w:val="28"/>
          <w:szCs w:val="28"/>
        </w:rPr>
        <w:t xml:space="preserve"> support </w:t>
      </w:r>
      <w:r w:rsidR="00161854" w:rsidRPr="00337B9E">
        <w:rPr>
          <w:rFonts w:ascii="Times New Roman" w:hAnsi="Times New Roman" w:cs="Times New Roman"/>
          <w:bCs/>
          <w:sz w:val="28"/>
          <w:szCs w:val="28"/>
        </w:rPr>
        <w:t xml:space="preserve">the </w:t>
      </w:r>
      <w:r w:rsidR="00356F4F" w:rsidRPr="00337B9E">
        <w:rPr>
          <w:rFonts w:ascii="Times New Roman" w:hAnsi="Times New Roman" w:cs="Times New Roman"/>
          <w:bCs/>
          <w:sz w:val="28"/>
          <w:szCs w:val="28"/>
        </w:rPr>
        <w:t xml:space="preserve">position that a court can </w:t>
      </w:r>
      <w:r w:rsidR="00437A92" w:rsidRPr="00337B9E">
        <w:rPr>
          <w:rFonts w:ascii="Times New Roman" w:hAnsi="Times New Roman" w:cs="Times New Roman"/>
          <w:bCs/>
          <w:sz w:val="28"/>
          <w:szCs w:val="28"/>
        </w:rPr>
        <w:t>entertain a cross-application in the absence of a formal</w:t>
      </w:r>
      <w:r w:rsidR="0076041E" w:rsidRPr="00337B9E">
        <w:rPr>
          <w:rFonts w:ascii="Times New Roman" w:hAnsi="Times New Roman" w:cs="Times New Roman"/>
          <w:bCs/>
          <w:sz w:val="28"/>
          <w:szCs w:val="28"/>
        </w:rPr>
        <w:t xml:space="preserve"> motion</w:t>
      </w:r>
      <w:r w:rsidR="00AD038E" w:rsidRPr="00337B9E">
        <w:rPr>
          <w:rFonts w:ascii="Times New Roman" w:hAnsi="Times New Roman" w:cs="Times New Roman"/>
          <w:bCs/>
          <w:sz w:val="28"/>
          <w:szCs w:val="28"/>
        </w:rPr>
        <w:t xml:space="preserve"> if it allows for a just and fair determination of the issues i</w:t>
      </w:r>
      <w:r w:rsidR="007C59A2">
        <w:rPr>
          <w:rFonts w:ascii="Times New Roman" w:hAnsi="Times New Roman" w:cs="Times New Roman"/>
          <w:bCs/>
          <w:sz w:val="28"/>
          <w:szCs w:val="28"/>
        </w:rPr>
        <w:t>n</w:t>
      </w:r>
      <w:r w:rsidR="00AD038E" w:rsidRPr="00337B9E">
        <w:rPr>
          <w:rFonts w:ascii="Times New Roman" w:hAnsi="Times New Roman" w:cs="Times New Roman"/>
          <w:bCs/>
          <w:sz w:val="28"/>
          <w:szCs w:val="28"/>
        </w:rPr>
        <w:t xml:space="preserve"> dispute</w:t>
      </w:r>
      <w:r w:rsidR="00FB5804" w:rsidRPr="00337B9E">
        <w:rPr>
          <w:rFonts w:ascii="Times New Roman" w:hAnsi="Times New Roman" w:cs="Times New Roman"/>
          <w:bCs/>
          <w:sz w:val="28"/>
          <w:szCs w:val="28"/>
        </w:rPr>
        <w:t>.</w:t>
      </w:r>
      <w:r w:rsidR="00AD038E" w:rsidRPr="00337B9E">
        <w:rPr>
          <w:rFonts w:ascii="Times New Roman" w:hAnsi="Times New Roman" w:cs="Times New Roman"/>
          <w:bCs/>
          <w:sz w:val="28"/>
          <w:szCs w:val="28"/>
        </w:rPr>
        <w:t xml:space="preserve"> </w:t>
      </w:r>
    </w:p>
    <w:p w14:paraId="2B7D5C09" w14:textId="77777777" w:rsidR="00A41CE7" w:rsidRPr="00A41CE7" w:rsidRDefault="00A41CE7" w:rsidP="00A41CE7">
      <w:pPr>
        <w:pStyle w:val="ListParagraph"/>
        <w:rPr>
          <w:rFonts w:ascii="Times New Roman" w:hAnsi="Times New Roman" w:cs="Times New Roman"/>
          <w:bCs/>
          <w:sz w:val="28"/>
          <w:szCs w:val="28"/>
        </w:rPr>
      </w:pPr>
    </w:p>
    <w:p w14:paraId="5A6819E2" w14:textId="1B0B5A9B" w:rsidR="00A41CE7" w:rsidRDefault="00A41CE7" w:rsidP="00FD10F0">
      <w:pPr>
        <w:pStyle w:val="ListParagraph"/>
        <w:numPr>
          <w:ilvl w:val="0"/>
          <w:numId w:val="1"/>
        </w:numPr>
        <w:spacing w:after="0" w:line="240" w:lineRule="auto"/>
        <w:jc w:val="both"/>
        <w:rPr>
          <w:rFonts w:ascii="Times New Roman" w:hAnsi="Times New Roman" w:cs="Times New Roman"/>
          <w:bCs/>
          <w:sz w:val="28"/>
          <w:szCs w:val="28"/>
        </w:rPr>
      </w:pPr>
      <w:r w:rsidRPr="00E519E4">
        <w:rPr>
          <w:rFonts w:ascii="Times New Roman" w:hAnsi="Times New Roman" w:cs="Times New Roman"/>
          <w:bCs/>
          <w:sz w:val="28"/>
          <w:szCs w:val="28"/>
        </w:rPr>
        <w:lastRenderedPageBreak/>
        <w:t xml:space="preserve">ADK argues that there are significant differences between the Ontario </w:t>
      </w:r>
      <w:r w:rsidRPr="00E519E4">
        <w:rPr>
          <w:rFonts w:ascii="Times New Roman" w:hAnsi="Times New Roman" w:cs="Times New Roman"/>
          <w:bCs/>
          <w:i/>
          <w:iCs/>
          <w:sz w:val="28"/>
          <w:szCs w:val="28"/>
        </w:rPr>
        <w:t>Rules of Civil Procedure</w:t>
      </w:r>
      <w:r w:rsidRPr="00E519E4">
        <w:rPr>
          <w:rFonts w:ascii="Times New Roman" w:hAnsi="Times New Roman" w:cs="Times New Roman"/>
          <w:bCs/>
          <w:sz w:val="28"/>
          <w:szCs w:val="28"/>
        </w:rPr>
        <w:t xml:space="preserve"> and the </w:t>
      </w:r>
      <w:r w:rsidRPr="00E519E4">
        <w:rPr>
          <w:rFonts w:ascii="Times New Roman" w:hAnsi="Times New Roman" w:cs="Times New Roman"/>
          <w:bCs/>
          <w:i/>
          <w:iCs/>
          <w:sz w:val="28"/>
          <w:szCs w:val="28"/>
        </w:rPr>
        <w:t xml:space="preserve">Rules </w:t>
      </w:r>
      <w:r w:rsidRPr="00FB5A64">
        <w:rPr>
          <w:rFonts w:ascii="Times New Roman" w:hAnsi="Times New Roman" w:cs="Times New Roman"/>
          <w:bCs/>
          <w:sz w:val="28"/>
          <w:szCs w:val="28"/>
        </w:rPr>
        <w:t>such</w:t>
      </w:r>
      <w:r>
        <w:rPr>
          <w:rFonts w:ascii="Times New Roman" w:hAnsi="Times New Roman" w:cs="Times New Roman"/>
          <w:bCs/>
          <w:i/>
          <w:iCs/>
          <w:sz w:val="28"/>
          <w:szCs w:val="28"/>
        </w:rPr>
        <w:t xml:space="preserve"> </w:t>
      </w:r>
      <w:r w:rsidRPr="00E519E4">
        <w:rPr>
          <w:rFonts w:ascii="Times New Roman" w:hAnsi="Times New Roman" w:cs="Times New Roman"/>
          <w:bCs/>
          <w:sz w:val="28"/>
          <w:szCs w:val="28"/>
        </w:rPr>
        <w:t xml:space="preserve">that cases from Ontario granting reverse summary judgment are of little assistance in this jurisdiction. </w:t>
      </w:r>
      <w:r>
        <w:rPr>
          <w:rFonts w:ascii="Times New Roman" w:hAnsi="Times New Roman" w:cs="Times New Roman"/>
          <w:bCs/>
          <w:sz w:val="28"/>
          <w:szCs w:val="28"/>
        </w:rPr>
        <w:t xml:space="preserve">It points more specifically to the fact that the </w:t>
      </w:r>
      <w:r w:rsidRPr="005E5EAC">
        <w:rPr>
          <w:rFonts w:ascii="Times New Roman" w:hAnsi="Times New Roman" w:cs="Times New Roman"/>
          <w:bCs/>
          <w:i/>
          <w:iCs/>
          <w:sz w:val="28"/>
          <w:szCs w:val="28"/>
        </w:rPr>
        <w:t>Rules</w:t>
      </w:r>
      <w:r>
        <w:rPr>
          <w:rFonts w:ascii="Times New Roman" w:hAnsi="Times New Roman" w:cs="Times New Roman"/>
          <w:bCs/>
          <w:sz w:val="28"/>
          <w:szCs w:val="28"/>
        </w:rPr>
        <w:t xml:space="preserve"> have no equivalent to Rule 37.13(2)(a) of the Ontario</w:t>
      </w:r>
      <w:r w:rsidRPr="00251A77">
        <w:rPr>
          <w:rFonts w:ascii="Times New Roman" w:hAnsi="Times New Roman" w:cs="Times New Roman"/>
          <w:bCs/>
          <w:i/>
          <w:iCs/>
          <w:sz w:val="28"/>
          <w:szCs w:val="28"/>
        </w:rPr>
        <w:t xml:space="preserve"> </w:t>
      </w:r>
      <w:r w:rsidRPr="00E519E4">
        <w:rPr>
          <w:rFonts w:ascii="Times New Roman" w:hAnsi="Times New Roman" w:cs="Times New Roman"/>
          <w:bCs/>
          <w:i/>
          <w:iCs/>
          <w:sz w:val="28"/>
          <w:szCs w:val="28"/>
        </w:rPr>
        <w:t>Rules of Civil Procedure</w:t>
      </w:r>
      <w:r>
        <w:rPr>
          <w:rFonts w:ascii="Times New Roman" w:hAnsi="Times New Roman" w:cs="Times New Roman"/>
          <w:bCs/>
          <w:sz w:val="28"/>
          <w:szCs w:val="28"/>
        </w:rPr>
        <w:t xml:space="preserve"> which provides that a judge who hears a motion may, in a proper case, order the motion be converted into a motion for judgment. </w:t>
      </w:r>
      <w:r w:rsidR="00FD10F0">
        <w:rPr>
          <w:rFonts w:ascii="Times New Roman" w:hAnsi="Times New Roman" w:cs="Times New Roman"/>
          <w:bCs/>
          <w:sz w:val="28"/>
          <w:szCs w:val="28"/>
        </w:rPr>
        <w:t>I acknowledge this difference</w:t>
      </w:r>
      <w:r w:rsidR="009C7610">
        <w:rPr>
          <w:rFonts w:ascii="Times New Roman" w:hAnsi="Times New Roman" w:cs="Times New Roman"/>
          <w:bCs/>
          <w:sz w:val="28"/>
          <w:szCs w:val="28"/>
        </w:rPr>
        <w:t>,</w:t>
      </w:r>
      <w:r w:rsidR="00FD10F0">
        <w:rPr>
          <w:rFonts w:ascii="Times New Roman" w:hAnsi="Times New Roman" w:cs="Times New Roman"/>
          <w:bCs/>
          <w:sz w:val="28"/>
          <w:szCs w:val="28"/>
        </w:rPr>
        <w:t xml:space="preserve"> but I am not convinced that the absence of such a provision in the </w:t>
      </w:r>
      <w:r w:rsidR="00FD10F0" w:rsidRPr="006D5B7F">
        <w:rPr>
          <w:rFonts w:ascii="Times New Roman" w:hAnsi="Times New Roman" w:cs="Times New Roman"/>
          <w:bCs/>
          <w:i/>
          <w:iCs/>
          <w:sz w:val="28"/>
          <w:szCs w:val="28"/>
        </w:rPr>
        <w:t>Rules</w:t>
      </w:r>
      <w:r w:rsidR="00FD10F0">
        <w:rPr>
          <w:rFonts w:ascii="Times New Roman" w:hAnsi="Times New Roman" w:cs="Times New Roman"/>
          <w:bCs/>
          <w:sz w:val="28"/>
          <w:szCs w:val="28"/>
        </w:rPr>
        <w:t xml:space="preserve"> is determinative of the issue.</w:t>
      </w:r>
    </w:p>
    <w:p w14:paraId="1100C557" w14:textId="77777777" w:rsidR="00A54AF5" w:rsidRPr="00A54AF5" w:rsidRDefault="00A54AF5" w:rsidP="00A54AF5">
      <w:pPr>
        <w:pStyle w:val="ListParagraph"/>
        <w:spacing w:after="0" w:line="240" w:lineRule="auto"/>
        <w:ind w:left="0"/>
        <w:jc w:val="both"/>
        <w:rPr>
          <w:rFonts w:ascii="Times New Roman" w:hAnsi="Times New Roman" w:cs="Times New Roman"/>
          <w:bCs/>
          <w:sz w:val="28"/>
          <w:szCs w:val="28"/>
        </w:rPr>
      </w:pPr>
    </w:p>
    <w:p w14:paraId="56C11951" w14:textId="77777777" w:rsidR="00F614A7" w:rsidRDefault="00A41CE7" w:rsidP="009C7610">
      <w:pPr>
        <w:pStyle w:val="ListParagraph"/>
        <w:numPr>
          <w:ilvl w:val="0"/>
          <w:numId w:val="1"/>
        </w:numPr>
        <w:spacing w:after="0" w:line="240" w:lineRule="auto"/>
        <w:jc w:val="both"/>
        <w:rPr>
          <w:rFonts w:ascii="Times New Roman" w:hAnsi="Times New Roman" w:cs="Times New Roman"/>
          <w:bCs/>
          <w:sz w:val="28"/>
          <w:szCs w:val="28"/>
        </w:rPr>
      </w:pPr>
      <w:r w:rsidRPr="00597284">
        <w:rPr>
          <w:rFonts w:ascii="Times New Roman" w:hAnsi="Times New Roman" w:cs="Times New Roman"/>
          <w:bCs/>
          <w:sz w:val="28"/>
          <w:szCs w:val="28"/>
        </w:rPr>
        <w:t xml:space="preserve"> </w:t>
      </w:r>
      <w:r w:rsidRPr="00383554">
        <w:rPr>
          <w:rFonts w:ascii="Times New Roman" w:hAnsi="Times New Roman" w:cs="Times New Roman"/>
          <w:bCs/>
          <w:sz w:val="28"/>
          <w:szCs w:val="28"/>
        </w:rPr>
        <w:t>Rule 175, which deals with summary judgment applications by a defendant, provides that a defendant: “may […] apply with supporting affidavit material or other evidence for summary judgment dismissing all or part of the claim in the statement of claim”. Rule 382 stipulates that application</w:t>
      </w:r>
      <w:r w:rsidR="008D6CF4" w:rsidRPr="00383554">
        <w:rPr>
          <w:rFonts w:ascii="Times New Roman" w:hAnsi="Times New Roman" w:cs="Times New Roman"/>
          <w:bCs/>
          <w:sz w:val="28"/>
          <w:szCs w:val="28"/>
        </w:rPr>
        <w:t>s</w:t>
      </w:r>
      <w:r w:rsidRPr="00383554">
        <w:rPr>
          <w:rFonts w:ascii="Times New Roman" w:hAnsi="Times New Roman" w:cs="Times New Roman"/>
          <w:bCs/>
          <w:sz w:val="28"/>
          <w:szCs w:val="28"/>
        </w:rPr>
        <w:t xml:space="preserve"> shall be made by a notice of motion, supported by affidavit evidence. In that regard, the </w:t>
      </w:r>
      <w:r w:rsidRPr="00383554">
        <w:rPr>
          <w:rFonts w:ascii="Times New Roman" w:hAnsi="Times New Roman" w:cs="Times New Roman"/>
          <w:bCs/>
          <w:i/>
          <w:iCs/>
          <w:sz w:val="28"/>
          <w:szCs w:val="28"/>
        </w:rPr>
        <w:t>Rule</w:t>
      </w:r>
      <w:r w:rsidR="003072D7" w:rsidRPr="00383554">
        <w:rPr>
          <w:rFonts w:ascii="Times New Roman" w:hAnsi="Times New Roman" w:cs="Times New Roman"/>
          <w:bCs/>
          <w:i/>
          <w:iCs/>
          <w:sz w:val="28"/>
          <w:szCs w:val="28"/>
        </w:rPr>
        <w:t>s</w:t>
      </w:r>
      <w:r w:rsidRPr="00383554">
        <w:rPr>
          <w:rFonts w:ascii="Times New Roman" w:hAnsi="Times New Roman" w:cs="Times New Roman"/>
          <w:bCs/>
          <w:sz w:val="28"/>
          <w:szCs w:val="28"/>
        </w:rPr>
        <w:t xml:space="preserve"> are </w:t>
      </w:r>
      <w:r w:rsidR="003072D7" w:rsidRPr="00383554">
        <w:rPr>
          <w:rFonts w:ascii="Times New Roman" w:hAnsi="Times New Roman" w:cs="Times New Roman"/>
          <w:bCs/>
          <w:sz w:val="28"/>
          <w:szCs w:val="28"/>
        </w:rPr>
        <w:t>like</w:t>
      </w:r>
      <w:r w:rsidR="00FD10F0" w:rsidRPr="00383554">
        <w:rPr>
          <w:rFonts w:ascii="Times New Roman" w:hAnsi="Times New Roman" w:cs="Times New Roman"/>
          <w:bCs/>
          <w:sz w:val="28"/>
          <w:szCs w:val="28"/>
        </w:rPr>
        <w:t xml:space="preserve"> those in </w:t>
      </w:r>
      <w:r w:rsidR="003072D7" w:rsidRPr="00383554">
        <w:rPr>
          <w:rFonts w:ascii="Times New Roman" w:hAnsi="Times New Roman" w:cs="Times New Roman"/>
          <w:bCs/>
          <w:sz w:val="28"/>
          <w:szCs w:val="28"/>
        </w:rPr>
        <w:t xml:space="preserve">force in Alberta, where </w:t>
      </w:r>
      <w:r w:rsidR="009C7610" w:rsidRPr="00383554">
        <w:rPr>
          <w:rFonts w:ascii="Times New Roman" w:hAnsi="Times New Roman" w:cs="Times New Roman"/>
          <w:bCs/>
          <w:sz w:val="28"/>
          <w:szCs w:val="28"/>
        </w:rPr>
        <w:t>there is a</w:t>
      </w:r>
      <w:r w:rsidR="003072D7" w:rsidRPr="00383554">
        <w:rPr>
          <w:rFonts w:ascii="Times New Roman" w:hAnsi="Times New Roman" w:cs="Times New Roman"/>
          <w:bCs/>
          <w:sz w:val="28"/>
          <w:szCs w:val="28"/>
        </w:rPr>
        <w:t xml:space="preserve"> similar</w:t>
      </w:r>
      <w:r w:rsidR="003072D7">
        <w:rPr>
          <w:rFonts w:ascii="Times New Roman" w:hAnsi="Times New Roman" w:cs="Times New Roman"/>
          <w:bCs/>
          <w:sz w:val="28"/>
          <w:szCs w:val="28"/>
        </w:rPr>
        <w:t xml:space="preserve"> </w:t>
      </w:r>
      <w:r w:rsidR="008D6CF4">
        <w:rPr>
          <w:rFonts w:ascii="Times New Roman" w:hAnsi="Times New Roman" w:cs="Times New Roman"/>
          <w:bCs/>
          <w:sz w:val="28"/>
          <w:szCs w:val="28"/>
        </w:rPr>
        <w:t>requirement</w:t>
      </w:r>
      <w:r w:rsidR="003072D7">
        <w:rPr>
          <w:rFonts w:ascii="Times New Roman" w:hAnsi="Times New Roman" w:cs="Times New Roman"/>
          <w:bCs/>
          <w:sz w:val="28"/>
          <w:szCs w:val="28"/>
        </w:rPr>
        <w:t xml:space="preserve"> to </w:t>
      </w:r>
      <w:r w:rsidR="009C7610">
        <w:rPr>
          <w:rFonts w:ascii="Times New Roman" w:hAnsi="Times New Roman" w:cs="Times New Roman"/>
          <w:bCs/>
          <w:sz w:val="28"/>
          <w:szCs w:val="28"/>
        </w:rPr>
        <w:t>bring an application by formal notice of motion.</w:t>
      </w:r>
    </w:p>
    <w:p w14:paraId="0049D502" w14:textId="1541C01A" w:rsidR="00A41CE7" w:rsidRPr="009C7610" w:rsidRDefault="00A41CE7" w:rsidP="00F614A7">
      <w:pPr>
        <w:pStyle w:val="ListParagraph"/>
        <w:spacing w:after="0" w:line="240" w:lineRule="auto"/>
        <w:ind w:left="0"/>
        <w:jc w:val="both"/>
        <w:rPr>
          <w:rFonts w:ascii="Times New Roman" w:hAnsi="Times New Roman" w:cs="Times New Roman"/>
          <w:bCs/>
          <w:sz w:val="28"/>
          <w:szCs w:val="28"/>
        </w:rPr>
      </w:pPr>
    </w:p>
    <w:p w14:paraId="34EF0A16" w14:textId="781FB1AB" w:rsidR="00031C6E" w:rsidRPr="00744704" w:rsidRDefault="00A32B7D" w:rsidP="00744704">
      <w:pPr>
        <w:pStyle w:val="ListParagraph"/>
        <w:numPr>
          <w:ilvl w:val="0"/>
          <w:numId w:val="1"/>
        </w:numPr>
        <w:spacing w:after="0" w:line="240" w:lineRule="auto"/>
        <w:jc w:val="both"/>
        <w:rPr>
          <w:rFonts w:ascii="Times New Roman" w:hAnsi="Times New Roman" w:cs="Times New Roman"/>
          <w:bCs/>
          <w:sz w:val="28"/>
          <w:szCs w:val="28"/>
        </w:rPr>
      </w:pPr>
      <w:r w:rsidRPr="00EC0B7E">
        <w:rPr>
          <w:rFonts w:ascii="Times New Roman" w:hAnsi="Times New Roman" w:cs="Times New Roman"/>
          <w:bCs/>
          <w:sz w:val="28"/>
          <w:szCs w:val="28"/>
        </w:rPr>
        <w:t>The</w:t>
      </w:r>
      <w:r w:rsidR="00FF6E4C" w:rsidRPr="00EC0B7E">
        <w:rPr>
          <w:rFonts w:ascii="Times New Roman" w:hAnsi="Times New Roman" w:cs="Times New Roman"/>
          <w:bCs/>
          <w:sz w:val="28"/>
          <w:szCs w:val="28"/>
        </w:rPr>
        <w:t xml:space="preserve"> decisions of the</w:t>
      </w:r>
      <w:r w:rsidRPr="00EC0B7E">
        <w:rPr>
          <w:rFonts w:ascii="Times New Roman" w:hAnsi="Times New Roman" w:cs="Times New Roman"/>
          <w:bCs/>
          <w:sz w:val="28"/>
          <w:szCs w:val="28"/>
        </w:rPr>
        <w:t xml:space="preserve"> Alberta Court of Appeal </w:t>
      </w:r>
      <w:r w:rsidR="00FF6E4C" w:rsidRPr="00EC0B7E">
        <w:rPr>
          <w:rFonts w:ascii="Times New Roman" w:hAnsi="Times New Roman" w:cs="Times New Roman"/>
          <w:bCs/>
          <w:sz w:val="28"/>
          <w:szCs w:val="28"/>
        </w:rPr>
        <w:t>are</w:t>
      </w:r>
      <w:r w:rsidR="0076041E" w:rsidRPr="00EC0B7E">
        <w:rPr>
          <w:rFonts w:ascii="Times New Roman" w:hAnsi="Times New Roman" w:cs="Times New Roman"/>
          <w:bCs/>
          <w:sz w:val="28"/>
          <w:szCs w:val="28"/>
        </w:rPr>
        <w:t xml:space="preserve"> particularly persuasive in the Northwest Territories because</w:t>
      </w:r>
      <w:r w:rsidR="004B0911" w:rsidRPr="00EC0B7E">
        <w:rPr>
          <w:rFonts w:ascii="Times New Roman" w:hAnsi="Times New Roman" w:cs="Times New Roman"/>
          <w:bCs/>
          <w:sz w:val="28"/>
          <w:szCs w:val="28"/>
        </w:rPr>
        <w:t xml:space="preserve"> the Court of Appeal for the Northwest Territories is</w:t>
      </w:r>
      <w:r w:rsidR="00D05EC7" w:rsidRPr="00EC0B7E">
        <w:rPr>
          <w:rFonts w:ascii="Times New Roman" w:hAnsi="Times New Roman" w:cs="Times New Roman"/>
          <w:bCs/>
          <w:sz w:val="28"/>
          <w:szCs w:val="28"/>
        </w:rPr>
        <w:t xml:space="preserve"> </w:t>
      </w:r>
      <w:r w:rsidR="004B0911" w:rsidRPr="00EC0B7E">
        <w:rPr>
          <w:rFonts w:ascii="Times New Roman" w:hAnsi="Times New Roman" w:cs="Times New Roman"/>
          <w:bCs/>
          <w:sz w:val="28"/>
          <w:szCs w:val="28"/>
        </w:rPr>
        <w:t xml:space="preserve">largely composed </w:t>
      </w:r>
      <w:r w:rsidR="009B2B08">
        <w:rPr>
          <w:rFonts w:ascii="Times New Roman" w:hAnsi="Times New Roman" w:cs="Times New Roman"/>
          <w:bCs/>
          <w:sz w:val="28"/>
          <w:szCs w:val="28"/>
        </w:rPr>
        <w:t xml:space="preserve">of </w:t>
      </w:r>
      <w:r w:rsidR="00D05EC7" w:rsidRPr="00EC0B7E">
        <w:rPr>
          <w:rFonts w:ascii="Times New Roman" w:hAnsi="Times New Roman" w:cs="Times New Roman"/>
          <w:bCs/>
          <w:sz w:val="28"/>
          <w:szCs w:val="28"/>
        </w:rPr>
        <w:t xml:space="preserve">members of that Court </w:t>
      </w:r>
      <w:r w:rsidR="00FF6E4C" w:rsidRPr="00EC0B7E">
        <w:rPr>
          <w:rFonts w:ascii="Times New Roman" w:hAnsi="Times New Roman" w:cs="Times New Roman"/>
          <w:bCs/>
          <w:sz w:val="28"/>
          <w:szCs w:val="28"/>
        </w:rPr>
        <w:t>(see</w:t>
      </w:r>
      <w:r w:rsidR="00031C6E" w:rsidRPr="00EC0B7E">
        <w:rPr>
          <w:rFonts w:ascii="Times New Roman" w:hAnsi="Times New Roman" w:cs="Times New Roman"/>
          <w:bCs/>
          <w:sz w:val="28"/>
          <w:szCs w:val="28"/>
        </w:rPr>
        <w:t xml:space="preserve"> for example</w:t>
      </w:r>
      <w:r w:rsidR="00FF6E4C" w:rsidRPr="00EC0B7E">
        <w:rPr>
          <w:rFonts w:ascii="Times New Roman" w:hAnsi="Times New Roman" w:cs="Times New Roman"/>
          <w:bCs/>
          <w:sz w:val="28"/>
          <w:szCs w:val="28"/>
        </w:rPr>
        <w:t xml:space="preserve"> </w:t>
      </w:r>
      <w:r w:rsidR="0043245A" w:rsidRPr="00EC0B7E">
        <w:rPr>
          <w:rFonts w:ascii="Times New Roman" w:hAnsi="Times New Roman" w:cs="Times New Roman"/>
          <w:bCs/>
          <w:i/>
          <w:iCs/>
          <w:sz w:val="28"/>
          <w:szCs w:val="28"/>
        </w:rPr>
        <w:t>Brost v Bullis</w:t>
      </w:r>
      <w:r w:rsidR="0043245A" w:rsidRPr="00EC0B7E">
        <w:rPr>
          <w:rFonts w:ascii="Times New Roman" w:hAnsi="Times New Roman" w:cs="Times New Roman"/>
          <w:bCs/>
          <w:sz w:val="28"/>
          <w:szCs w:val="28"/>
        </w:rPr>
        <w:t>, 2019 NWTSC 30, para</w:t>
      </w:r>
      <w:r w:rsidR="00552C73" w:rsidRPr="00EC0B7E">
        <w:rPr>
          <w:rFonts w:ascii="Times New Roman" w:hAnsi="Times New Roman" w:cs="Times New Roman"/>
          <w:bCs/>
          <w:sz w:val="28"/>
          <w:szCs w:val="28"/>
        </w:rPr>
        <w:t xml:space="preserve"> 66</w:t>
      </w:r>
      <w:r w:rsidR="00196C90">
        <w:rPr>
          <w:rFonts w:ascii="Times New Roman" w:hAnsi="Times New Roman" w:cs="Times New Roman"/>
          <w:bCs/>
          <w:sz w:val="28"/>
          <w:szCs w:val="28"/>
        </w:rPr>
        <w:t xml:space="preserve"> and</w:t>
      </w:r>
      <w:r w:rsidR="00552C73" w:rsidRPr="00EC0B7E">
        <w:rPr>
          <w:rFonts w:ascii="Times New Roman" w:hAnsi="Times New Roman" w:cs="Times New Roman"/>
          <w:bCs/>
          <w:sz w:val="28"/>
          <w:szCs w:val="28"/>
        </w:rPr>
        <w:t xml:space="preserve"> </w:t>
      </w:r>
      <w:r w:rsidR="00031C6E" w:rsidRPr="00EC0B7E">
        <w:rPr>
          <w:rFonts w:ascii="Times New Roman" w:hAnsi="Times New Roman" w:cs="Times New Roman"/>
          <w:bCs/>
          <w:i/>
          <w:iCs/>
          <w:sz w:val="28"/>
          <w:szCs w:val="28"/>
        </w:rPr>
        <w:t>R v Whittle</w:t>
      </w:r>
      <w:r w:rsidR="00031C6E" w:rsidRPr="00EC0B7E">
        <w:rPr>
          <w:rFonts w:ascii="Times New Roman" w:hAnsi="Times New Roman" w:cs="Times New Roman"/>
          <w:bCs/>
          <w:sz w:val="28"/>
          <w:szCs w:val="28"/>
        </w:rPr>
        <w:t xml:space="preserve">, 2024 NWTSC 30, para 53). </w:t>
      </w:r>
      <w:r w:rsidR="00BB3FA6" w:rsidRPr="00EC0B7E">
        <w:rPr>
          <w:rFonts w:ascii="Times New Roman" w:hAnsi="Times New Roman" w:cs="Times New Roman"/>
          <w:bCs/>
          <w:sz w:val="28"/>
          <w:szCs w:val="28"/>
        </w:rPr>
        <w:t xml:space="preserve">In </w:t>
      </w:r>
      <w:r w:rsidR="00233AC0" w:rsidRPr="00EC0B7E">
        <w:rPr>
          <w:rFonts w:ascii="Times New Roman" w:hAnsi="Times New Roman" w:cs="Times New Roman"/>
          <w:bCs/>
          <w:i/>
          <w:iCs/>
          <w:sz w:val="28"/>
          <w:szCs w:val="28"/>
        </w:rPr>
        <w:t>Pyrrha</w:t>
      </w:r>
      <w:r w:rsidR="00233AC0" w:rsidRPr="004B0911">
        <w:rPr>
          <w:rFonts w:ascii="Times New Roman" w:hAnsi="Times New Roman" w:cs="Times New Roman"/>
          <w:bCs/>
          <w:sz w:val="28"/>
          <w:szCs w:val="28"/>
        </w:rPr>
        <w:t xml:space="preserve">, the Alberta Court of Appeal found that despite the absence of a formal notice of motion supported by affidavit as required by </w:t>
      </w:r>
      <w:r w:rsidR="003D1328" w:rsidRPr="004B0911">
        <w:rPr>
          <w:rFonts w:ascii="Times New Roman" w:hAnsi="Times New Roman" w:cs="Times New Roman"/>
          <w:bCs/>
          <w:sz w:val="28"/>
          <w:szCs w:val="28"/>
        </w:rPr>
        <w:t xml:space="preserve">the </w:t>
      </w:r>
      <w:r w:rsidR="003D1328" w:rsidRPr="004B0911">
        <w:rPr>
          <w:rFonts w:ascii="Times New Roman" w:hAnsi="Times New Roman" w:cs="Times New Roman"/>
          <w:bCs/>
          <w:i/>
          <w:iCs/>
          <w:sz w:val="28"/>
          <w:szCs w:val="28"/>
        </w:rPr>
        <w:t>Alberta Rules of Court</w:t>
      </w:r>
      <w:r w:rsidR="003D1328" w:rsidRPr="004B0911">
        <w:rPr>
          <w:rFonts w:ascii="Times New Roman" w:hAnsi="Times New Roman" w:cs="Times New Roman"/>
          <w:bCs/>
          <w:sz w:val="28"/>
          <w:szCs w:val="28"/>
        </w:rPr>
        <w:t>, the</w:t>
      </w:r>
      <w:r w:rsidR="005E4DDE" w:rsidRPr="004B0911">
        <w:rPr>
          <w:rFonts w:ascii="Times New Roman" w:hAnsi="Times New Roman" w:cs="Times New Roman"/>
          <w:bCs/>
          <w:sz w:val="28"/>
          <w:szCs w:val="28"/>
        </w:rPr>
        <w:t xml:space="preserve"> </w:t>
      </w:r>
      <w:r w:rsidR="002D0C01" w:rsidRPr="004B0911">
        <w:rPr>
          <w:rFonts w:ascii="Times New Roman" w:hAnsi="Times New Roman" w:cs="Times New Roman"/>
          <w:bCs/>
          <w:sz w:val="28"/>
          <w:szCs w:val="28"/>
        </w:rPr>
        <w:t>appellant was not taken by surprise</w:t>
      </w:r>
      <w:r w:rsidR="00273079" w:rsidRPr="004B0911">
        <w:rPr>
          <w:rFonts w:ascii="Times New Roman" w:hAnsi="Times New Roman" w:cs="Times New Roman"/>
          <w:bCs/>
          <w:sz w:val="28"/>
          <w:szCs w:val="28"/>
        </w:rPr>
        <w:t xml:space="preserve"> before the application judge</w:t>
      </w:r>
      <w:r w:rsidR="002D0C01" w:rsidRPr="004B0911">
        <w:rPr>
          <w:rFonts w:ascii="Times New Roman" w:hAnsi="Times New Roman" w:cs="Times New Roman"/>
          <w:bCs/>
          <w:sz w:val="28"/>
          <w:szCs w:val="28"/>
        </w:rPr>
        <w:t xml:space="preserve">, having been notified that the opposing party intended to seek a full dismissal of the action at the summary judgment hearing. </w:t>
      </w:r>
      <w:r w:rsidR="00EC0963" w:rsidRPr="004B0911">
        <w:rPr>
          <w:rFonts w:ascii="Times New Roman" w:hAnsi="Times New Roman" w:cs="Times New Roman"/>
          <w:bCs/>
          <w:sz w:val="28"/>
          <w:szCs w:val="28"/>
        </w:rPr>
        <w:t xml:space="preserve">The </w:t>
      </w:r>
      <w:r w:rsidR="005D0B17">
        <w:rPr>
          <w:rFonts w:ascii="Times New Roman" w:hAnsi="Times New Roman" w:cs="Times New Roman"/>
          <w:bCs/>
          <w:sz w:val="28"/>
          <w:szCs w:val="28"/>
        </w:rPr>
        <w:t>majority</w:t>
      </w:r>
      <w:r w:rsidR="00EC0963" w:rsidRPr="004B0911">
        <w:rPr>
          <w:rFonts w:ascii="Times New Roman" w:hAnsi="Times New Roman" w:cs="Times New Roman"/>
          <w:bCs/>
          <w:sz w:val="28"/>
          <w:szCs w:val="28"/>
        </w:rPr>
        <w:t xml:space="preserve"> </w:t>
      </w:r>
      <w:r w:rsidR="00673156" w:rsidRPr="004B0911">
        <w:rPr>
          <w:rFonts w:ascii="Times New Roman" w:hAnsi="Times New Roman" w:cs="Times New Roman"/>
          <w:bCs/>
          <w:sz w:val="28"/>
          <w:szCs w:val="28"/>
        </w:rPr>
        <w:t>concluded that the appellant was not prejudiced by the failure to file and serve a formal notice of application for summary dismissal</w:t>
      </w:r>
      <w:r w:rsidR="00BC6F4F" w:rsidRPr="004B0911">
        <w:rPr>
          <w:rFonts w:ascii="Times New Roman" w:hAnsi="Times New Roman" w:cs="Times New Roman"/>
          <w:bCs/>
          <w:sz w:val="28"/>
          <w:szCs w:val="28"/>
        </w:rPr>
        <w:t xml:space="preserve"> and dismissed the appeal. The situation was different in </w:t>
      </w:r>
      <w:r w:rsidR="00286AB3" w:rsidRPr="004B0911">
        <w:rPr>
          <w:rFonts w:ascii="Times New Roman" w:hAnsi="Times New Roman" w:cs="Times New Roman"/>
          <w:bCs/>
          <w:i/>
          <w:iCs/>
          <w:sz w:val="28"/>
          <w:szCs w:val="28"/>
        </w:rPr>
        <w:t>Canada Trust Company</w:t>
      </w:r>
      <w:r w:rsidR="00286AB3" w:rsidRPr="004B0911">
        <w:rPr>
          <w:rFonts w:ascii="Times New Roman" w:hAnsi="Times New Roman" w:cs="Times New Roman"/>
          <w:bCs/>
          <w:sz w:val="28"/>
          <w:szCs w:val="28"/>
        </w:rPr>
        <w:t xml:space="preserve"> where </w:t>
      </w:r>
      <w:r w:rsidR="00C914F5">
        <w:rPr>
          <w:rFonts w:ascii="Times New Roman" w:hAnsi="Times New Roman" w:cs="Times New Roman"/>
          <w:bCs/>
          <w:sz w:val="28"/>
          <w:szCs w:val="28"/>
        </w:rPr>
        <w:t xml:space="preserve">at a hearing for summary dismissal, </w:t>
      </w:r>
      <w:r w:rsidR="007C7025" w:rsidRPr="004B0911">
        <w:rPr>
          <w:rFonts w:ascii="Times New Roman" w:hAnsi="Times New Roman" w:cs="Times New Roman"/>
          <w:bCs/>
          <w:sz w:val="28"/>
          <w:szCs w:val="28"/>
        </w:rPr>
        <w:t xml:space="preserve">the application judge made a final ruling </w:t>
      </w:r>
      <w:r w:rsidR="00EE4521" w:rsidRPr="004B0911">
        <w:rPr>
          <w:rFonts w:ascii="Times New Roman" w:hAnsi="Times New Roman" w:cs="Times New Roman"/>
          <w:bCs/>
          <w:sz w:val="28"/>
          <w:szCs w:val="28"/>
        </w:rPr>
        <w:t xml:space="preserve">on an issue when </w:t>
      </w:r>
      <w:r w:rsidR="00D446DE" w:rsidRPr="004B0911">
        <w:rPr>
          <w:rFonts w:ascii="Times New Roman" w:hAnsi="Times New Roman" w:cs="Times New Roman"/>
          <w:bCs/>
          <w:sz w:val="28"/>
          <w:szCs w:val="28"/>
        </w:rPr>
        <w:t>neither part</w:t>
      </w:r>
      <w:r w:rsidR="00533591" w:rsidRPr="004B0911">
        <w:rPr>
          <w:rFonts w:ascii="Times New Roman" w:hAnsi="Times New Roman" w:cs="Times New Roman"/>
          <w:bCs/>
          <w:sz w:val="28"/>
          <w:szCs w:val="28"/>
        </w:rPr>
        <w:t>y</w:t>
      </w:r>
      <w:r w:rsidR="00D446DE" w:rsidRPr="004B0911">
        <w:rPr>
          <w:rFonts w:ascii="Times New Roman" w:hAnsi="Times New Roman" w:cs="Times New Roman"/>
          <w:bCs/>
          <w:sz w:val="28"/>
          <w:szCs w:val="28"/>
        </w:rPr>
        <w:t xml:space="preserve"> </w:t>
      </w:r>
      <w:r w:rsidR="00533591" w:rsidRPr="004B0911">
        <w:rPr>
          <w:rFonts w:ascii="Times New Roman" w:hAnsi="Times New Roman" w:cs="Times New Roman"/>
          <w:bCs/>
          <w:sz w:val="28"/>
          <w:szCs w:val="28"/>
        </w:rPr>
        <w:t xml:space="preserve">had sought such a relief. Because there </w:t>
      </w:r>
      <w:r w:rsidR="00BC3C3F" w:rsidRPr="004B0911">
        <w:rPr>
          <w:rFonts w:ascii="Times New Roman" w:hAnsi="Times New Roman" w:cs="Times New Roman"/>
          <w:bCs/>
          <w:sz w:val="28"/>
          <w:szCs w:val="28"/>
        </w:rPr>
        <w:t xml:space="preserve">was no formal or informal cross-application for summary </w:t>
      </w:r>
      <w:r w:rsidR="00556E10" w:rsidRPr="004B0911">
        <w:rPr>
          <w:rFonts w:ascii="Times New Roman" w:hAnsi="Times New Roman" w:cs="Times New Roman"/>
          <w:bCs/>
          <w:sz w:val="28"/>
          <w:szCs w:val="28"/>
        </w:rPr>
        <w:t xml:space="preserve">judgment </w:t>
      </w:r>
      <w:r w:rsidR="00BC3C3F" w:rsidRPr="004B0911">
        <w:rPr>
          <w:rFonts w:ascii="Times New Roman" w:hAnsi="Times New Roman" w:cs="Times New Roman"/>
          <w:bCs/>
          <w:sz w:val="28"/>
          <w:szCs w:val="28"/>
        </w:rPr>
        <w:t xml:space="preserve">and no opportunity for the parties to address the </w:t>
      </w:r>
      <w:r w:rsidR="007C7025" w:rsidRPr="004B0911">
        <w:rPr>
          <w:rFonts w:ascii="Times New Roman" w:hAnsi="Times New Roman" w:cs="Times New Roman"/>
          <w:bCs/>
          <w:sz w:val="28"/>
          <w:szCs w:val="28"/>
        </w:rPr>
        <w:t xml:space="preserve">argument </w:t>
      </w:r>
      <w:r w:rsidR="00556E10" w:rsidRPr="004B0911">
        <w:rPr>
          <w:rFonts w:ascii="Times New Roman" w:hAnsi="Times New Roman" w:cs="Times New Roman"/>
          <w:bCs/>
          <w:sz w:val="28"/>
          <w:szCs w:val="28"/>
        </w:rPr>
        <w:t xml:space="preserve">the application judge relied on, the appeal was allowed. </w:t>
      </w:r>
      <w:r w:rsidR="00F53CE3">
        <w:rPr>
          <w:rFonts w:ascii="Times New Roman" w:hAnsi="Times New Roman" w:cs="Times New Roman"/>
          <w:bCs/>
          <w:sz w:val="28"/>
          <w:szCs w:val="28"/>
        </w:rPr>
        <w:t>The Ontario Court of Appeal</w:t>
      </w:r>
      <w:r w:rsidR="009F4A2D">
        <w:rPr>
          <w:rFonts w:ascii="Times New Roman" w:hAnsi="Times New Roman" w:cs="Times New Roman"/>
          <w:bCs/>
          <w:sz w:val="28"/>
          <w:szCs w:val="28"/>
        </w:rPr>
        <w:t>,</w:t>
      </w:r>
      <w:r w:rsidR="00F53CE3">
        <w:rPr>
          <w:rFonts w:ascii="Times New Roman" w:hAnsi="Times New Roman" w:cs="Times New Roman"/>
          <w:bCs/>
          <w:sz w:val="28"/>
          <w:szCs w:val="28"/>
        </w:rPr>
        <w:t xml:space="preserve"> in </w:t>
      </w:r>
      <w:proofErr w:type="spellStart"/>
      <w:r w:rsidR="009F4A2D" w:rsidRPr="009F4A2D">
        <w:rPr>
          <w:rFonts w:ascii="Times New Roman" w:hAnsi="Times New Roman" w:cs="Times New Roman"/>
          <w:bCs/>
          <w:i/>
          <w:iCs/>
          <w:sz w:val="28"/>
          <w:szCs w:val="28"/>
        </w:rPr>
        <w:t>Kassburg</w:t>
      </w:r>
      <w:proofErr w:type="spellEnd"/>
      <w:r w:rsidR="009F4A2D">
        <w:rPr>
          <w:rFonts w:ascii="Times New Roman" w:hAnsi="Times New Roman" w:cs="Times New Roman"/>
          <w:bCs/>
          <w:sz w:val="28"/>
          <w:szCs w:val="28"/>
        </w:rPr>
        <w:t xml:space="preserve">, </w:t>
      </w:r>
      <w:r w:rsidR="00895772" w:rsidRPr="00895772">
        <w:rPr>
          <w:rFonts w:ascii="Times New Roman" w:hAnsi="Times New Roman" w:cs="Times New Roman"/>
          <w:bCs/>
          <w:i/>
          <w:iCs/>
          <w:sz w:val="28"/>
          <w:szCs w:val="28"/>
        </w:rPr>
        <w:t>Drummond</w:t>
      </w:r>
      <w:r w:rsidR="009F4A2D">
        <w:rPr>
          <w:rFonts w:ascii="Times New Roman" w:hAnsi="Times New Roman" w:cs="Times New Roman"/>
          <w:bCs/>
          <w:sz w:val="28"/>
          <w:szCs w:val="28"/>
        </w:rPr>
        <w:t xml:space="preserve"> and</w:t>
      </w:r>
      <w:r w:rsidR="000C3285">
        <w:rPr>
          <w:rFonts w:ascii="Times New Roman" w:hAnsi="Times New Roman" w:cs="Times New Roman"/>
          <w:bCs/>
          <w:sz w:val="28"/>
          <w:szCs w:val="28"/>
        </w:rPr>
        <w:t xml:space="preserve"> </w:t>
      </w:r>
      <w:r w:rsidR="00895772" w:rsidRPr="00895772">
        <w:rPr>
          <w:rFonts w:ascii="Times New Roman" w:hAnsi="Times New Roman" w:cs="Times New Roman"/>
          <w:bCs/>
          <w:i/>
          <w:iCs/>
          <w:sz w:val="28"/>
          <w:szCs w:val="28"/>
        </w:rPr>
        <w:t>Graham</w:t>
      </w:r>
      <w:r w:rsidR="009F4A2D">
        <w:rPr>
          <w:rFonts w:ascii="Times New Roman" w:hAnsi="Times New Roman" w:cs="Times New Roman"/>
          <w:bCs/>
          <w:i/>
          <w:iCs/>
          <w:sz w:val="28"/>
          <w:szCs w:val="28"/>
        </w:rPr>
        <w:t xml:space="preserve">, </w:t>
      </w:r>
      <w:r w:rsidR="009F4A2D" w:rsidRPr="009F4A2D">
        <w:rPr>
          <w:rFonts w:ascii="Times New Roman" w:hAnsi="Times New Roman" w:cs="Times New Roman"/>
          <w:bCs/>
          <w:sz w:val="28"/>
          <w:szCs w:val="28"/>
        </w:rPr>
        <w:t>and</w:t>
      </w:r>
      <w:r w:rsidR="00895772" w:rsidRPr="009F4A2D">
        <w:rPr>
          <w:rFonts w:ascii="Times New Roman" w:hAnsi="Times New Roman" w:cs="Times New Roman"/>
          <w:bCs/>
          <w:sz w:val="28"/>
          <w:szCs w:val="28"/>
        </w:rPr>
        <w:t xml:space="preserve"> </w:t>
      </w:r>
      <w:r w:rsidR="00F53CE3">
        <w:rPr>
          <w:rFonts w:ascii="Times New Roman" w:hAnsi="Times New Roman" w:cs="Times New Roman"/>
          <w:bCs/>
          <w:sz w:val="28"/>
          <w:szCs w:val="28"/>
        </w:rPr>
        <w:t xml:space="preserve">the New </w:t>
      </w:r>
      <w:r w:rsidR="00B053F4">
        <w:rPr>
          <w:rFonts w:ascii="Times New Roman" w:hAnsi="Times New Roman" w:cs="Times New Roman"/>
          <w:bCs/>
          <w:sz w:val="28"/>
          <w:szCs w:val="28"/>
        </w:rPr>
        <w:t>Brunswick</w:t>
      </w:r>
      <w:r w:rsidR="00F53CE3">
        <w:rPr>
          <w:rFonts w:ascii="Times New Roman" w:hAnsi="Times New Roman" w:cs="Times New Roman"/>
          <w:bCs/>
          <w:sz w:val="28"/>
          <w:szCs w:val="28"/>
        </w:rPr>
        <w:t xml:space="preserve"> Court of Appeal</w:t>
      </w:r>
      <w:r w:rsidR="009F4A2D">
        <w:rPr>
          <w:rFonts w:ascii="Times New Roman" w:hAnsi="Times New Roman" w:cs="Times New Roman"/>
          <w:bCs/>
          <w:sz w:val="28"/>
          <w:szCs w:val="28"/>
        </w:rPr>
        <w:t>,</w:t>
      </w:r>
      <w:r w:rsidR="00F53CE3">
        <w:rPr>
          <w:rFonts w:ascii="Times New Roman" w:hAnsi="Times New Roman" w:cs="Times New Roman"/>
          <w:bCs/>
          <w:sz w:val="28"/>
          <w:szCs w:val="28"/>
        </w:rPr>
        <w:t xml:space="preserve"> in</w:t>
      </w:r>
      <w:r w:rsidR="00744704" w:rsidRPr="00744704">
        <w:rPr>
          <w:rFonts w:ascii="Open Sans" w:eastAsia="Times New Roman" w:hAnsi="Open Sans" w:cs="Open Sans"/>
          <w:color w:val="000000"/>
          <w:kern w:val="36"/>
          <w:sz w:val="36"/>
          <w:szCs w:val="36"/>
        </w:rPr>
        <w:t xml:space="preserve"> </w:t>
      </w:r>
      <w:r w:rsidR="00744704" w:rsidRPr="00744704">
        <w:rPr>
          <w:rFonts w:ascii="Times New Roman" w:hAnsi="Times New Roman" w:cs="Times New Roman"/>
          <w:bCs/>
          <w:i/>
          <w:iCs/>
          <w:sz w:val="28"/>
          <w:szCs w:val="28"/>
        </w:rPr>
        <w:t>Abrams v RTO Asset Management</w:t>
      </w:r>
      <w:r w:rsidR="00744704" w:rsidRPr="00744704">
        <w:rPr>
          <w:rFonts w:ascii="Times New Roman" w:hAnsi="Times New Roman" w:cs="Times New Roman"/>
          <w:bCs/>
          <w:sz w:val="28"/>
          <w:szCs w:val="28"/>
        </w:rPr>
        <w:t>, 2020 NBCA 57</w:t>
      </w:r>
      <w:r w:rsidR="00171703">
        <w:rPr>
          <w:rFonts w:ascii="Times New Roman" w:hAnsi="Times New Roman" w:cs="Times New Roman"/>
          <w:bCs/>
          <w:sz w:val="28"/>
          <w:szCs w:val="28"/>
        </w:rPr>
        <w:t xml:space="preserve"> (leave to appeal to</w:t>
      </w:r>
      <w:r w:rsidR="00B12851">
        <w:rPr>
          <w:rFonts w:ascii="Times New Roman" w:hAnsi="Times New Roman" w:cs="Times New Roman"/>
          <w:bCs/>
          <w:sz w:val="28"/>
          <w:szCs w:val="28"/>
        </w:rPr>
        <w:t xml:space="preserve"> </w:t>
      </w:r>
      <w:r w:rsidR="00B12851" w:rsidRPr="00D3498E">
        <w:rPr>
          <w:rFonts w:ascii="Times New Roman" w:hAnsi="Times New Roman" w:cs="Times New Roman"/>
          <w:bCs/>
          <w:sz w:val="28"/>
          <w:szCs w:val="28"/>
        </w:rPr>
        <w:t>SCC</w:t>
      </w:r>
      <w:r w:rsidR="00B12851">
        <w:rPr>
          <w:rFonts w:ascii="Times New Roman" w:hAnsi="Times New Roman" w:cs="Times New Roman"/>
          <w:bCs/>
          <w:sz w:val="28"/>
          <w:szCs w:val="28"/>
        </w:rPr>
        <w:t xml:space="preserve"> refused, </w:t>
      </w:r>
      <w:r w:rsidR="00B12851" w:rsidRPr="00B12851">
        <w:rPr>
          <w:rFonts w:ascii="Times New Roman" w:hAnsi="Times New Roman" w:cs="Times New Roman"/>
          <w:bCs/>
          <w:sz w:val="28"/>
          <w:szCs w:val="28"/>
        </w:rPr>
        <w:t>2021 CanLII 20336 (SCC)</w:t>
      </w:r>
      <w:r w:rsidR="00171703">
        <w:rPr>
          <w:rFonts w:ascii="Times New Roman" w:hAnsi="Times New Roman" w:cs="Times New Roman"/>
          <w:bCs/>
          <w:sz w:val="28"/>
          <w:szCs w:val="28"/>
        </w:rPr>
        <w:t>)</w:t>
      </w:r>
      <w:r w:rsidR="009F4A2D">
        <w:rPr>
          <w:rFonts w:ascii="Times New Roman" w:hAnsi="Times New Roman" w:cs="Times New Roman"/>
          <w:bCs/>
          <w:sz w:val="28"/>
          <w:szCs w:val="28"/>
        </w:rPr>
        <w:t>,</w:t>
      </w:r>
      <w:r w:rsidR="00F53CE3" w:rsidRPr="00744704">
        <w:rPr>
          <w:rFonts w:ascii="Times New Roman" w:hAnsi="Times New Roman" w:cs="Times New Roman"/>
          <w:bCs/>
          <w:sz w:val="28"/>
          <w:szCs w:val="28"/>
        </w:rPr>
        <w:t xml:space="preserve"> </w:t>
      </w:r>
      <w:r w:rsidR="00095EAD" w:rsidRPr="00744704">
        <w:rPr>
          <w:rFonts w:ascii="Times New Roman" w:hAnsi="Times New Roman" w:cs="Times New Roman"/>
          <w:bCs/>
          <w:sz w:val="28"/>
          <w:szCs w:val="28"/>
        </w:rPr>
        <w:t xml:space="preserve">adopted a similar </w:t>
      </w:r>
      <w:r w:rsidR="00D20A2F" w:rsidRPr="00744704">
        <w:rPr>
          <w:rFonts w:ascii="Times New Roman" w:hAnsi="Times New Roman" w:cs="Times New Roman"/>
          <w:bCs/>
          <w:sz w:val="28"/>
          <w:szCs w:val="28"/>
        </w:rPr>
        <w:t>approach</w:t>
      </w:r>
      <w:r w:rsidR="00095EAD" w:rsidRPr="00744704">
        <w:rPr>
          <w:rFonts w:ascii="Times New Roman" w:hAnsi="Times New Roman" w:cs="Times New Roman"/>
          <w:bCs/>
          <w:sz w:val="28"/>
          <w:szCs w:val="28"/>
        </w:rPr>
        <w:t xml:space="preserve">. </w:t>
      </w:r>
      <w:r w:rsidR="00B97F37" w:rsidRPr="00744704">
        <w:rPr>
          <w:rFonts w:ascii="Times New Roman" w:hAnsi="Times New Roman" w:cs="Times New Roman"/>
          <w:bCs/>
          <w:sz w:val="28"/>
          <w:szCs w:val="28"/>
        </w:rPr>
        <w:t xml:space="preserve">The central </w:t>
      </w:r>
      <w:r w:rsidR="002B0119">
        <w:rPr>
          <w:rFonts w:ascii="Times New Roman" w:hAnsi="Times New Roman" w:cs="Times New Roman"/>
          <w:bCs/>
          <w:sz w:val="28"/>
          <w:szCs w:val="28"/>
        </w:rPr>
        <w:t>consideration</w:t>
      </w:r>
      <w:r w:rsidR="00CE067E">
        <w:rPr>
          <w:rFonts w:ascii="Times New Roman" w:hAnsi="Times New Roman" w:cs="Times New Roman"/>
          <w:bCs/>
          <w:sz w:val="28"/>
          <w:szCs w:val="28"/>
        </w:rPr>
        <w:t xml:space="preserve"> </w:t>
      </w:r>
      <w:r w:rsidR="00615E34">
        <w:rPr>
          <w:rFonts w:ascii="Times New Roman" w:hAnsi="Times New Roman" w:cs="Times New Roman"/>
          <w:bCs/>
          <w:sz w:val="28"/>
          <w:szCs w:val="28"/>
        </w:rPr>
        <w:t>in</w:t>
      </w:r>
      <w:r w:rsidR="00B97F37" w:rsidRPr="00744704">
        <w:rPr>
          <w:rFonts w:ascii="Times New Roman" w:hAnsi="Times New Roman" w:cs="Times New Roman"/>
          <w:bCs/>
          <w:sz w:val="28"/>
          <w:szCs w:val="28"/>
        </w:rPr>
        <w:t xml:space="preserve"> all these decisions </w:t>
      </w:r>
      <w:r w:rsidR="00CE067E">
        <w:rPr>
          <w:rFonts w:ascii="Times New Roman" w:hAnsi="Times New Roman" w:cs="Times New Roman"/>
          <w:bCs/>
          <w:sz w:val="28"/>
          <w:szCs w:val="28"/>
        </w:rPr>
        <w:t xml:space="preserve">is </w:t>
      </w:r>
      <w:r w:rsidR="00B97F37" w:rsidRPr="00744704">
        <w:rPr>
          <w:rFonts w:ascii="Times New Roman" w:hAnsi="Times New Roman" w:cs="Times New Roman"/>
          <w:bCs/>
          <w:sz w:val="28"/>
          <w:szCs w:val="28"/>
        </w:rPr>
        <w:t xml:space="preserve">fairness. </w:t>
      </w:r>
    </w:p>
    <w:p w14:paraId="00FFC7F7" w14:textId="5162ACEE" w:rsidR="0043245A" w:rsidRPr="0043245A" w:rsidRDefault="0043245A" w:rsidP="00031C6E">
      <w:pPr>
        <w:pStyle w:val="ListParagraph"/>
        <w:spacing w:after="0" w:line="240" w:lineRule="auto"/>
        <w:ind w:left="0"/>
        <w:jc w:val="both"/>
        <w:rPr>
          <w:rFonts w:ascii="Times New Roman" w:hAnsi="Times New Roman" w:cs="Times New Roman"/>
          <w:bCs/>
          <w:sz w:val="28"/>
          <w:szCs w:val="28"/>
        </w:rPr>
      </w:pPr>
    </w:p>
    <w:p w14:paraId="11BE0FC1" w14:textId="663D7721" w:rsidR="008F04C3" w:rsidRPr="006F4289" w:rsidRDefault="003E532F" w:rsidP="008F04C3">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In this case, I agree with Paramount that it would not be unfair to ADK to entertain Paramount’s request </w:t>
      </w:r>
      <w:r w:rsidR="002B076C">
        <w:rPr>
          <w:rFonts w:ascii="Times New Roman" w:hAnsi="Times New Roman" w:cs="Times New Roman"/>
          <w:bCs/>
          <w:sz w:val="28"/>
          <w:szCs w:val="28"/>
        </w:rPr>
        <w:t xml:space="preserve">to dismiss the action. </w:t>
      </w:r>
      <w:r w:rsidR="00CC1887">
        <w:rPr>
          <w:rFonts w:ascii="Times New Roman" w:hAnsi="Times New Roman" w:cs="Times New Roman"/>
          <w:bCs/>
          <w:sz w:val="28"/>
          <w:szCs w:val="28"/>
        </w:rPr>
        <w:t xml:space="preserve">Paramount gave ADK informal </w:t>
      </w:r>
      <w:r w:rsidR="00CC1887">
        <w:rPr>
          <w:rFonts w:ascii="Times New Roman" w:hAnsi="Times New Roman" w:cs="Times New Roman"/>
          <w:bCs/>
          <w:sz w:val="28"/>
          <w:szCs w:val="28"/>
        </w:rPr>
        <w:lastRenderedPageBreak/>
        <w:t>notice of the intention to seek the dismissal of the action</w:t>
      </w:r>
      <w:r w:rsidR="006C21C1">
        <w:rPr>
          <w:rFonts w:ascii="Times New Roman" w:hAnsi="Times New Roman" w:cs="Times New Roman"/>
          <w:bCs/>
          <w:sz w:val="28"/>
          <w:szCs w:val="28"/>
        </w:rPr>
        <w:t xml:space="preserve">. </w:t>
      </w:r>
      <w:r w:rsidR="00F5384A">
        <w:rPr>
          <w:rFonts w:ascii="Times New Roman" w:hAnsi="Times New Roman" w:cs="Times New Roman"/>
          <w:bCs/>
          <w:sz w:val="28"/>
          <w:szCs w:val="28"/>
        </w:rPr>
        <w:t xml:space="preserve">On October 8, 2024, almost eight months before the hearing </w:t>
      </w:r>
      <w:r w:rsidR="006F1AE0">
        <w:rPr>
          <w:rFonts w:ascii="Times New Roman" w:hAnsi="Times New Roman" w:cs="Times New Roman"/>
          <w:bCs/>
          <w:sz w:val="28"/>
          <w:szCs w:val="28"/>
        </w:rPr>
        <w:t xml:space="preserve">of </w:t>
      </w:r>
      <w:r w:rsidR="00F5384A">
        <w:rPr>
          <w:rFonts w:ascii="Times New Roman" w:hAnsi="Times New Roman" w:cs="Times New Roman"/>
          <w:bCs/>
          <w:sz w:val="28"/>
          <w:szCs w:val="28"/>
        </w:rPr>
        <w:t>th</w:t>
      </w:r>
      <w:r w:rsidR="00152AE1">
        <w:rPr>
          <w:rFonts w:ascii="Times New Roman" w:hAnsi="Times New Roman" w:cs="Times New Roman"/>
          <w:bCs/>
          <w:sz w:val="28"/>
          <w:szCs w:val="28"/>
        </w:rPr>
        <w:t>is</w:t>
      </w:r>
      <w:r w:rsidR="00F5384A">
        <w:rPr>
          <w:rFonts w:ascii="Times New Roman" w:hAnsi="Times New Roman" w:cs="Times New Roman"/>
          <w:bCs/>
          <w:sz w:val="28"/>
          <w:szCs w:val="28"/>
        </w:rPr>
        <w:t xml:space="preserve"> application, </w:t>
      </w:r>
      <w:r w:rsidR="00756D05">
        <w:rPr>
          <w:rFonts w:ascii="Times New Roman" w:hAnsi="Times New Roman" w:cs="Times New Roman"/>
          <w:bCs/>
          <w:sz w:val="28"/>
          <w:szCs w:val="28"/>
        </w:rPr>
        <w:t xml:space="preserve">Paramount put ADK on notice that </w:t>
      </w:r>
      <w:r w:rsidR="009F4F69">
        <w:rPr>
          <w:rFonts w:ascii="Times New Roman" w:hAnsi="Times New Roman" w:cs="Times New Roman"/>
          <w:bCs/>
          <w:sz w:val="28"/>
          <w:szCs w:val="28"/>
        </w:rPr>
        <w:t>it</w:t>
      </w:r>
      <w:r w:rsidR="00756D05">
        <w:rPr>
          <w:rFonts w:ascii="Times New Roman" w:hAnsi="Times New Roman" w:cs="Times New Roman"/>
          <w:bCs/>
          <w:sz w:val="28"/>
          <w:szCs w:val="28"/>
        </w:rPr>
        <w:t xml:space="preserve"> would </w:t>
      </w:r>
      <w:r w:rsidR="00C24902">
        <w:rPr>
          <w:rFonts w:ascii="Times New Roman" w:hAnsi="Times New Roman" w:cs="Times New Roman"/>
          <w:bCs/>
          <w:sz w:val="28"/>
          <w:szCs w:val="28"/>
        </w:rPr>
        <w:t xml:space="preserve">not bring a formal cross-application for </w:t>
      </w:r>
      <w:r w:rsidR="00A24F54">
        <w:rPr>
          <w:rFonts w:ascii="Times New Roman" w:hAnsi="Times New Roman" w:cs="Times New Roman"/>
          <w:bCs/>
          <w:sz w:val="28"/>
          <w:szCs w:val="28"/>
        </w:rPr>
        <w:t xml:space="preserve">summary judgment </w:t>
      </w:r>
      <w:r w:rsidR="001751E6">
        <w:rPr>
          <w:rFonts w:ascii="Times New Roman" w:hAnsi="Times New Roman" w:cs="Times New Roman"/>
          <w:bCs/>
          <w:sz w:val="28"/>
          <w:szCs w:val="28"/>
        </w:rPr>
        <w:t>but</w:t>
      </w:r>
      <w:r w:rsidR="009F4F69">
        <w:rPr>
          <w:rFonts w:ascii="Times New Roman" w:hAnsi="Times New Roman" w:cs="Times New Roman"/>
          <w:bCs/>
          <w:sz w:val="28"/>
          <w:szCs w:val="28"/>
        </w:rPr>
        <w:t xml:space="preserve"> that it</w:t>
      </w:r>
      <w:r w:rsidR="00A24F54">
        <w:rPr>
          <w:rFonts w:ascii="Times New Roman" w:hAnsi="Times New Roman" w:cs="Times New Roman"/>
          <w:bCs/>
          <w:sz w:val="28"/>
          <w:szCs w:val="28"/>
        </w:rPr>
        <w:t xml:space="preserve"> would seek a final determination of the </w:t>
      </w:r>
      <w:r w:rsidR="00A24F54" w:rsidRPr="006F4289">
        <w:rPr>
          <w:rFonts w:ascii="Times New Roman" w:hAnsi="Times New Roman" w:cs="Times New Roman"/>
          <w:bCs/>
          <w:sz w:val="28"/>
          <w:szCs w:val="28"/>
        </w:rPr>
        <w:t>issues in dispute at the hearing</w:t>
      </w:r>
      <w:r w:rsidR="00233DAE" w:rsidRPr="006F4289">
        <w:rPr>
          <w:rFonts w:ascii="Times New Roman" w:hAnsi="Times New Roman" w:cs="Times New Roman"/>
          <w:bCs/>
          <w:sz w:val="28"/>
          <w:szCs w:val="28"/>
        </w:rPr>
        <w:t xml:space="preserve">. The </w:t>
      </w:r>
      <w:r w:rsidR="00D73E6C" w:rsidRPr="006F4289">
        <w:rPr>
          <w:rFonts w:ascii="Times New Roman" w:hAnsi="Times New Roman" w:cs="Times New Roman"/>
          <w:bCs/>
          <w:sz w:val="28"/>
          <w:szCs w:val="28"/>
        </w:rPr>
        <w:t>question</w:t>
      </w:r>
      <w:r w:rsidR="00233DAE" w:rsidRPr="006F4289">
        <w:rPr>
          <w:rFonts w:ascii="Times New Roman" w:hAnsi="Times New Roman" w:cs="Times New Roman"/>
          <w:bCs/>
          <w:sz w:val="28"/>
          <w:szCs w:val="28"/>
        </w:rPr>
        <w:t xml:space="preserve"> was </w:t>
      </w:r>
      <w:r w:rsidR="00406520" w:rsidRPr="006F4289">
        <w:rPr>
          <w:rFonts w:ascii="Times New Roman" w:hAnsi="Times New Roman" w:cs="Times New Roman"/>
          <w:bCs/>
          <w:sz w:val="28"/>
          <w:szCs w:val="28"/>
        </w:rPr>
        <w:t xml:space="preserve">again </w:t>
      </w:r>
      <w:r w:rsidR="004B00CE" w:rsidRPr="006F4289">
        <w:rPr>
          <w:rFonts w:ascii="Times New Roman" w:hAnsi="Times New Roman" w:cs="Times New Roman"/>
          <w:bCs/>
          <w:sz w:val="28"/>
          <w:szCs w:val="28"/>
        </w:rPr>
        <w:t>raised</w:t>
      </w:r>
      <w:r w:rsidR="00111006" w:rsidRPr="006F4289">
        <w:rPr>
          <w:rFonts w:ascii="Times New Roman" w:hAnsi="Times New Roman" w:cs="Times New Roman"/>
          <w:bCs/>
          <w:sz w:val="28"/>
          <w:szCs w:val="28"/>
        </w:rPr>
        <w:t>,</w:t>
      </w:r>
      <w:r w:rsidR="004B00CE" w:rsidRPr="006F4289">
        <w:rPr>
          <w:rFonts w:ascii="Times New Roman" w:hAnsi="Times New Roman" w:cs="Times New Roman"/>
          <w:bCs/>
          <w:sz w:val="28"/>
          <w:szCs w:val="28"/>
        </w:rPr>
        <w:t xml:space="preserve"> this time by ADK</w:t>
      </w:r>
      <w:r w:rsidR="00111006" w:rsidRPr="006F4289">
        <w:rPr>
          <w:rFonts w:ascii="Times New Roman" w:hAnsi="Times New Roman" w:cs="Times New Roman"/>
          <w:bCs/>
          <w:sz w:val="28"/>
          <w:szCs w:val="28"/>
        </w:rPr>
        <w:t>,</w:t>
      </w:r>
      <w:r w:rsidR="004B00CE" w:rsidRPr="006F4289">
        <w:rPr>
          <w:rFonts w:ascii="Times New Roman" w:hAnsi="Times New Roman" w:cs="Times New Roman"/>
          <w:bCs/>
          <w:sz w:val="28"/>
          <w:szCs w:val="28"/>
        </w:rPr>
        <w:t xml:space="preserve"> following </w:t>
      </w:r>
      <w:r w:rsidR="00233DAE" w:rsidRPr="006F4289">
        <w:rPr>
          <w:rFonts w:ascii="Times New Roman" w:hAnsi="Times New Roman" w:cs="Times New Roman"/>
          <w:bCs/>
          <w:sz w:val="28"/>
          <w:szCs w:val="28"/>
        </w:rPr>
        <w:t>the May 28, 2025</w:t>
      </w:r>
      <w:r w:rsidR="00D73E6C" w:rsidRPr="006F4289">
        <w:rPr>
          <w:rFonts w:ascii="Times New Roman" w:hAnsi="Times New Roman" w:cs="Times New Roman"/>
          <w:bCs/>
          <w:sz w:val="28"/>
          <w:szCs w:val="28"/>
        </w:rPr>
        <w:t>,</w:t>
      </w:r>
      <w:r w:rsidR="00233DAE" w:rsidRPr="006F4289">
        <w:rPr>
          <w:rFonts w:ascii="Times New Roman" w:hAnsi="Times New Roman" w:cs="Times New Roman"/>
          <w:bCs/>
          <w:sz w:val="28"/>
          <w:szCs w:val="28"/>
        </w:rPr>
        <w:t xml:space="preserve"> pre-hearing conference</w:t>
      </w:r>
      <w:r w:rsidR="004B00CE" w:rsidRPr="006F4289">
        <w:rPr>
          <w:rFonts w:ascii="Times New Roman" w:hAnsi="Times New Roman" w:cs="Times New Roman"/>
          <w:bCs/>
          <w:sz w:val="28"/>
          <w:szCs w:val="28"/>
        </w:rPr>
        <w:t xml:space="preserve">. On May 30, 2025, </w:t>
      </w:r>
      <w:r w:rsidR="00233DAE" w:rsidRPr="006F4289">
        <w:rPr>
          <w:rFonts w:ascii="Times New Roman" w:hAnsi="Times New Roman" w:cs="Times New Roman"/>
          <w:bCs/>
          <w:sz w:val="28"/>
          <w:szCs w:val="28"/>
        </w:rPr>
        <w:t xml:space="preserve">I offered </w:t>
      </w:r>
      <w:r w:rsidR="00BC34B0" w:rsidRPr="006F4289">
        <w:rPr>
          <w:rFonts w:ascii="Times New Roman" w:hAnsi="Times New Roman" w:cs="Times New Roman"/>
          <w:bCs/>
          <w:sz w:val="28"/>
          <w:szCs w:val="28"/>
        </w:rPr>
        <w:t xml:space="preserve">ADK </w:t>
      </w:r>
      <w:r w:rsidR="00233DAE" w:rsidRPr="006F4289">
        <w:rPr>
          <w:rFonts w:ascii="Times New Roman" w:hAnsi="Times New Roman" w:cs="Times New Roman"/>
          <w:bCs/>
          <w:sz w:val="28"/>
          <w:szCs w:val="28"/>
        </w:rPr>
        <w:t>the opportunity to seek an adjournment</w:t>
      </w:r>
      <w:r w:rsidR="00111006" w:rsidRPr="006F4289">
        <w:rPr>
          <w:rFonts w:ascii="Times New Roman" w:hAnsi="Times New Roman" w:cs="Times New Roman"/>
          <w:bCs/>
          <w:sz w:val="28"/>
          <w:szCs w:val="28"/>
        </w:rPr>
        <w:t xml:space="preserve"> if it considered </w:t>
      </w:r>
      <w:r w:rsidR="00694944" w:rsidRPr="006F4289">
        <w:rPr>
          <w:rFonts w:ascii="Times New Roman" w:hAnsi="Times New Roman" w:cs="Times New Roman"/>
          <w:bCs/>
          <w:sz w:val="28"/>
          <w:szCs w:val="28"/>
        </w:rPr>
        <w:t xml:space="preserve">proceeding with the application would </w:t>
      </w:r>
      <w:r w:rsidR="00596BDC" w:rsidRPr="006F4289">
        <w:rPr>
          <w:rFonts w:ascii="Times New Roman" w:hAnsi="Times New Roman" w:cs="Times New Roman"/>
          <w:bCs/>
          <w:sz w:val="28"/>
          <w:szCs w:val="28"/>
        </w:rPr>
        <w:t>cause</w:t>
      </w:r>
      <w:r w:rsidR="00152AE1" w:rsidRPr="006F4289">
        <w:rPr>
          <w:rFonts w:ascii="Times New Roman" w:hAnsi="Times New Roman" w:cs="Times New Roman"/>
          <w:bCs/>
          <w:sz w:val="28"/>
          <w:szCs w:val="28"/>
        </w:rPr>
        <w:t xml:space="preserve"> ADK</w:t>
      </w:r>
      <w:r w:rsidR="00596BDC" w:rsidRPr="006F4289">
        <w:rPr>
          <w:rFonts w:ascii="Times New Roman" w:hAnsi="Times New Roman" w:cs="Times New Roman"/>
          <w:bCs/>
          <w:sz w:val="28"/>
          <w:szCs w:val="28"/>
        </w:rPr>
        <w:t xml:space="preserve"> prejudice</w:t>
      </w:r>
      <w:r w:rsidR="00233DAE" w:rsidRPr="006F4289">
        <w:rPr>
          <w:rFonts w:ascii="Times New Roman" w:hAnsi="Times New Roman" w:cs="Times New Roman"/>
          <w:bCs/>
          <w:sz w:val="28"/>
          <w:szCs w:val="28"/>
        </w:rPr>
        <w:t xml:space="preserve">. Instead, </w:t>
      </w:r>
      <w:r w:rsidR="007F72A1" w:rsidRPr="006F4289">
        <w:rPr>
          <w:rFonts w:ascii="Times New Roman" w:hAnsi="Times New Roman" w:cs="Times New Roman"/>
          <w:bCs/>
          <w:sz w:val="28"/>
          <w:szCs w:val="28"/>
        </w:rPr>
        <w:t>ADK</w:t>
      </w:r>
      <w:r w:rsidR="00233DAE" w:rsidRPr="006F4289">
        <w:rPr>
          <w:rFonts w:ascii="Times New Roman" w:hAnsi="Times New Roman" w:cs="Times New Roman"/>
          <w:bCs/>
          <w:sz w:val="28"/>
          <w:szCs w:val="28"/>
        </w:rPr>
        <w:t xml:space="preserve"> insisted on proceeding on June 3, 2025</w:t>
      </w:r>
      <w:r w:rsidR="001976D0" w:rsidRPr="006F4289">
        <w:rPr>
          <w:rFonts w:ascii="Times New Roman" w:hAnsi="Times New Roman" w:cs="Times New Roman"/>
          <w:bCs/>
          <w:sz w:val="28"/>
          <w:szCs w:val="28"/>
        </w:rPr>
        <w:t>,</w:t>
      </w:r>
      <w:r w:rsidR="00233DAE" w:rsidRPr="006F4289">
        <w:rPr>
          <w:rFonts w:ascii="Times New Roman" w:hAnsi="Times New Roman" w:cs="Times New Roman"/>
          <w:bCs/>
          <w:sz w:val="28"/>
          <w:szCs w:val="28"/>
        </w:rPr>
        <w:t xml:space="preserve"> knowing that Paramount would be seeking </w:t>
      </w:r>
      <w:r w:rsidR="007F72A1" w:rsidRPr="006F4289">
        <w:rPr>
          <w:rFonts w:ascii="Times New Roman" w:hAnsi="Times New Roman" w:cs="Times New Roman"/>
          <w:bCs/>
          <w:sz w:val="28"/>
          <w:szCs w:val="28"/>
        </w:rPr>
        <w:t>the dismissal of</w:t>
      </w:r>
      <w:r w:rsidR="00233DAE" w:rsidRPr="006F4289">
        <w:rPr>
          <w:rFonts w:ascii="Times New Roman" w:hAnsi="Times New Roman" w:cs="Times New Roman"/>
          <w:bCs/>
          <w:sz w:val="28"/>
          <w:szCs w:val="28"/>
        </w:rPr>
        <w:t xml:space="preserve"> the action. </w:t>
      </w:r>
    </w:p>
    <w:p w14:paraId="5A3D45BA" w14:textId="77777777" w:rsidR="00AC546D" w:rsidRPr="00AC546D" w:rsidRDefault="00AC546D" w:rsidP="00AC546D">
      <w:pPr>
        <w:pStyle w:val="ListParagraph"/>
        <w:rPr>
          <w:rFonts w:ascii="Times New Roman" w:hAnsi="Times New Roman" w:cs="Times New Roman"/>
          <w:bCs/>
          <w:sz w:val="28"/>
          <w:szCs w:val="28"/>
        </w:rPr>
      </w:pPr>
    </w:p>
    <w:p w14:paraId="360E9BE7" w14:textId="21AF8C22" w:rsidR="00486DD2" w:rsidRPr="001911BB" w:rsidRDefault="00AC546D" w:rsidP="00486DD2">
      <w:pPr>
        <w:pStyle w:val="ListParagraph"/>
        <w:numPr>
          <w:ilvl w:val="0"/>
          <w:numId w:val="1"/>
        </w:numPr>
        <w:spacing w:after="0" w:line="240" w:lineRule="auto"/>
        <w:jc w:val="both"/>
        <w:rPr>
          <w:rFonts w:ascii="Times New Roman" w:hAnsi="Times New Roman" w:cs="Times New Roman"/>
          <w:i/>
          <w:iCs/>
          <w:sz w:val="28"/>
          <w:szCs w:val="28"/>
        </w:rPr>
      </w:pPr>
      <w:r>
        <w:rPr>
          <w:rFonts w:ascii="Times New Roman" w:hAnsi="Times New Roman" w:cs="Times New Roman"/>
          <w:bCs/>
          <w:sz w:val="28"/>
          <w:szCs w:val="28"/>
        </w:rPr>
        <w:t>At the oral hearing, ADK argued that</w:t>
      </w:r>
      <w:r w:rsidR="00195961">
        <w:rPr>
          <w:rFonts w:ascii="Times New Roman" w:hAnsi="Times New Roman" w:cs="Times New Roman"/>
          <w:bCs/>
          <w:sz w:val="28"/>
          <w:szCs w:val="28"/>
        </w:rPr>
        <w:t xml:space="preserve"> </w:t>
      </w:r>
      <w:r w:rsidR="007F72A1">
        <w:rPr>
          <w:rFonts w:ascii="Times New Roman" w:hAnsi="Times New Roman" w:cs="Times New Roman"/>
          <w:bCs/>
          <w:sz w:val="28"/>
          <w:szCs w:val="28"/>
        </w:rPr>
        <w:t xml:space="preserve">it </w:t>
      </w:r>
      <w:r w:rsidR="0072350E">
        <w:rPr>
          <w:rFonts w:ascii="Times New Roman" w:hAnsi="Times New Roman" w:cs="Times New Roman"/>
          <w:bCs/>
          <w:sz w:val="28"/>
          <w:szCs w:val="28"/>
        </w:rPr>
        <w:t xml:space="preserve">might </w:t>
      </w:r>
      <w:r w:rsidR="00195961">
        <w:rPr>
          <w:rFonts w:ascii="Times New Roman" w:hAnsi="Times New Roman" w:cs="Times New Roman"/>
          <w:bCs/>
          <w:sz w:val="28"/>
          <w:szCs w:val="28"/>
        </w:rPr>
        <w:t>wish</w:t>
      </w:r>
      <w:r w:rsidR="00160AA6">
        <w:rPr>
          <w:rFonts w:ascii="Times New Roman" w:hAnsi="Times New Roman" w:cs="Times New Roman"/>
          <w:bCs/>
          <w:sz w:val="28"/>
          <w:szCs w:val="28"/>
        </w:rPr>
        <w:t xml:space="preserve"> </w:t>
      </w:r>
      <w:r w:rsidR="00195961">
        <w:rPr>
          <w:rFonts w:ascii="Times New Roman" w:hAnsi="Times New Roman" w:cs="Times New Roman"/>
          <w:bCs/>
          <w:sz w:val="28"/>
          <w:szCs w:val="28"/>
        </w:rPr>
        <w:t>to adduce</w:t>
      </w:r>
      <w:r w:rsidR="0072350E">
        <w:rPr>
          <w:rFonts w:ascii="Times New Roman" w:hAnsi="Times New Roman" w:cs="Times New Roman"/>
          <w:bCs/>
          <w:sz w:val="28"/>
          <w:szCs w:val="28"/>
        </w:rPr>
        <w:t xml:space="preserve"> additional evidence</w:t>
      </w:r>
      <w:r w:rsidR="00195961">
        <w:rPr>
          <w:rFonts w:ascii="Times New Roman" w:hAnsi="Times New Roman" w:cs="Times New Roman"/>
          <w:bCs/>
          <w:sz w:val="28"/>
          <w:szCs w:val="28"/>
        </w:rPr>
        <w:t xml:space="preserve"> at trial</w:t>
      </w:r>
      <w:r w:rsidR="00D65083">
        <w:rPr>
          <w:rFonts w:ascii="Times New Roman" w:hAnsi="Times New Roman" w:cs="Times New Roman"/>
          <w:bCs/>
          <w:sz w:val="28"/>
          <w:szCs w:val="28"/>
        </w:rPr>
        <w:t xml:space="preserve"> and that it should be given </w:t>
      </w:r>
      <w:r w:rsidR="00126EC8">
        <w:rPr>
          <w:rFonts w:ascii="Times New Roman" w:hAnsi="Times New Roman" w:cs="Times New Roman"/>
          <w:bCs/>
          <w:sz w:val="28"/>
          <w:szCs w:val="28"/>
        </w:rPr>
        <w:t>the</w:t>
      </w:r>
      <w:r w:rsidR="00D65083">
        <w:rPr>
          <w:rFonts w:ascii="Times New Roman" w:hAnsi="Times New Roman" w:cs="Times New Roman"/>
          <w:bCs/>
          <w:sz w:val="28"/>
          <w:szCs w:val="28"/>
        </w:rPr>
        <w:t xml:space="preserve"> opportunity</w:t>
      </w:r>
      <w:r w:rsidR="00126EC8">
        <w:rPr>
          <w:rFonts w:ascii="Times New Roman" w:hAnsi="Times New Roman" w:cs="Times New Roman"/>
          <w:bCs/>
          <w:sz w:val="28"/>
          <w:szCs w:val="28"/>
        </w:rPr>
        <w:t xml:space="preserve"> </w:t>
      </w:r>
      <w:r w:rsidR="007F72A1">
        <w:rPr>
          <w:rFonts w:ascii="Times New Roman" w:hAnsi="Times New Roman" w:cs="Times New Roman"/>
          <w:bCs/>
          <w:sz w:val="28"/>
          <w:szCs w:val="28"/>
        </w:rPr>
        <w:t xml:space="preserve">to </w:t>
      </w:r>
      <w:r w:rsidR="00126EC8">
        <w:rPr>
          <w:rFonts w:ascii="Times New Roman" w:hAnsi="Times New Roman" w:cs="Times New Roman"/>
          <w:bCs/>
          <w:sz w:val="28"/>
          <w:szCs w:val="28"/>
        </w:rPr>
        <w:t>do</w:t>
      </w:r>
      <w:r w:rsidR="007F72A1">
        <w:rPr>
          <w:rFonts w:ascii="Times New Roman" w:hAnsi="Times New Roman" w:cs="Times New Roman"/>
          <w:bCs/>
          <w:sz w:val="28"/>
          <w:szCs w:val="28"/>
        </w:rPr>
        <w:t xml:space="preserve"> so</w:t>
      </w:r>
      <w:r w:rsidR="00195961">
        <w:rPr>
          <w:rFonts w:ascii="Times New Roman" w:hAnsi="Times New Roman" w:cs="Times New Roman"/>
          <w:bCs/>
          <w:sz w:val="28"/>
          <w:szCs w:val="28"/>
        </w:rPr>
        <w:t xml:space="preserve">. However, it did not point to any </w:t>
      </w:r>
      <w:r w:rsidR="005A092F">
        <w:rPr>
          <w:rFonts w:ascii="Times New Roman" w:hAnsi="Times New Roman" w:cs="Times New Roman"/>
          <w:bCs/>
          <w:sz w:val="28"/>
          <w:szCs w:val="28"/>
        </w:rPr>
        <w:t xml:space="preserve">specific evidence it </w:t>
      </w:r>
      <w:r w:rsidR="00126EC8">
        <w:rPr>
          <w:rFonts w:ascii="Times New Roman" w:hAnsi="Times New Roman" w:cs="Times New Roman"/>
          <w:bCs/>
          <w:sz w:val="28"/>
          <w:szCs w:val="28"/>
        </w:rPr>
        <w:t>intends</w:t>
      </w:r>
      <w:r w:rsidR="005A092F">
        <w:rPr>
          <w:rFonts w:ascii="Times New Roman" w:hAnsi="Times New Roman" w:cs="Times New Roman"/>
          <w:bCs/>
          <w:sz w:val="28"/>
          <w:szCs w:val="28"/>
        </w:rPr>
        <w:t xml:space="preserve"> to tender.</w:t>
      </w:r>
      <w:r w:rsidR="0088722A">
        <w:rPr>
          <w:rFonts w:ascii="Times New Roman" w:hAnsi="Times New Roman" w:cs="Times New Roman"/>
          <w:bCs/>
          <w:sz w:val="28"/>
          <w:szCs w:val="28"/>
        </w:rPr>
        <w:t xml:space="preserve"> As indicated above, the facts are </w:t>
      </w:r>
      <w:r w:rsidR="0029354A">
        <w:rPr>
          <w:rFonts w:ascii="Times New Roman" w:hAnsi="Times New Roman" w:cs="Times New Roman"/>
          <w:bCs/>
          <w:sz w:val="28"/>
          <w:szCs w:val="28"/>
        </w:rPr>
        <w:t xml:space="preserve">largely </w:t>
      </w:r>
      <w:r w:rsidR="0088722A">
        <w:rPr>
          <w:rFonts w:ascii="Times New Roman" w:hAnsi="Times New Roman" w:cs="Times New Roman"/>
          <w:bCs/>
          <w:sz w:val="28"/>
          <w:szCs w:val="28"/>
        </w:rPr>
        <w:t>undisputed.</w:t>
      </w:r>
      <w:r w:rsidR="004933E9">
        <w:rPr>
          <w:rFonts w:ascii="Times New Roman" w:hAnsi="Times New Roman" w:cs="Times New Roman"/>
          <w:bCs/>
          <w:sz w:val="28"/>
          <w:szCs w:val="28"/>
        </w:rPr>
        <w:t xml:space="preserve"> </w:t>
      </w:r>
      <w:r w:rsidR="0029354A">
        <w:rPr>
          <w:rFonts w:ascii="Times New Roman" w:hAnsi="Times New Roman" w:cs="Times New Roman"/>
          <w:bCs/>
          <w:sz w:val="28"/>
          <w:szCs w:val="28"/>
        </w:rPr>
        <w:t>Both parties filed comprehensive affidavit</w:t>
      </w:r>
      <w:r w:rsidR="0072350E">
        <w:rPr>
          <w:rFonts w:ascii="Times New Roman" w:hAnsi="Times New Roman" w:cs="Times New Roman"/>
          <w:bCs/>
          <w:sz w:val="28"/>
          <w:szCs w:val="28"/>
        </w:rPr>
        <w:t xml:space="preserve">s with documentary evidence. </w:t>
      </w:r>
      <w:r w:rsidR="003247D7">
        <w:rPr>
          <w:rFonts w:ascii="Times New Roman" w:hAnsi="Times New Roman" w:cs="Times New Roman"/>
          <w:bCs/>
          <w:sz w:val="28"/>
          <w:szCs w:val="28"/>
        </w:rPr>
        <w:t>They</w:t>
      </w:r>
      <w:r w:rsidR="0072350E">
        <w:rPr>
          <w:rFonts w:ascii="Times New Roman" w:hAnsi="Times New Roman" w:cs="Times New Roman"/>
          <w:bCs/>
          <w:sz w:val="28"/>
          <w:szCs w:val="28"/>
        </w:rPr>
        <w:t xml:space="preserve"> </w:t>
      </w:r>
      <w:r w:rsidR="00695C1F">
        <w:rPr>
          <w:rFonts w:ascii="Times New Roman" w:hAnsi="Times New Roman" w:cs="Times New Roman"/>
          <w:bCs/>
          <w:sz w:val="28"/>
          <w:szCs w:val="28"/>
        </w:rPr>
        <w:t>also conducted examinations</w:t>
      </w:r>
      <w:r w:rsidR="0072350E">
        <w:rPr>
          <w:rFonts w:ascii="Times New Roman" w:hAnsi="Times New Roman" w:cs="Times New Roman"/>
          <w:bCs/>
          <w:sz w:val="28"/>
          <w:szCs w:val="28"/>
        </w:rPr>
        <w:t xml:space="preserve">. </w:t>
      </w:r>
      <w:r w:rsidR="00087068">
        <w:rPr>
          <w:rFonts w:ascii="Times New Roman" w:hAnsi="Times New Roman" w:cs="Times New Roman"/>
          <w:bCs/>
          <w:sz w:val="28"/>
          <w:szCs w:val="28"/>
        </w:rPr>
        <w:t xml:space="preserve">ADK takes the position </w:t>
      </w:r>
      <w:r w:rsidR="0098219D">
        <w:rPr>
          <w:rFonts w:ascii="Times New Roman" w:hAnsi="Times New Roman" w:cs="Times New Roman"/>
          <w:bCs/>
          <w:sz w:val="28"/>
          <w:szCs w:val="28"/>
        </w:rPr>
        <w:t xml:space="preserve">that </w:t>
      </w:r>
      <w:r w:rsidR="002C5BFB">
        <w:rPr>
          <w:rFonts w:ascii="Times New Roman" w:hAnsi="Times New Roman" w:cs="Times New Roman"/>
          <w:bCs/>
          <w:sz w:val="28"/>
          <w:szCs w:val="28"/>
        </w:rPr>
        <w:t>the record before me would allow me to grant the</w:t>
      </w:r>
      <w:r w:rsidR="00087068" w:rsidRPr="001132A7">
        <w:rPr>
          <w:rFonts w:ascii="Times New Roman" w:hAnsi="Times New Roman" w:cs="Times New Roman"/>
          <w:bCs/>
          <w:sz w:val="28"/>
          <w:szCs w:val="28"/>
        </w:rPr>
        <w:t xml:space="preserve"> </w:t>
      </w:r>
      <w:r w:rsidR="001132A7" w:rsidRPr="001132A7">
        <w:rPr>
          <w:rFonts w:ascii="Times New Roman" w:hAnsi="Times New Roman" w:cs="Times New Roman"/>
          <w:bCs/>
          <w:sz w:val="28"/>
          <w:szCs w:val="28"/>
        </w:rPr>
        <w:t>claim</w:t>
      </w:r>
      <w:r w:rsidR="002C5BFB">
        <w:rPr>
          <w:rFonts w:ascii="Times New Roman" w:hAnsi="Times New Roman" w:cs="Times New Roman"/>
          <w:bCs/>
          <w:sz w:val="28"/>
          <w:szCs w:val="28"/>
        </w:rPr>
        <w:t xml:space="preserve"> in its favour</w:t>
      </w:r>
      <w:r w:rsidR="00087068">
        <w:rPr>
          <w:rFonts w:ascii="Times New Roman" w:hAnsi="Times New Roman" w:cs="Times New Roman"/>
          <w:bCs/>
          <w:sz w:val="28"/>
          <w:szCs w:val="28"/>
        </w:rPr>
        <w:t xml:space="preserve">. </w:t>
      </w:r>
      <w:r w:rsidR="005A092F">
        <w:rPr>
          <w:rFonts w:ascii="Times New Roman" w:hAnsi="Times New Roman" w:cs="Times New Roman"/>
          <w:bCs/>
          <w:sz w:val="28"/>
          <w:szCs w:val="28"/>
        </w:rPr>
        <w:t xml:space="preserve">In addition, it is settled </w:t>
      </w:r>
      <w:r w:rsidR="004855C4">
        <w:rPr>
          <w:rFonts w:ascii="Times New Roman" w:hAnsi="Times New Roman" w:cs="Times New Roman"/>
          <w:bCs/>
          <w:sz w:val="28"/>
          <w:szCs w:val="28"/>
        </w:rPr>
        <w:t xml:space="preserve">law that </w:t>
      </w:r>
      <w:r w:rsidR="00486DD2">
        <w:rPr>
          <w:rFonts w:ascii="Times New Roman" w:hAnsi="Times New Roman" w:cs="Times New Roman"/>
          <w:bCs/>
          <w:sz w:val="28"/>
          <w:szCs w:val="28"/>
        </w:rPr>
        <w:t xml:space="preserve">on an application for summary judgment, </w:t>
      </w:r>
      <w:r w:rsidR="00486DD2">
        <w:rPr>
          <w:rFonts w:ascii="Times New Roman" w:hAnsi="Times New Roman" w:cs="Times New Roman"/>
          <w:sz w:val="28"/>
          <w:szCs w:val="28"/>
        </w:rPr>
        <w:t>all parties have the obligation to put their best foot forward (</w:t>
      </w:r>
      <w:r w:rsidR="00B12851" w:rsidRPr="00B12851">
        <w:rPr>
          <w:rFonts w:ascii="Times New Roman" w:hAnsi="Times New Roman" w:cs="Times New Roman"/>
          <w:bCs/>
          <w:i/>
          <w:iCs/>
          <w:sz w:val="28"/>
          <w:szCs w:val="28"/>
          <w:lang w:val="en-US"/>
        </w:rPr>
        <w:t xml:space="preserve">Northwest Territories (Commissioner) v 923115 NWT Limited, </w:t>
      </w:r>
      <w:r w:rsidR="00B12851" w:rsidRPr="00B12851">
        <w:rPr>
          <w:rFonts w:ascii="Times New Roman" w:hAnsi="Times New Roman" w:cs="Times New Roman"/>
          <w:bCs/>
          <w:sz w:val="28"/>
          <w:szCs w:val="28"/>
          <w:lang w:val="en-US"/>
        </w:rPr>
        <w:t>2018 NWTSC 24</w:t>
      </w:r>
      <w:r w:rsidR="00486DD2">
        <w:rPr>
          <w:rFonts w:ascii="Times New Roman" w:hAnsi="Times New Roman" w:cs="Times New Roman"/>
          <w:bCs/>
          <w:sz w:val="28"/>
          <w:szCs w:val="28"/>
          <w:lang w:val="en-US"/>
        </w:rPr>
        <w:t>, para 60)</w:t>
      </w:r>
      <w:r w:rsidR="00486DD2">
        <w:rPr>
          <w:rFonts w:ascii="Times New Roman" w:hAnsi="Times New Roman" w:cs="Times New Roman"/>
          <w:sz w:val="28"/>
          <w:szCs w:val="28"/>
        </w:rPr>
        <w:t xml:space="preserve">. </w:t>
      </w:r>
      <w:r w:rsidR="00486DD2" w:rsidRPr="009F3BFB">
        <w:rPr>
          <w:rFonts w:ascii="Times New Roman" w:hAnsi="Times New Roman" w:cs="Times New Roman"/>
          <w:sz w:val="28"/>
          <w:szCs w:val="28"/>
        </w:rPr>
        <w:t xml:space="preserve">As </w:t>
      </w:r>
      <w:r w:rsidR="00486DD2">
        <w:rPr>
          <w:rFonts w:ascii="Times New Roman" w:hAnsi="Times New Roman" w:cs="Times New Roman"/>
          <w:sz w:val="28"/>
          <w:szCs w:val="28"/>
        </w:rPr>
        <w:t xml:space="preserve">Schuler J. </w:t>
      </w:r>
      <w:r w:rsidR="00486DD2" w:rsidRPr="009F3BFB">
        <w:rPr>
          <w:rFonts w:ascii="Times New Roman" w:hAnsi="Times New Roman" w:cs="Times New Roman"/>
          <w:sz w:val="28"/>
          <w:szCs w:val="28"/>
        </w:rPr>
        <w:t xml:space="preserve">stated in </w:t>
      </w:r>
      <w:r w:rsidR="00486DD2" w:rsidRPr="001911BB">
        <w:rPr>
          <w:rFonts w:ascii="Times New Roman" w:hAnsi="Times New Roman" w:cs="Times New Roman"/>
          <w:i/>
          <w:iCs/>
          <w:sz w:val="28"/>
          <w:szCs w:val="28"/>
        </w:rPr>
        <w:t xml:space="preserve">Arctic Environmental v Northern Mgmt. &amp; Komaromi, </w:t>
      </w:r>
      <w:r w:rsidR="00486DD2" w:rsidRPr="00EF31A1">
        <w:rPr>
          <w:rFonts w:ascii="Times New Roman" w:hAnsi="Times New Roman" w:cs="Times New Roman"/>
          <w:sz w:val="28"/>
          <w:szCs w:val="28"/>
        </w:rPr>
        <w:t>2000 NWTSC 53</w:t>
      </w:r>
      <w:r w:rsidR="00486DD2" w:rsidRPr="001911BB">
        <w:rPr>
          <w:rFonts w:ascii="Times New Roman" w:hAnsi="Times New Roman" w:cs="Times New Roman"/>
          <w:sz w:val="28"/>
          <w:szCs w:val="28"/>
        </w:rPr>
        <w:t xml:space="preserve"> at para 23:</w:t>
      </w:r>
    </w:p>
    <w:p w14:paraId="697FAD47" w14:textId="77777777" w:rsidR="00486DD2" w:rsidRPr="009F3BFB" w:rsidRDefault="00486DD2" w:rsidP="00486DD2">
      <w:pPr>
        <w:pStyle w:val="ListParagraph"/>
        <w:spacing w:after="0" w:line="240" w:lineRule="auto"/>
        <w:ind w:left="0"/>
        <w:contextualSpacing w:val="0"/>
        <w:jc w:val="both"/>
        <w:rPr>
          <w:rFonts w:ascii="Times New Roman" w:hAnsi="Times New Roman" w:cs="Times New Roman"/>
          <w:sz w:val="28"/>
          <w:szCs w:val="28"/>
        </w:rPr>
      </w:pPr>
    </w:p>
    <w:p w14:paraId="1A4DDB86" w14:textId="3956492C" w:rsidR="003247D7" w:rsidRDefault="00486DD2" w:rsidP="003247D7">
      <w:pPr>
        <w:pStyle w:val="ListParagraph"/>
        <w:ind w:right="855"/>
        <w:jc w:val="both"/>
        <w:rPr>
          <w:rFonts w:ascii="Times New Roman" w:hAnsi="Times New Roman" w:cs="Times New Roman"/>
          <w:bCs/>
          <w:sz w:val="24"/>
          <w:szCs w:val="24"/>
        </w:rPr>
      </w:pPr>
      <w:r w:rsidRPr="004207DF">
        <w:rPr>
          <w:rFonts w:ascii="Times New Roman" w:hAnsi="Times New Roman" w:cs="Times New Roman"/>
          <w:bCs/>
          <w:sz w:val="24"/>
          <w:szCs w:val="24"/>
        </w:rPr>
        <w:t>A judge hearing an application for summary judgment is entitled to assume that the parties have put their best foot forward.  It is not sufficient for the responding party to say that more and better evidence will or may be available at trial; the judge is entitled to assume that the parties would present no additional evidence at trial</w:t>
      </w:r>
      <w:r w:rsidR="003247D7">
        <w:rPr>
          <w:rFonts w:ascii="Times New Roman" w:hAnsi="Times New Roman" w:cs="Times New Roman"/>
          <w:bCs/>
          <w:sz w:val="24"/>
          <w:szCs w:val="24"/>
        </w:rPr>
        <w:t>.</w:t>
      </w:r>
    </w:p>
    <w:p w14:paraId="1779DE6A" w14:textId="77777777" w:rsidR="003247D7" w:rsidRPr="003247D7" w:rsidRDefault="003247D7" w:rsidP="003247D7">
      <w:pPr>
        <w:pStyle w:val="ListParagraph"/>
        <w:ind w:right="855"/>
        <w:jc w:val="both"/>
        <w:rPr>
          <w:rFonts w:ascii="Times New Roman" w:hAnsi="Times New Roman" w:cs="Times New Roman"/>
          <w:bCs/>
          <w:sz w:val="24"/>
          <w:szCs w:val="24"/>
        </w:rPr>
      </w:pPr>
    </w:p>
    <w:p w14:paraId="798C1441" w14:textId="292B123A" w:rsidR="006F7964" w:rsidRPr="006F7964" w:rsidRDefault="003247D7" w:rsidP="006F7964">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Entertaining Paramount’s informal application for summary judgment is not unfair </w:t>
      </w:r>
      <w:r w:rsidR="00BC0D56">
        <w:rPr>
          <w:rFonts w:ascii="Times New Roman" w:hAnsi="Times New Roman" w:cs="Times New Roman"/>
          <w:bCs/>
          <w:sz w:val="28"/>
          <w:szCs w:val="28"/>
        </w:rPr>
        <w:t>or prejudicial to</w:t>
      </w:r>
      <w:r>
        <w:rPr>
          <w:rFonts w:ascii="Times New Roman" w:hAnsi="Times New Roman" w:cs="Times New Roman"/>
          <w:bCs/>
          <w:sz w:val="28"/>
          <w:szCs w:val="28"/>
        </w:rPr>
        <w:t xml:space="preserve"> </w:t>
      </w:r>
      <w:r w:rsidR="00BC0D56">
        <w:rPr>
          <w:rFonts w:ascii="Times New Roman" w:hAnsi="Times New Roman" w:cs="Times New Roman"/>
          <w:bCs/>
          <w:sz w:val="28"/>
          <w:szCs w:val="28"/>
        </w:rPr>
        <w:t>ADK</w:t>
      </w:r>
      <w:r>
        <w:rPr>
          <w:rFonts w:ascii="Times New Roman" w:hAnsi="Times New Roman" w:cs="Times New Roman"/>
          <w:bCs/>
          <w:sz w:val="28"/>
          <w:szCs w:val="28"/>
        </w:rPr>
        <w:t xml:space="preserve">. It would be overly formalistic and contrary to the principles set out in </w:t>
      </w:r>
      <w:r w:rsidRPr="009F33E8">
        <w:rPr>
          <w:rFonts w:ascii="Times New Roman" w:hAnsi="Times New Roman" w:cs="Times New Roman"/>
          <w:bCs/>
          <w:i/>
          <w:iCs/>
          <w:sz w:val="28"/>
          <w:szCs w:val="28"/>
        </w:rPr>
        <w:t>Hryniak</w:t>
      </w:r>
      <w:r w:rsidR="00635026">
        <w:rPr>
          <w:rFonts w:ascii="Times New Roman" w:hAnsi="Times New Roman" w:cs="Times New Roman"/>
          <w:bCs/>
          <w:sz w:val="28"/>
          <w:szCs w:val="28"/>
        </w:rPr>
        <w:t xml:space="preserve"> on</w:t>
      </w:r>
      <w:r>
        <w:rPr>
          <w:rFonts w:ascii="Times New Roman" w:hAnsi="Times New Roman" w:cs="Times New Roman"/>
          <w:bCs/>
          <w:sz w:val="28"/>
          <w:szCs w:val="28"/>
        </w:rPr>
        <w:t xml:space="preserve"> the importance of efficiency and judicial economy to require the filing of a formal cross-application for summary judgment</w:t>
      </w:r>
      <w:r w:rsidR="005F345C">
        <w:rPr>
          <w:rFonts w:ascii="Times New Roman" w:hAnsi="Times New Roman" w:cs="Times New Roman"/>
          <w:bCs/>
          <w:sz w:val="28"/>
          <w:szCs w:val="28"/>
        </w:rPr>
        <w:t xml:space="preserve"> in this case</w:t>
      </w:r>
      <w:r>
        <w:rPr>
          <w:rFonts w:ascii="Times New Roman" w:hAnsi="Times New Roman" w:cs="Times New Roman"/>
          <w:bCs/>
          <w:sz w:val="28"/>
          <w:szCs w:val="28"/>
        </w:rPr>
        <w:t xml:space="preserve">. </w:t>
      </w:r>
    </w:p>
    <w:p w14:paraId="119C25FA" w14:textId="77777777" w:rsidR="00C570EC" w:rsidRDefault="00C570EC" w:rsidP="00973FFF">
      <w:pPr>
        <w:pStyle w:val="ListParagraph"/>
        <w:spacing w:after="0" w:line="240" w:lineRule="auto"/>
        <w:ind w:left="0"/>
        <w:jc w:val="both"/>
        <w:rPr>
          <w:rFonts w:ascii="Times New Roman" w:hAnsi="Times New Roman" w:cs="Times New Roman"/>
          <w:b/>
          <w:i/>
          <w:iCs/>
          <w:sz w:val="28"/>
          <w:szCs w:val="28"/>
        </w:rPr>
      </w:pPr>
    </w:p>
    <w:p w14:paraId="520DCBD8" w14:textId="4598CA78" w:rsidR="00973FFF" w:rsidRPr="00D053FB" w:rsidRDefault="00973FFF" w:rsidP="00973FFF">
      <w:pPr>
        <w:pStyle w:val="ListParagraph"/>
        <w:spacing w:after="0" w:line="240" w:lineRule="auto"/>
        <w:ind w:left="0"/>
        <w:jc w:val="both"/>
        <w:rPr>
          <w:rFonts w:ascii="Times New Roman" w:hAnsi="Times New Roman" w:cs="Times New Roman"/>
          <w:b/>
          <w:i/>
          <w:iCs/>
          <w:sz w:val="28"/>
          <w:szCs w:val="28"/>
        </w:rPr>
      </w:pPr>
      <w:r w:rsidRPr="00D053FB">
        <w:rPr>
          <w:rFonts w:ascii="Times New Roman" w:hAnsi="Times New Roman" w:cs="Times New Roman"/>
          <w:b/>
          <w:i/>
          <w:iCs/>
          <w:sz w:val="28"/>
          <w:szCs w:val="28"/>
        </w:rPr>
        <w:t>Limitation</w:t>
      </w:r>
    </w:p>
    <w:p w14:paraId="31D91E82" w14:textId="77777777" w:rsidR="006D7479" w:rsidRDefault="006D7479" w:rsidP="00973FFF">
      <w:pPr>
        <w:pStyle w:val="ListParagraph"/>
        <w:spacing w:after="0" w:line="240" w:lineRule="auto"/>
        <w:ind w:left="0"/>
        <w:jc w:val="both"/>
        <w:rPr>
          <w:rFonts w:ascii="Times New Roman" w:hAnsi="Times New Roman" w:cs="Times New Roman"/>
          <w:bCs/>
          <w:sz w:val="28"/>
          <w:szCs w:val="28"/>
        </w:rPr>
      </w:pPr>
    </w:p>
    <w:p w14:paraId="261299DB" w14:textId="4B08BF90" w:rsidR="00E30CDB" w:rsidRPr="00E30CDB" w:rsidRDefault="00C9497E" w:rsidP="00973FFF">
      <w:pPr>
        <w:pStyle w:val="ListParagraph"/>
        <w:spacing w:after="0" w:line="240" w:lineRule="auto"/>
        <w:ind w:left="0"/>
        <w:jc w:val="both"/>
        <w:rPr>
          <w:rFonts w:ascii="Times New Roman" w:hAnsi="Times New Roman" w:cs="Times New Roman"/>
          <w:bCs/>
          <w:sz w:val="28"/>
          <w:szCs w:val="28"/>
          <w:u w:val="single"/>
        </w:rPr>
      </w:pPr>
      <w:r>
        <w:rPr>
          <w:rFonts w:ascii="Times New Roman" w:hAnsi="Times New Roman" w:cs="Times New Roman"/>
          <w:bCs/>
          <w:sz w:val="28"/>
          <w:szCs w:val="28"/>
          <w:u w:val="single"/>
        </w:rPr>
        <w:t>Pleadings on Limitation</w:t>
      </w:r>
    </w:p>
    <w:p w14:paraId="6F1FE681" w14:textId="77777777" w:rsidR="00E30CDB" w:rsidRPr="00D053FB" w:rsidRDefault="00E30CDB" w:rsidP="00973FFF">
      <w:pPr>
        <w:pStyle w:val="ListParagraph"/>
        <w:spacing w:after="0" w:line="240" w:lineRule="auto"/>
        <w:ind w:left="0"/>
        <w:jc w:val="both"/>
        <w:rPr>
          <w:rFonts w:ascii="Times New Roman" w:hAnsi="Times New Roman" w:cs="Times New Roman"/>
          <w:bCs/>
          <w:sz w:val="28"/>
          <w:szCs w:val="28"/>
        </w:rPr>
      </w:pPr>
    </w:p>
    <w:p w14:paraId="2D80D3FD" w14:textId="65C00490" w:rsidR="00EB4254" w:rsidRDefault="00EB4254" w:rsidP="00973FFF">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Before I turn to the parties’ substantive arguments on limitation, I must address a preliminary issue raised by ADK. </w:t>
      </w:r>
      <w:r w:rsidR="006D731D">
        <w:rPr>
          <w:rFonts w:ascii="Times New Roman" w:hAnsi="Times New Roman" w:cs="Times New Roman"/>
          <w:bCs/>
          <w:sz w:val="28"/>
          <w:szCs w:val="28"/>
        </w:rPr>
        <w:t>It</w:t>
      </w:r>
      <w:r>
        <w:rPr>
          <w:rFonts w:ascii="Times New Roman" w:hAnsi="Times New Roman" w:cs="Times New Roman"/>
          <w:bCs/>
          <w:sz w:val="28"/>
          <w:szCs w:val="28"/>
        </w:rPr>
        <w:t xml:space="preserve"> argues that Paramount should not be allowed to advance an argument based on limitation because it</w:t>
      </w:r>
      <w:r w:rsidR="00F34DE9">
        <w:rPr>
          <w:rFonts w:ascii="Times New Roman" w:hAnsi="Times New Roman" w:cs="Times New Roman"/>
          <w:bCs/>
          <w:sz w:val="28"/>
          <w:szCs w:val="28"/>
        </w:rPr>
        <w:t xml:space="preserve"> was</w:t>
      </w:r>
      <w:r>
        <w:rPr>
          <w:rFonts w:ascii="Times New Roman" w:hAnsi="Times New Roman" w:cs="Times New Roman"/>
          <w:bCs/>
          <w:sz w:val="28"/>
          <w:szCs w:val="28"/>
        </w:rPr>
        <w:t xml:space="preserve"> not ple</w:t>
      </w:r>
      <w:r w:rsidR="00F34DE9">
        <w:rPr>
          <w:rFonts w:ascii="Times New Roman" w:hAnsi="Times New Roman" w:cs="Times New Roman"/>
          <w:bCs/>
          <w:sz w:val="28"/>
          <w:szCs w:val="28"/>
        </w:rPr>
        <w:t>d</w:t>
      </w:r>
      <w:r>
        <w:rPr>
          <w:rFonts w:ascii="Times New Roman" w:hAnsi="Times New Roman" w:cs="Times New Roman"/>
          <w:bCs/>
          <w:sz w:val="28"/>
          <w:szCs w:val="28"/>
        </w:rPr>
        <w:t xml:space="preserve">. </w:t>
      </w:r>
    </w:p>
    <w:p w14:paraId="705CBFBF" w14:textId="4465031D" w:rsidR="005113E3" w:rsidRPr="003D0DB6" w:rsidRDefault="00EB4254" w:rsidP="005113E3">
      <w:pPr>
        <w:pStyle w:val="ListParagraph"/>
        <w:numPr>
          <w:ilvl w:val="0"/>
          <w:numId w:val="1"/>
        </w:numPr>
        <w:spacing w:after="0" w:line="240" w:lineRule="auto"/>
        <w:jc w:val="both"/>
        <w:rPr>
          <w:rFonts w:ascii="Times New Roman" w:hAnsi="Times New Roman" w:cs="Times New Roman"/>
          <w:bCs/>
          <w:sz w:val="28"/>
          <w:szCs w:val="28"/>
        </w:rPr>
      </w:pPr>
      <w:r w:rsidRPr="003D0DB6">
        <w:rPr>
          <w:rFonts w:ascii="Times New Roman" w:hAnsi="Times New Roman" w:cs="Times New Roman"/>
          <w:bCs/>
          <w:sz w:val="28"/>
          <w:szCs w:val="28"/>
        </w:rPr>
        <w:lastRenderedPageBreak/>
        <w:t xml:space="preserve">I agree with ADK </w:t>
      </w:r>
      <w:r w:rsidRPr="00383554">
        <w:rPr>
          <w:rFonts w:ascii="Times New Roman" w:hAnsi="Times New Roman" w:cs="Times New Roman"/>
          <w:bCs/>
          <w:sz w:val="28"/>
          <w:szCs w:val="28"/>
        </w:rPr>
        <w:t xml:space="preserve">that Rule </w:t>
      </w:r>
      <w:r w:rsidR="00C83C73" w:rsidRPr="00383554">
        <w:rPr>
          <w:rFonts w:ascii="Times New Roman" w:hAnsi="Times New Roman" w:cs="Times New Roman"/>
          <w:bCs/>
          <w:sz w:val="28"/>
          <w:szCs w:val="28"/>
        </w:rPr>
        <w:t>111</w:t>
      </w:r>
      <w:r w:rsidRPr="00383554">
        <w:rPr>
          <w:rFonts w:ascii="Times New Roman" w:hAnsi="Times New Roman" w:cs="Times New Roman"/>
          <w:bCs/>
          <w:sz w:val="28"/>
          <w:szCs w:val="28"/>
        </w:rPr>
        <w:t xml:space="preserve"> impose</w:t>
      </w:r>
      <w:r w:rsidR="00B24F76" w:rsidRPr="00383554">
        <w:rPr>
          <w:rFonts w:ascii="Times New Roman" w:hAnsi="Times New Roman" w:cs="Times New Roman"/>
          <w:bCs/>
          <w:sz w:val="28"/>
          <w:szCs w:val="28"/>
        </w:rPr>
        <w:t>s</w:t>
      </w:r>
      <w:r w:rsidRPr="003D0DB6">
        <w:rPr>
          <w:rFonts w:ascii="Times New Roman" w:hAnsi="Times New Roman" w:cs="Times New Roman"/>
          <w:bCs/>
          <w:sz w:val="28"/>
          <w:szCs w:val="28"/>
        </w:rPr>
        <w:t xml:space="preserve"> an obligation on a defendant to explicitly raise limitation in their </w:t>
      </w:r>
      <w:r w:rsidR="00C83C73" w:rsidRPr="003D0DB6">
        <w:rPr>
          <w:rFonts w:ascii="Times New Roman" w:hAnsi="Times New Roman" w:cs="Times New Roman"/>
          <w:bCs/>
          <w:sz w:val="28"/>
          <w:szCs w:val="28"/>
        </w:rPr>
        <w:t>pleadings</w:t>
      </w:r>
      <w:r w:rsidRPr="003D0DB6">
        <w:rPr>
          <w:rFonts w:ascii="Times New Roman" w:hAnsi="Times New Roman" w:cs="Times New Roman"/>
          <w:bCs/>
          <w:sz w:val="28"/>
          <w:szCs w:val="28"/>
        </w:rPr>
        <w:t xml:space="preserve">. However, </w:t>
      </w:r>
      <w:r w:rsidR="00B24F76" w:rsidRPr="003D0DB6">
        <w:rPr>
          <w:rFonts w:ascii="Times New Roman" w:hAnsi="Times New Roman" w:cs="Times New Roman"/>
          <w:bCs/>
          <w:sz w:val="28"/>
          <w:szCs w:val="28"/>
        </w:rPr>
        <w:t xml:space="preserve">in this </w:t>
      </w:r>
      <w:r w:rsidR="00237197" w:rsidRPr="003D0DB6">
        <w:rPr>
          <w:rFonts w:ascii="Times New Roman" w:hAnsi="Times New Roman" w:cs="Times New Roman"/>
          <w:bCs/>
          <w:sz w:val="28"/>
          <w:szCs w:val="28"/>
        </w:rPr>
        <w:t xml:space="preserve">case, </w:t>
      </w:r>
      <w:r w:rsidR="006B6419" w:rsidRPr="003D0DB6">
        <w:rPr>
          <w:rFonts w:ascii="Times New Roman" w:hAnsi="Times New Roman" w:cs="Times New Roman"/>
          <w:bCs/>
          <w:sz w:val="28"/>
          <w:szCs w:val="28"/>
        </w:rPr>
        <w:t xml:space="preserve">that is what </w:t>
      </w:r>
      <w:r w:rsidR="00237197" w:rsidRPr="003D0DB6">
        <w:rPr>
          <w:rFonts w:ascii="Times New Roman" w:hAnsi="Times New Roman" w:cs="Times New Roman"/>
          <w:bCs/>
          <w:sz w:val="28"/>
          <w:szCs w:val="28"/>
        </w:rPr>
        <w:t xml:space="preserve">Paramount did at paragraph </w:t>
      </w:r>
      <w:r w:rsidR="00DE01E1" w:rsidRPr="003D0DB6">
        <w:rPr>
          <w:rFonts w:ascii="Times New Roman" w:hAnsi="Times New Roman" w:cs="Times New Roman"/>
          <w:bCs/>
          <w:sz w:val="28"/>
          <w:szCs w:val="28"/>
        </w:rPr>
        <w:t xml:space="preserve">26(a) </w:t>
      </w:r>
      <w:r w:rsidR="00237197" w:rsidRPr="003D0DB6">
        <w:rPr>
          <w:rFonts w:ascii="Times New Roman" w:hAnsi="Times New Roman" w:cs="Times New Roman"/>
          <w:bCs/>
          <w:sz w:val="28"/>
          <w:szCs w:val="28"/>
        </w:rPr>
        <w:t xml:space="preserve">of </w:t>
      </w:r>
      <w:r w:rsidR="00E60855" w:rsidRPr="003D0DB6">
        <w:rPr>
          <w:rFonts w:ascii="Times New Roman" w:hAnsi="Times New Roman" w:cs="Times New Roman"/>
          <w:bCs/>
          <w:sz w:val="28"/>
          <w:szCs w:val="28"/>
        </w:rPr>
        <w:t>its</w:t>
      </w:r>
      <w:r w:rsidR="00FD5715" w:rsidRPr="003D0DB6">
        <w:rPr>
          <w:rFonts w:ascii="Times New Roman" w:hAnsi="Times New Roman" w:cs="Times New Roman"/>
          <w:bCs/>
          <w:sz w:val="28"/>
          <w:szCs w:val="28"/>
        </w:rPr>
        <w:t xml:space="preserve"> </w:t>
      </w:r>
      <w:r w:rsidR="00237197" w:rsidRPr="003D0DB6">
        <w:rPr>
          <w:rFonts w:ascii="Times New Roman" w:hAnsi="Times New Roman" w:cs="Times New Roman"/>
          <w:bCs/>
          <w:sz w:val="28"/>
          <w:szCs w:val="28"/>
        </w:rPr>
        <w:t>Statement of Defence</w:t>
      </w:r>
      <w:r w:rsidR="00FF67E3" w:rsidRPr="003D0DB6">
        <w:rPr>
          <w:rFonts w:ascii="Times New Roman" w:hAnsi="Times New Roman" w:cs="Times New Roman"/>
          <w:bCs/>
          <w:sz w:val="28"/>
          <w:szCs w:val="28"/>
        </w:rPr>
        <w:t xml:space="preserve"> filed on </w:t>
      </w:r>
      <w:r w:rsidR="00FD5715" w:rsidRPr="003D0DB6">
        <w:rPr>
          <w:rFonts w:ascii="Times New Roman" w:hAnsi="Times New Roman" w:cs="Times New Roman"/>
          <w:bCs/>
          <w:sz w:val="28"/>
          <w:szCs w:val="28"/>
        </w:rPr>
        <w:t xml:space="preserve">February </w:t>
      </w:r>
      <w:r w:rsidR="007A384A" w:rsidRPr="003D0DB6">
        <w:rPr>
          <w:rFonts w:ascii="Times New Roman" w:hAnsi="Times New Roman" w:cs="Times New Roman"/>
          <w:bCs/>
          <w:sz w:val="28"/>
          <w:szCs w:val="28"/>
        </w:rPr>
        <w:t>4</w:t>
      </w:r>
      <w:r w:rsidR="00AD705C" w:rsidRPr="003D0DB6">
        <w:rPr>
          <w:rFonts w:ascii="Times New Roman" w:hAnsi="Times New Roman" w:cs="Times New Roman"/>
          <w:bCs/>
          <w:sz w:val="28"/>
          <w:szCs w:val="28"/>
        </w:rPr>
        <w:t>, 2022</w:t>
      </w:r>
      <w:r w:rsidR="003D0DB6" w:rsidRPr="003D0DB6">
        <w:rPr>
          <w:rFonts w:ascii="Times New Roman" w:hAnsi="Times New Roman" w:cs="Times New Roman"/>
          <w:bCs/>
          <w:sz w:val="28"/>
          <w:szCs w:val="28"/>
        </w:rPr>
        <w:t>,</w:t>
      </w:r>
      <w:r w:rsidR="006B6419" w:rsidRPr="003D0DB6">
        <w:rPr>
          <w:rFonts w:ascii="Times New Roman" w:hAnsi="Times New Roman" w:cs="Times New Roman"/>
          <w:bCs/>
          <w:sz w:val="28"/>
          <w:szCs w:val="28"/>
        </w:rPr>
        <w:t xml:space="preserve"> when it </w:t>
      </w:r>
      <w:r w:rsidR="00AE7F19" w:rsidRPr="003D0DB6">
        <w:rPr>
          <w:rFonts w:ascii="Times New Roman" w:hAnsi="Times New Roman" w:cs="Times New Roman"/>
          <w:bCs/>
          <w:sz w:val="28"/>
          <w:szCs w:val="28"/>
        </w:rPr>
        <w:t>alleged “</w:t>
      </w:r>
      <w:r w:rsidR="0094023F" w:rsidRPr="003D0DB6">
        <w:rPr>
          <w:rFonts w:ascii="Times New Roman" w:hAnsi="Times New Roman" w:cs="Times New Roman"/>
          <w:bCs/>
          <w:sz w:val="28"/>
          <w:szCs w:val="28"/>
        </w:rPr>
        <w:t xml:space="preserve">Some </w:t>
      </w:r>
      <w:r w:rsidR="003D0DB6">
        <w:rPr>
          <w:rFonts w:ascii="Times New Roman" w:hAnsi="Times New Roman" w:cs="Times New Roman"/>
          <w:bCs/>
          <w:sz w:val="28"/>
          <w:szCs w:val="28"/>
        </w:rPr>
        <w:t xml:space="preserve">or </w:t>
      </w:r>
      <w:r w:rsidR="0094023F" w:rsidRPr="003D0DB6">
        <w:rPr>
          <w:rFonts w:ascii="Times New Roman" w:hAnsi="Times New Roman" w:cs="Times New Roman"/>
          <w:bCs/>
          <w:sz w:val="28"/>
          <w:szCs w:val="28"/>
        </w:rPr>
        <w:t xml:space="preserve">all of the Plaintiff’s claims are barred by the </w:t>
      </w:r>
      <w:r w:rsidR="0094023F" w:rsidRPr="003D0DB6">
        <w:rPr>
          <w:rFonts w:ascii="Times New Roman" w:hAnsi="Times New Roman" w:cs="Times New Roman"/>
          <w:bCs/>
          <w:i/>
          <w:iCs/>
          <w:sz w:val="28"/>
          <w:szCs w:val="28"/>
        </w:rPr>
        <w:t>Limitation of Actions Act</w:t>
      </w:r>
      <w:r w:rsidR="0094023F" w:rsidRPr="003D0DB6">
        <w:rPr>
          <w:rFonts w:ascii="Times New Roman" w:hAnsi="Times New Roman" w:cs="Times New Roman"/>
          <w:bCs/>
          <w:sz w:val="28"/>
          <w:szCs w:val="28"/>
        </w:rPr>
        <w:t>, R.S.N.W.T.</w:t>
      </w:r>
      <w:r w:rsidR="003D0DB6" w:rsidRPr="003D0DB6">
        <w:rPr>
          <w:rFonts w:ascii="Times New Roman" w:hAnsi="Times New Roman" w:cs="Times New Roman"/>
          <w:bCs/>
          <w:sz w:val="28"/>
          <w:szCs w:val="28"/>
        </w:rPr>
        <w:t xml:space="preserve"> 1988, c.L-8”</w:t>
      </w:r>
      <w:r w:rsidR="00237197" w:rsidRPr="003D0DB6">
        <w:rPr>
          <w:rFonts w:ascii="Times New Roman" w:hAnsi="Times New Roman" w:cs="Times New Roman"/>
          <w:bCs/>
          <w:sz w:val="28"/>
          <w:szCs w:val="28"/>
        </w:rPr>
        <w:t>. ADK has been on notice since</w:t>
      </w:r>
      <w:r w:rsidR="00AD705C" w:rsidRPr="003D0DB6">
        <w:rPr>
          <w:rFonts w:ascii="Times New Roman" w:hAnsi="Times New Roman" w:cs="Times New Roman"/>
          <w:bCs/>
          <w:sz w:val="28"/>
          <w:szCs w:val="28"/>
        </w:rPr>
        <w:t xml:space="preserve"> 2022</w:t>
      </w:r>
      <w:r w:rsidR="00237197" w:rsidRPr="003D0DB6">
        <w:rPr>
          <w:rFonts w:ascii="Times New Roman" w:hAnsi="Times New Roman" w:cs="Times New Roman"/>
          <w:bCs/>
          <w:sz w:val="28"/>
          <w:szCs w:val="28"/>
        </w:rPr>
        <w:t xml:space="preserve"> that Paramount claims this action is </w:t>
      </w:r>
      <w:r w:rsidR="00FB3FDB" w:rsidRPr="003D0DB6">
        <w:rPr>
          <w:rFonts w:ascii="Times New Roman" w:hAnsi="Times New Roman" w:cs="Times New Roman"/>
          <w:bCs/>
          <w:sz w:val="28"/>
          <w:szCs w:val="28"/>
        </w:rPr>
        <w:t>time-</w:t>
      </w:r>
      <w:r w:rsidR="00237197" w:rsidRPr="003D0DB6">
        <w:rPr>
          <w:rFonts w:ascii="Times New Roman" w:hAnsi="Times New Roman" w:cs="Times New Roman"/>
          <w:bCs/>
          <w:sz w:val="28"/>
          <w:szCs w:val="28"/>
        </w:rPr>
        <w:t xml:space="preserve">barred. </w:t>
      </w:r>
    </w:p>
    <w:p w14:paraId="78F90775" w14:textId="77777777" w:rsidR="00E30CDB" w:rsidRPr="003D0DB6" w:rsidRDefault="00E30CDB" w:rsidP="00E30CDB">
      <w:pPr>
        <w:spacing w:after="0" w:line="240" w:lineRule="auto"/>
        <w:jc w:val="both"/>
        <w:rPr>
          <w:rFonts w:ascii="Times New Roman" w:hAnsi="Times New Roman" w:cs="Times New Roman"/>
          <w:bCs/>
          <w:sz w:val="28"/>
          <w:szCs w:val="28"/>
        </w:rPr>
      </w:pPr>
    </w:p>
    <w:p w14:paraId="55B27643" w14:textId="60DF868D" w:rsidR="00E30CDB" w:rsidRPr="00E30CDB" w:rsidRDefault="00E30CDB" w:rsidP="00E30CDB">
      <w:pPr>
        <w:spacing w:after="0" w:line="240" w:lineRule="auto"/>
        <w:jc w:val="both"/>
        <w:rPr>
          <w:rFonts w:ascii="Times New Roman" w:hAnsi="Times New Roman" w:cs="Times New Roman"/>
          <w:bCs/>
          <w:sz w:val="28"/>
          <w:szCs w:val="28"/>
          <w:u w:val="single"/>
        </w:rPr>
      </w:pPr>
      <w:r w:rsidRPr="003D0DB6">
        <w:rPr>
          <w:rFonts w:ascii="Times New Roman" w:hAnsi="Times New Roman" w:cs="Times New Roman"/>
          <w:bCs/>
          <w:sz w:val="28"/>
          <w:szCs w:val="28"/>
          <w:u w:val="single"/>
        </w:rPr>
        <w:t>Positions of the Parties</w:t>
      </w:r>
      <w:r w:rsidRPr="00E30CDB">
        <w:rPr>
          <w:rFonts w:ascii="Times New Roman" w:hAnsi="Times New Roman" w:cs="Times New Roman"/>
          <w:bCs/>
          <w:sz w:val="28"/>
          <w:szCs w:val="28"/>
          <w:u w:val="single"/>
        </w:rPr>
        <w:t xml:space="preserve"> on Limitation</w:t>
      </w:r>
    </w:p>
    <w:p w14:paraId="1913A6B9" w14:textId="77777777" w:rsidR="00E30CDB" w:rsidRPr="005113E3" w:rsidRDefault="00E30CDB" w:rsidP="005113E3">
      <w:pPr>
        <w:pStyle w:val="ListParagraph"/>
        <w:spacing w:after="0" w:line="240" w:lineRule="auto"/>
        <w:ind w:left="0"/>
        <w:jc w:val="both"/>
        <w:rPr>
          <w:rFonts w:ascii="Times New Roman" w:hAnsi="Times New Roman" w:cs="Times New Roman"/>
          <w:bCs/>
          <w:sz w:val="28"/>
          <w:szCs w:val="28"/>
        </w:rPr>
      </w:pPr>
    </w:p>
    <w:p w14:paraId="3B86BBD0" w14:textId="4E0FDB6A" w:rsidR="00E57F24" w:rsidRDefault="00E57F24" w:rsidP="00973FFF">
      <w:pPr>
        <w:pStyle w:val="ListParagraph"/>
        <w:numPr>
          <w:ilvl w:val="0"/>
          <w:numId w:val="1"/>
        </w:numPr>
        <w:spacing w:after="0" w:line="240" w:lineRule="auto"/>
        <w:jc w:val="both"/>
        <w:rPr>
          <w:rFonts w:ascii="Times New Roman" w:hAnsi="Times New Roman" w:cs="Times New Roman"/>
          <w:bCs/>
          <w:sz w:val="28"/>
          <w:szCs w:val="28"/>
        </w:rPr>
      </w:pPr>
      <w:r w:rsidRPr="00D053FB">
        <w:rPr>
          <w:rFonts w:ascii="Times New Roman" w:hAnsi="Times New Roman" w:cs="Times New Roman"/>
          <w:bCs/>
          <w:sz w:val="28"/>
          <w:szCs w:val="28"/>
        </w:rPr>
        <w:t xml:space="preserve">Paramount argues </w:t>
      </w:r>
      <w:r w:rsidR="00F87658">
        <w:rPr>
          <w:rFonts w:ascii="Times New Roman" w:hAnsi="Times New Roman" w:cs="Times New Roman"/>
          <w:bCs/>
          <w:sz w:val="28"/>
          <w:szCs w:val="28"/>
        </w:rPr>
        <w:t xml:space="preserve">that the </w:t>
      </w:r>
      <w:r w:rsidRPr="00D053FB">
        <w:rPr>
          <w:rFonts w:ascii="Times New Roman" w:hAnsi="Times New Roman" w:cs="Times New Roman"/>
          <w:bCs/>
          <w:sz w:val="28"/>
          <w:szCs w:val="28"/>
        </w:rPr>
        <w:t>cause of action arose and was discoverable in 2008</w:t>
      </w:r>
      <w:r w:rsidR="00F934A2">
        <w:rPr>
          <w:rFonts w:ascii="Times New Roman" w:hAnsi="Times New Roman" w:cs="Times New Roman"/>
          <w:bCs/>
          <w:sz w:val="28"/>
          <w:szCs w:val="28"/>
        </w:rPr>
        <w:t xml:space="preserve"> when ADK received a </w:t>
      </w:r>
      <w:r w:rsidR="0019279B">
        <w:rPr>
          <w:rFonts w:ascii="Times New Roman" w:hAnsi="Times New Roman" w:cs="Times New Roman"/>
          <w:bCs/>
          <w:sz w:val="28"/>
          <w:szCs w:val="28"/>
        </w:rPr>
        <w:t xml:space="preserve">distribution exceeding $10,000 under the </w:t>
      </w:r>
      <w:proofErr w:type="spellStart"/>
      <w:r w:rsidR="0019279B">
        <w:rPr>
          <w:rFonts w:ascii="Times New Roman" w:hAnsi="Times New Roman" w:cs="Times New Roman"/>
          <w:bCs/>
          <w:sz w:val="28"/>
          <w:szCs w:val="28"/>
        </w:rPr>
        <w:t>Shiha</w:t>
      </w:r>
      <w:proofErr w:type="spellEnd"/>
      <w:r w:rsidR="0019279B">
        <w:rPr>
          <w:rFonts w:ascii="Times New Roman" w:hAnsi="Times New Roman" w:cs="Times New Roman"/>
          <w:bCs/>
          <w:sz w:val="28"/>
          <w:szCs w:val="28"/>
        </w:rPr>
        <w:t xml:space="preserve"> Partnership Agreement</w:t>
      </w:r>
      <w:r w:rsidR="00F934A2">
        <w:rPr>
          <w:rFonts w:ascii="Times New Roman" w:hAnsi="Times New Roman" w:cs="Times New Roman"/>
          <w:bCs/>
          <w:sz w:val="28"/>
          <w:szCs w:val="28"/>
        </w:rPr>
        <w:t xml:space="preserve"> </w:t>
      </w:r>
      <w:r w:rsidR="00BC116A">
        <w:rPr>
          <w:rFonts w:ascii="Times New Roman" w:hAnsi="Times New Roman" w:cs="Times New Roman"/>
          <w:bCs/>
          <w:sz w:val="28"/>
          <w:szCs w:val="28"/>
        </w:rPr>
        <w:t xml:space="preserve">and </w:t>
      </w:r>
      <w:r w:rsidR="00F934A2">
        <w:rPr>
          <w:rFonts w:ascii="Times New Roman" w:hAnsi="Times New Roman" w:cs="Times New Roman"/>
          <w:bCs/>
          <w:sz w:val="28"/>
          <w:szCs w:val="28"/>
        </w:rPr>
        <w:t xml:space="preserve">Paramount ceased </w:t>
      </w:r>
      <w:r w:rsidR="00BC116A">
        <w:rPr>
          <w:rFonts w:ascii="Times New Roman" w:hAnsi="Times New Roman" w:cs="Times New Roman"/>
          <w:bCs/>
          <w:sz w:val="28"/>
          <w:szCs w:val="28"/>
        </w:rPr>
        <w:t>making</w:t>
      </w:r>
      <w:r w:rsidR="00F934A2">
        <w:rPr>
          <w:rFonts w:ascii="Times New Roman" w:hAnsi="Times New Roman" w:cs="Times New Roman"/>
          <w:bCs/>
          <w:sz w:val="28"/>
          <w:szCs w:val="28"/>
        </w:rPr>
        <w:t xml:space="preserve"> $100,00</w:t>
      </w:r>
      <w:r w:rsidR="001A340A">
        <w:rPr>
          <w:rFonts w:ascii="Times New Roman" w:hAnsi="Times New Roman" w:cs="Times New Roman"/>
          <w:bCs/>
          <w:sz w:val="28"/>
          <w:szCs w:val="28"/>
        </w:rPr>
        <w:t>0</w:t>
      </w:r>
      <w:r w:rsidR="00F934A2">
        <w:rPr>
          <w:rFonts w:ascii="Times New Roman" w:hAnsi="Times New Roman" w:cs="Times New Roman"/>
          <w:bCs/>
          <w:sz w:val="28"/>
          <w:szCs w:val="28"/>
        </w:rPr>
        <w:t xml:space="preserve"> annual pa</w:t>
      </w:r>
      <w:r w:rsidR="00BC116A">
        <w:rPr>
          <w:rFonts w:ascii="Times New Roman" w:hAnsi="Times New Roman" w:cs="Times New Roman"/>
          <w:bCs/>
          <w:sz w:val="28"/>
          <w:szCs w:val="28"/>
        </w:rPr>
        <w:t>yments to ADK</w:t>
      </w:r>
      <w:r w:rsidRPr="00D053FB">
        <w:rPr>
          <w:rFonts w:ascii="Times New Roman" w:hAnsi="Times New Roman" w:cs="Times New Roman"/>
          <w:bCs/>
          <w:sz w:val="28"/>
          <w:szCs w:val="28"/>
        </w:rPr>
        <w:t xml:space="preserve">. In the alternative, </w:t>
      </w:r>
      <w:r w:rsidR="00EA502C">
        <w:rPr>
          <w:rFonts w:ascii="Times New Roman" w:hAnsi="Times New Roman" w:cs="Times New Roman"/>
          <w:bCs/>
          <w:sz w:val="28"/>
          <w:szCs w:val="28"/>
        </w:rPr>
        <w:t>Paramount</w:t>
      </w:r>
      <w:r w:rsidRPr="00D053FB">
        <w:rPr>
          <w:rFonts w:ascii="Times New Roman" w:hAnsi="Times New Roman" w:cs="Times New Roman"/>
          <w:bCs/>
          <w:sz w:val="28"/>
          <w:szCs w:val="28"/>
        </w:rPr>
        <w:t xml:space="preserve"> </w:t>
      </w:r>
      <w:r w:rsidR="00112168">
        <w:rPr>
          <w:rFonts w:ascii="Times New Roman" w:hAnsi="Times New Roman" w:cs="Times New Roman"/>
          <w:bCs/>
          <w:sz w:val="28"/>
          <w:szCs w:val="28"/>
        </w:rPr>
        <w:t xml:space="preserve">advances that </w:t>
      </w:r>
      <w:r w:rsidR="00BC116A">
        <w:rPr>
          <w:rFonts w:ascii="Times New Roman" w:hAnsi="Times New Roman" w:cs="Times New Roman"/>
          <w:bCs/>
          <w:sz w:val="28"/>
          <w:szCs w:val="28"/>
        </w:rPr>
        <w:t xml:space="preserve">ADK was </w:t>
      </w:r>
      <w:r w:rsidRPr="00D053FB">
        <w:rPr>
          <w:rFonts w:ascii="Times New Roman" w:hAnsi="Times New Roman" w:cs="Times New Roman"/>
          <w:bCs/>
          <w:sz w:val="28"/>
          <w:szCs w:val="28"/>
        </w:rPr>
        <w:t>clearly aware</w:t>
      </w:r>
      <w:r w:rsidR="00BC116A">
        <w:rPr>
          <w:rFonts w:ascii="Times New Roman" w:hAnsi="Times New Roman" w:cs="Times New Roman"/>
          <w:bCs/>
          <w:sz w:val="28"/>
          <w:szCs w:val="28"/>
        </w:rPr>
        <w:t xml:space="preserve"> that Paramount claimed it </w:t>
      </w:r>
      <w:r w:rsidR="00EA502C">
        <w:rPr>
          <w:rFonts w:ascii="Times New Roman" w:hAnsi="Times New Roman" w:cs="Times New Roman"/>
          <w:bCs/>
          <w:sz w:val="28"/>
          <w:szCs w:val="28"/>
        </w:rPr>
        <w:t>was not required to make any further annual payments under the CIP Agreement</w:t>
      </w:r>
      <w:r w:rsidR="008A28D5">
        <w:rPr>
          <w:rFonts w:ascii="Times New Roman" w:hAnsi="Times New Roman" w:cs="Times New Roman"/>
          <w:bCs/>
          <w:sz w:val="28"/>
          <w:szCs w:val="28"/>
        </w:rPr>
        <w:t xml:space="preserve"> on </w:t>
      </w:r>
      <w:r w:rsidR="000014DB">
        <w:rPr>
          <w:rFonts w:ascii="Times New Roman" w:hAnsi="Times New Roman" w:cs="Times New Roman"/>
          <w:bCs/>
          <w:sz w:val="28"/>
          <w:szCs w:val="28"/>
        </w:rPr>
        <w:t>April 9</w:t>
      </w:r>
      <w:r w:rsidR="008A28D5">
        <w:rPr>
          <w:rFonts w:ascii="Times New Roman" w:hAnsi="Times New Roman" w:cs="Times New Roman"/>
          <w:bCs/>
          <w:sz w:val="28"/>
          <w:szCs w:val="28"/>
        </w:rPr>
        <w:t xml:space="preserve">, 2014, when </w:t>
      </w:r>
      <w:r w:rsidR="005E207A">
        <w:rPr>
          <w:rFonts w:ascii="Times New Roman" w:hAnsi="Times New Roman" w:cs="Times New Roman"/>
          <w:bCs/>
          <w:sz w:val="28"/>
          <w:szCs w:val="28"/>
        </w:rPr>
        <w:t xml:space="preserve">ADK </w:t>
      </w:r>
      <w:r w:rsidR="008A28D5">
        <w:rPr>
          <w:rFonts w:ascii="Times New Roman" w:hAnsi="Times New Roman" w:cs="Times New Roman"/>
          <w:bCs/>
          <w:sz w:val="28"/>
          <w:szCs w:val="28"/>
        </w:rPr>
        <w:t xml:space="preserve">received a letter from Paramount in response to its correspondence asking </w:t>
      </w:r>
      <w:r w:rsidR="00A623E8">
        <w:rPr>
          <w:rFonts w:ascii="Times New Roman" w:hAnsi="Times New Roman" w:cs="Times New Roman"/>
          <w:bCs/>
          <w:sz w:val="28"/>
          <w:szCs w:val="28"/>
        </w:rPr>
        <w:t xml:space="preserve">Paramount </w:t>
      </w:r>
      <w:r w:rsidR="008A28D5">
        <w:rPr>
          <w:rFonts w:ascii="Times New Roman" w:hAnsi="Times New Roman" w:cs="Times New Roman"/>
          <w:bCs/>
          <w:sz w:val="28"/>
          <w:szCs w:val="28"/>
        </w:rPr>
        <w:t xml:space="preserve">for </w:t>
      </w:r>
      <w:r w:rsidR="00A623E8">
        <w:rPr>
          <w:rFonts w:ascii="Times New Roman" w:hAnsi="Times New Roman" w:cs="Times New Roman"/>
          <w:bCs/>
          <w:sz w:val="28"/>
          <w:szCs w:val="28"/>
        </w:rPr>
        <w:t xml:space="preserve">an explanation for the interruption </w:t>
      </w:r>
      <w:r w:rsidR="005F7B37">
        <w:rPr>
          <w:rFonts w:ascii="Times New Roman" w:hAnsi="Times New Roman" w:cs="Times New Roman"/>
          <w:bCs/>
          <w:sz w:val="28"/>
          <w:szCs w:val="28"/>
        </w:rPr>
        <w:t>of the annual payments</w:t>
      </w:r>
      <w:r w:rsidRPr="00D053FB">
        <w:rPr>
          <w:rFonts w:ascii="Times New Roman" w:hAnsi="Times New Roman" w:cs="Times New Roman"/>
          <w:bCs/>
          <w:sz w:val="28"/>
          <w:szCs w:val="28"/>
        </w:rPr>
        <w:t xml:space="preserve">. </w:t>
      </w:r>
      <w:r w:rsidR="005F7B37">
        <w:rPr>
          <w:rFonts w:ascii="Times New Roman" w:hAnsi="Times New Roman" w:cs="Times New Roman"/>
          <w:bCs/>
          <w:sz w:val="28"/>
          <w:szCs w:val="28"/>
        </w:rPr>
        <w:t>Paramount stresses that i</w:t>
      </w:r>
      <w:r w:rsidRPr="00D053FB">
        <w:rPr>
          <w:rFonts w:ascii="Times New Roman" w:hAnsi="Times New Roman" w:cs="Times New Roman"/>
          <w:bCs/>
          <w:sz w:val="28"/>
          <w:szCs w:val="28"/>
        </w:rPr>
        <w:t xml:space="preserve">n both scenarios, </w:t>
      </w:r>
      <w:r w:rsidR="005F7B37">
        <w:rPr>
          <w:rFonts w:ascii="Times New Roman" w:hAnsi="Times New Roman" w:cs="Times New Roman"/>
          <w:bCs/>
          <w:sz w:val="28"/>
          <w:szCs w:val="28"/>
        </w:rPr>
        <w:t xml:space="preserve">the period between </w:t>
      </w:r>
      <w:r w:rsidR="00F15D45">
        <w:rPr>
          <w:rFonts w:ascii="Times New Roman" w:hAnsi="Times New Roman" w:cs="Times New Roman"/>
          <w:bCs/>
          <w:sz w:val="28"/>
          <w:szCs w:val="28"/>
        </w:rPr>
        <w:t xml:space="preserve">the </w:t>
      </w:r>
      <w:r w:rsidR="00A619C8">
        <w:rPr>
          <w:rFonts w:ascii="Times New Roman" w:hAnsi="Times New Roman" w:cs="Times New Roman"/>
          <w:bCs/>
          <w:sz w:val="28"/>
          <w:szCs w:val="28"/>
        </w:rPr>
        <w:t xml:space="preserve">discovery of the cause of action </w:t>
      </w:r>
      <w:r w:rsidR="00F15D45">
        <w:rPr>
          <w:rFonts w:ascii="Times New Roman" w:hAnsi="Times New Roman" w:cs="Times New Roman"/>
          <w:bCs/>
          <w:sz w:val="28"/>
          <w:szCs w:val="28"/>
        </w:rPr>
        <w:t>and the filing of the Statement of Claim on</w:t>
      </w:r>
      <w:r w:rsidR="002E6783" w:rsidRPr="00D053FB">
        <w:rPr>
          <w:rFonts w:ascii="Times New Roman" w:hAnsi="Times New Roman" w:cs="Times New Roman"/>
          <w:bCs/>
          <w:sz w:val="28"/>
          <w:szCs w:val="28"/>
        </w:rPr>
        <w:t xml:space="preserve"> </w:t>
      </w:r>
      <w:r w:rsidR="005113E3">
        <w:rPr>
          <w:rFonts w:ascii="Times New Roman" w:hAnsi="Times New Roman" w:cs="Times New Roman"/>
          <w:bCs/>
          <w:sz w:val="28"/>
          <w:szCs w:val="28"/>
        </w:rPr>
        <w:t>September 3</w:t>
      </w:r>
      <w:r w:rsidR="005113E3" w:rsidRPr="00533E0D">
        <w:rPr>
          <w:rFonts w:ascii="Times New Roman" w:hAnsi="Times New Roman" w:cs="Times New Roman"/>
          <w:bCs/>
          <w:sz w:val="28"/>
          <w:szCs w:val="28"/>
        </w:rPr>
        <w:t>,</w:t>
      </w:r>
      <w:r w:rsidR="005113E3">
        <w:rPr>
          <w:rFonts w:ascii="Times New Roman" w:hAnsi="Times New Roman" w:cs="Times New Roman"/>
          <w:bCs/>
          <w:sz w:val="28"/>
          <w:szCs w:val="28"/>
        </w:rPr>
        <w:t xml:space="preserve"> 2020</w:t>
      </w:r>
      <w:r w:rsidR="00CB0D6E">
        <w:rPr>
          <w:rFonts w:ascii="Times New Roman" w:hAnsi="Times New Roman" w:cs="Times New Roman"/>
          <w:bCs/>
          <w:sz w:val="28"/>
          <w:szCs w:val="28"/>
        </w:rPr>
        <w:t>,</w:t>
      </w:r>
      <w:r w:rsidR="005113E3">
        <w:rPr>
          <w:rFonts w:ascii="Times New Roman" w:hAnsi="Times New Roman" w:cs="Times New Roman"/>
          <w:bCs/>
          <w:sz w:val="28"/>
          <w:szCs w:val="28"/>
        </w:rPr>
        <w:t xml:space="preserve"> </w:t>
      </w:r>
      <w:r w:rsidR="002E6783" w:rsidRPr="00D053FB">
        <w:rPr>
          <w:rFonts w:ascii="Times New Roman" w:hAnsi="Times New Roman" w:cs="Times New Roman"/>
          <w:bCs/>
          <w:sz w:val="28"/>
          <w:szCs w:val="28"/>
        </w:rPr>
        <w:t>exceed</w:t>
      </w:r>
      <w:r w:rsidR="005113E3">
        <w:rPr>
          <w:rFonts w:ascii="Times New Roman" w:hAnsi="Times New Roman" w:cs="Times New Roman"/>
          <w:bCs/>
          <w:sz w:val="28"/>
          <w:szCs w:val="28"/>
        </w:rPr>
        <w:t>s</w:t>
      </w:r>
      <w:r w:rsidR="002E6783" w:rsidRPr="00D053FB">
        <w:rPr>
          <w:rFonts w:ascii="Times New Roman" w:hAnsi="Times New Roman" w:cs="Times New Roman"/>
          <w:bCs/>
          <w:sz w:val="28"/>
          <w:szCs w:val="28"/>
        </w:rPr>
        <w:t xml:space="preserve"> the </w:t>
      </w:r>
      <w:r w:rsidR="005113E3">
        <w:rPr>
          <w:rFonts w:ascii="Times New Roman" w:hAnsi="Times New Roman" w:cs="Times New Roman"/>
          <w:bCs/>
          <w:sz w:val="28"/>
          <w:szCs w:val="28"/>
        </w:rPr>
        <w:t xml:space="preserve">statutory six-year </w:t>
      </w:r>
      <w:r w:rsidR="002E6783" w:rsidRPr="00D053FB">
        <w:rPr>
          <w:rFonts w:ascii="Times New Roman" w:hAnsi="Times New Roman" w:cs="Times New Roman"/>
          <w:bCs/>
          <w:sz w:val="28"/>
          <w:szCs w:val="28"/>
        </w:rPr>
        <w:t xml:space="preserve">limitation period. </w:t>
      </w:r>
    </w:p>
    <w:p w14:paraId="4BC3CF11" w14:textId="77777777" w:rsidR="00EA502C" w:rsidRPr="00D053FB" w:rsidRDefault="00EA502C" w:rsidP="00EA502C">
      <w:pPr>
        <w:pStyle w:val="ListParagraph"/>
        <w:spacing w:after="0" w:line="240" w:lineRule="auto"/>
        <w:ind w:left="0"/>
        <w:jc w:val="both"/>
        <w:rPr>
          <w:rFonts w:ascii="Times New Roman" w:hAnsi="Times New Roman" w:cs="Times New Roman"/>
          <w:bCs/>
          <w:sz w:val="28"/>
          <w:szCs w:val="28"/>
        </w:rPr>
      </w:pPr>
    </w:p>
    <w:p w14:paraId="7DD8E4F2" w14:textId="6616A814" w:rsidR="001556A1" w:rsidRDefault="00365D62" w:rsidP="00FE52D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ADK advances that </w:t>
      </w:r>
      <w:r w:rsidR="00A55F0B">
        <w:rPr>
          <w:rFonts w:ascii="Times New Roman" w:hAnsi="Times New Roman" w:cs="Times New Roman"/>
          <w:bCs/>
          <w:sz w:val="28"/>
          <w:szCs w:val="28"/>
        </w:rPr>
        <w:t xml:space="preserve">because </w:t>
      </w:r>
      <w:r>
        <w:rPr>
          <w:rFonts w:ascii="Times New Roman" w:hAnsi="Times New Roman" w:cs="Times New Roman"/>
          <w:bCs/>
          <w:sz w:val="28"/>
          <w:szCs w:val="28"/>
        </w:rPr>
        <w:t>the CIP Agreement is an executory contract</w:t>
      </w:r>
      <w:r w:rsidR="00A55F0B">
        <w:rPr>
          <w:rFonts w:ascii="Times New Roman" w:hAnsi="Times New Roman" w:cs="Times New Roman"/>
          <w:bCs/>
          <w:sz w:val="28"/>
          <w:szCs w:val="28"/>
        </w:rPr>
        <w:t xml:space="preserve">, the </w:t>
      </w:r>
      <w:r w:rsidR="002878FD" w:rsidRPr="00FE52DC">
        <w:rPr>
          <w:rFonts w:ascii="Times New Roman" w:hAnsi="Times New Roman" w:cs="Times New Roman"/>
          <w:bCs/>
          <w:sz w:val="28"/>
          <w:szCs w:val="28"/>
        </w:rPr>
        <w:t xml:space="preserve">limitation period did not start running until the termination of the contract in June 2022. In the alternative, </w:t>
      </w:r>
      <w:r w:rsidR="002E6783" w:rsidRPr="00FE52DC">
        <w:rPr>
          <w:rFonts w:ascii="Times New Roman" w:hAnsi="Times New Roman" w:cs="Times New Roman"/>
          <w:bCs/>
          <w:sz w:val="28"/>
          <w:szCs w:val="28"/>
        </w:rPr>
        <w:t xml:space="preserve">ADK argues that the cause of action was </w:t>
      </w:r>
      <w:r w:rsidR="00C61613" w:rsidRPr="00FE52DC">
        <w:rPr>
          <w:rFonts w:ascii="Times New Roman" w:hAnsi="Times New Roman" w:cs="Times New Roman"/>
          <w:bCs/>
          <w:sz w:val="28"/>
          <w:szCs w:val="28"/>
        </w:rPr>
        <w:t xml:space="preserve">only </w:t>
      </w:r>
      <w:r w:rsidR="002E6783" w:rsidRPr="00FE52DC">
        <w:rPr>
          <w:rFonts w:ascii="Times New Roman" w:hAnsi="Times New Roman" w:cs="Times New Roman"/>
          <w:bCs/>
          <w:sz w:val="28"/>
          <w:szCs w:val="28"/>
        </w:rPr>
        <w:t xml:space="preserve">discoverable by ADK </w:t>
      </w:r>
      <w:r w:rsidR="00A01423" w:rsidRPr="00FE52DC">
        <w:rPr>
          <w:rFonts w:ascii="Times New Roman" w:hAnsi="Times New Roman" w:cs="Times New Roman"/>
          <w:bCs/>
          <w:sz w:val="28"/>
          <w:szCs w:val="28"/>
        </w:rPr>
        <w:t xml:space="preserve">on May 1, </w:t>
      </w:r>
      <w:r w:rsidR="002E6783" w:rsidRPr="00FE52DC">
        <w:rPr>
          <w:rFonts w:ascii="Times New Roman" w:hAnsi="Times New Roman" w:cs="Times New Roman"/>
          <w:bCs/>
          <w:sz w:val="28"/>
          <w:szCs w:val="28"/>
        </w:rPr>
        <w:t xml:space="preserve">2020, when this </w:t>
      </w:r>
      <w:r w:rsidR="0053606A" w:rsidRPr="00FE52DC">
        <w:rPr>
          <w:rFonts w:ascii="Times New Roman" w:hAnsi="Times New Roman" w:cs="Times New Roman"/>
          <w:bCs/>
          <w:sz w:val="28"/>
          <w:szCs w:val="28"/>
        </w:rPr>
        <w:t>C</w:t>
      </w:r>
      <w:r w:rsidR="002E6783" w:rsidRPr="00FE52DC">
        <w:rPr>
          <w:rFonts w:ascii="Times New Roman" w:hAnsi="Times New Roman" w:cs="Times New Roman"/>
          <w:bCs/>
          <w:sz w:val="28"/>
          <w:szCs w:val="28"/>
        </w:rPr>
        <w:t>ourt released its decision</w:t>
      </w:r>
      <w:r w:rsidR="00A01423" w:rsidRPr="00FE52DC">
        <w:rPr>
          <w:rFonts w:ascii="Times New Roman" w:hAnsi="Times New Roman" w:cs="Times New Roman"/>
          <w:bCs/>
          <w:sz w:val="28"/>
          <w:szCs w:val="28"/>
        </w:rPr>
        <w:t xml:space="preserve"> dismissing ADK’s application for judicial review</w:t>
      </w:r>
      <w:r w:rsidR="002E6783" w:rsidRPr="00FE52DC">
        <w:rPr>
          <w:rFonts w:ascii="Times New Roman" w:hAnsi="Times New Roman" w:cs="Times New Roman"/>
          <w:bCs/>
          <w:sz w:val="28"/>
          <w:szCs w:val="28"/>
        </w:rPr>
        <w:t xml:space="preserve">. It </w:t>
      </w:r>
      <w:r w:rsidR="00C571A5">
        <w:rPr>
          <w:rFonts w:ascii="Times New Roman" w:hAnsi="Times New Roman" w:cs="Times New Roman"/>
          <w:bCs/>
          <w:sz w:val="28"/>
          <w:szCs w:val="28"/>
        </w:rPr>
        <w:t>submits</w:t>
      </w:r>
      <w:r w:rsidR="002E6783" w:rsidRPr="00FE52DC">
        <w:rPr>
          <w:rFonts w:ascii="Times New Roman" w:hAnsi="Times New Roman" w:cs="Times New Roman"/>
          <w:bCs/>
          <w:sz w:val="28"/>
          <w:szCs w:val="28"/>
        </w:rPr>
        <w:t xml:space="preserve"> that until then, ADK </w:t>
      </w:r>
      <w:r w:rsidR="001556A1" w:rsidRPr="00FE52DC">
        <w:rPr>
          <w:rFonts w:ascii="Times New Roman" w:hAnsi="Times New Roman" w:cs="Times New Roman"/>
          <w:bCs/>
          <w:sz w:val="28"/>
          <w:szCs w:val="28"/>
        </w:rPr>
        <w:t xml:space="preserve">did not know the CPI </w:t>
      </w:r>
      <w:r w:rsidR="00A01423" w:rsidRPr="00FE52DC">
        <w:rPr>
          <w:rFonts w:ascii="Times New Roman" w:hAnsi="Times New Roman" w:cs="Times New Roman"/>
          <w:bCs/>
          <w:sz w:val="28"/>
          <w:szCs w:val="28"/>
        </w:rPr>
        <w:t xml:space="preserve">Agreement </w:t>
      </w:r>
      <w:r w:rsidR="001556A1" w:rsidRPr="00FE52DC">
        <w:rPr>
          <w:rFonts w:ascii="Times New Roman" w:hAnsi="Times New Roman" w:cs="Times New Roman"/>
          <w:bCs/>
          <w:sz w:val="28"/>
          <w:szCs w:val="28"/>
        </w:rPr>
        <w:t xml:space="preserve">was a private contract </w:t>
      </w:r>
      <w:r w:rsidR="00AD16F1" w:rsidRPr="00FE52DC">
        <w:rPr>
          <w:rFonts w:ascii="Times New Roman" w:hAnsi="Times New Roman" w:cs="Times New Roman"/>
          <w:bCs/>
          <w:sz w:val="28"/>
          <w:szCs w:val="28"/>
        </w:rPr>
        <w:t>enforceable</w:t>
      </w:r>
      <w:r w:rsidR="001556A1" w:rsidRPr="00FE52DC">
        <w:rPr>
          <w:rFonts w:ascii="Times New Roman" w:hAnsi="Times New Roman" w:cs="Times New Roman"/>
          <w:bCs/>
          <w:sz w:val="28"/>
          <w:szCs w:val="28"/>
        </w:rPr>
        <w:t xml:space="preserve"> against Paramount. In the alternative, ADK </w:t>
      </w:r>
      <w:r w:rsidR="00C571A5">
        <w:rPr>
          <w:rFonts w:ascii="Times New Roman" w:hAnsi="Times New Roman" w:cs="Times New Roman"/>
          <w:bCs/>
          <w:sz w:val="28"/>
          <w:szCs w:val="28"/>
        </w:rPr>
        <w:t>claims</w:t>
      </w:r>
      <w:r w:rsidR="001556A1" w:rsidRPr="00FE52DC">
        <w:rPr>
          <w:rFonts w:ascii="Times New Roman" w:hAnsi="Times New Roman" w:cs="Times New Roman"/>
          <w:bCs/>
          <w:sz w:val="28"/>
          <w:szCs w:val="28"/>
        </w:rPr>
        <w:t xml:space="preserve"> that </w:t>
      </w:r>
      <w:r w:rsidR="00A01423" w:rsidRPr="00FE52DC">
        <w:rPr>
          <w:rFonts w:ascii="Times New Roman" w:hAnsi="Times New Roman" w:cs="Times New Roman"/>
          <w:bCs/>
          <w:sz w:val="28"/>
          <w:szCs w:val="28"/>
        </w:rPr>
        <w:t>the CPI Agreement creates</w:t>
      </w:r>
      <w:r w:rsidR="00241DFF" w:rsidRPr="00FE52DC">
        <w:rPr>
          <w:rFonts w:ascii="Times New Roman" w:hAnsi="Times New Roman" w:cs="Times New Roman"/>
          <w:bCs/>
          <w:sz w:val="28"/>
          <w:szCs w:val="28"/>
        </w:rPr>
        <w:t xml:space="preserve"> </w:t>
      </w:r>
      <w:r w:rsidR="002F36C0" w:rsidRPr="00FE52DC">
        <w:rPr>
          <w:rFonts w:ascii="Times New Roman" w:hAnsi="Times New Roman" w:cs="Times New Roman"/>
          <w:bCs/>
          <w:sz w:val="28"/>
          <w:szCs w:val="28"/>
        </w:rPr>
        <w:t>an obligation to make periodic payments</w:t>
      </w:r>
      <w:r w:rsidR="00241DFF" w:rsidRPr="00FE52DC">
        <w:rPr>
          <w:rFonts w:ascii="Times New Roman" w:hAnsi="Times New Roman" w:cs="Times New Roman"/>
          <w:bCs/>
          <w:sz w:val="28"/>
          <w:szCs w:val="28"/>
        </w:rPr>
        <w:t xml:space="preserve"> </w:t>
      </w:r>
      <w:r w:rsidR="00A01423" w:rsidRPr="00FE52DC">
        <w:rPr>
          <w:rFonts w:ascii="Times New Roman" w:hAnsi="Times New Roman" w:cs="Times New Roman"/>
          <w:bCs/>
          <w:sz w:val="28"/>
          <w:szCs w:val="28"/>
        </w:rPr>
        <w:t xml:space="preserve">that justify </w:t>
      </w:r>
      <w:r w:rsidR="00836B4B" w:rsidRPr="00FE52DC">
        <w:rPr>
          <w:rFonts w:ascii="Times New Roman" w:hAnsi="Times New Roman" w:cs="Times New Roman"/>
          <w:bCs/>
          <w:sz w:val="28"/>
          <w:szCs w:val="28"/>
        </w:rPr>
        <w:t>apply</w:t>
      </w:r>
      <w:r w:rsidR="00A01423" w:rsidRPr="00FE52DC">
        <w:rPr>
          <w:rFonts w:ascii="Times New Roman" w:hAnsi="Times New Roman" w:cs="Times New Roman"/>
          <w:bCs/>
          <w:sz w:val="28"/>
          <w:szCs w:val="28"/>
        </w:rPr>
        <w:t>ing</w:t>
      </w:r>
      <w:r w:rsidR="00836B4B" w:rsidRPr="00FE52DC">
        <w:rPr>
          <w:rFonts w:ascii="Times New Roman" w:hAnsi="Times New Roman" w:cs="Times New Roman"/>
          <w:bCs/>
          <w:sz w:val="28"/>
          <w:szCs w:val="28"/>
        </w:rPr>
        <w:t xml:space="preserve"> a rolling limitation period such that only the part of the claim that predates 2014 is statute barred. </w:t>
      </w:r>
    </w:p>
    <w:p w14:paraId="6D9C9AE3" w14:textId="77777777" w:rsidR="00E30CDB" w:rsidRPr="00E30CDB" w:rsidRDefault="00E30CDB" w:rsidP="00772D28">
      <w:pPr>
        <w:pStyle w:val="ListParagraph"/>
        <w:spacing w:after="0" w:line="240" w:lineRule="auto"/>
        <w:rPr>
          <w:rFonts w:ascii="Times New Roman" w:hAnsi="Times New Roman" w:cs="Times New Roman"/>
          <w:bCs/>
          <w:sz w:val="28"/>
          <w:szCs w:val="28"/>
        </w:rPr>
      </w:pPr>
    </w:p>
    <w:p w14:paraId="43033888" w14:textId="4FB80640" w:rsidR="00E30CDB" w:rsidRPr="00E30CDB" w:rsidRDefault="00C9497E" w:rsidP="00E30CDB">
      <w:pPr>
        <w:spacing w:after="0" w:line="240" w:lineRule="auto"/>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The </w:t>
      </w:r>
      <w:r w:rsidR="005810BD">
        <w:rPr>
          <w:rFonts w:ascii="Times New Roman" w:hAnsi="Times New Roman" w:cs="Times New Roman"/>
          <w:bCs/>
          <w:sz w:val="28"/>
          <w:szCs w:val="28"/>
          <w:u w:val="single"/>
        </w:rPr>
        <w:t>Commencement of the Limitation Period</w:t>
      </w:r>
    </w:p>
    <w:p w14:paraId="7A315369" w14:textId="77777777" w:rsidR="004959BE" w:rsidRPr="00D053FB" w:rsidRDefault="004959BE" w:rsidP="004959BE">
      <w:pPr>
        <w:pStyle w:val="ListParagraph"/>
        <w:spacing w:after="0" w:line="240" w:lineRule="auto"/>
        <w:ind w:left="0"/>
        <w:jc w:val="both"/>
        <w:rPr>
          <w:rFonts w:ascii="Times New Roman" w:hAnsi="Times New Roman" w:cs="Times New Roman"/>
          <w:bCs/>
          <w:sz w:val="28"/>
          <w:szCs w:val="28"/>
        </w:rPr>
      </w:pPr>
    </w:p>
    <w:p w14:paraId="291F7B98" w14:textId="7BA9AF25" w:rsidR="00FB3F0F" w:rsidRDefault="00FA7F28" w:rsidP="00973FFF">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S</w:t>
      </w:r>
      <w:r w:rsidR="003E1068">
        <w:rPr>
          <w:rFonts w:ascii="Times New Roman" w:hAnsi="Times New Roman" w:cs="Times New Roman"/>
          <w:bCs/>
          <w:sz w:val="28"/>
          <w:szCs w:val="28"/>
        </w:rPr>
        <w:t>ection 2</w:t>
      </w:r>
      <w:r w:rsidR="001F3415">
        <w:rPr>
          <w:rFonts w:ascii="Times New Roman" w:hAnsi="Times New Roman" w:cs="Times New Roman"/>
          <w:bCs/>
          <w:sz w:val="28"/>
          <w:szCs w:val="28"/>
        </w:rPr>
        <w:t xml:space="preserve">(1) </w:t>
      </w:r>
      <w:r w:rsidR="003E1068">
        <w:rPr>
          <w:rFonts w:ascii="Times New Roman" w:hAnsi="Times New Roman" w:cs="Times New Roman"/>
          <w:bCs/>
          <w:sz w:val="28"/>
          <w:szCs w:val="28"/>
        </w:rPr>
        <w:t xml:space="preserve">of the </w:t>
      </w:r>
      <w:r w:rsidR="003E1068" w:rsidRPr="001F3415">
        <w:rPr>
          <w:rFonts w:ascii="Times New Roman" w:hAnsi="Times New Roman" w:cs="Times New Roman"/>
          <w:bCs/>
          <w:i/>
          <w:iCs/>
          <w:sz w:val="28"/>
          <w:szCs w:val="28"/>
        </w:rPr>
        <w:t>Limitation</w:t>
      </w:r>
      <w:r w:rsidR="002D4891" w:rsidRPr="001F3415">
        <w:rPr>
          <w:rFonts w:ascii="Times New Roman" w:hAnsi="Times New Roman" w:cs="Times New Roman"/>
          <w:bCs/>
          <w:i/>
          <w:iCs/>
          <w:sz w:val="28"/>
          <w:szCs w:val="28"/>
        </w:rPr>
        <w:t xml:space="preserve"> of Actions Act</w:t>
      </w:r>
      <w:r w:rsidR="002D4891">
        <w:rPr>
          <w:rFonts w:ascii="Times New Roman" w:hAnsi="Times New Roman" w:cs="Times New Roman"/>
          <w:bCs/>
          <w:sz w:val="28"/>
          <w:szCs w:val="28"/>
        </w:rPr>
        <w:t xml:space="preserve"> </w:t>
      </w:r>
      <w:r w:rsidR="00E54AF4">
        <w:rPr>
          <w:rFonts w:ascii="Times New Roman" w:hAnsi="Times New Roman" w:cs="Times New Roman"/>
          <w:bCs/>
          <w:sz w:val="28"/>
          <w:szCs w:val="28"/>
        </w:rPr>
        <w:t>provides that</w:t>
      </w:r>
      <w:r w:rsidR="002D4891">
        <w:rPr>
          <w:rFonts w:ascii="Times New Roman" w:hAnsi="Times New Roman" w:cs="Times New Roman"/>
          <w:bCs/>
          <w:sz w:val="28"/>
          <w:szCs w:val="28"/>
        </w:rPr>
        <w:t>:</w:t>
      </w:r>
    </w:p>
    <w:p w14:paraId="7B807F44" w14:textId="77777777" w:rsidR="002D4891" w:rsidRDefault="002D4891" w:rsidP="002D4891">
      <w:pPr>
        <w:spacing w:after="0" w:line="240" w:lineRule="auto"/>
        <w:jc w:val="both"/>
        <w:rPr>
          <w:rFonts w:ascii="Times New Roman" w:hAnsi="Times New Roman" w:cs="Times New Roman"/>
          <w:bCs/>
          <w:sz w:val="28"/>
          <w:szCs w:val="28"/>
        </w:rPr>
      </w:pPr>
    </w:p>
    <w:p w14:paraId="33321C1A" w14:textId="1A446EAB" w:rsidR="001F3415" w:rsidRDefault="002D4891" w:rsidP="001F3415">
      <w:pPr>
        <w:pStyle w:val="ListParagraph"/>
        <w:ind w:right="855"/>
        <w:jc w:val="both"/>
        <w:rPr>
          <w:rFonts w:ascii="Times New Roman" w:hAnsi="Times New Roman" w:cs="Times New Roman"/>
          <w:bCs/>
          <w:sz w:val="24"/>
          <w:szCs w:val="24"/>
        </w:rPr>
      </w:pPr>
      <w:r>
        <w:rPr>
          <w:rFonts w:ascii="Times New Roman" w:hAnsi="Times New Roman" w:cs="Times New Roman"/>
          <w:bCs/>
          <w:sz w:val="24"/>
          <w:szCs w:val="24"/>
        </w:rPr>
        <w:t>2</w:t>
      </w:r>
      <w:r w:rsidR="001F3415">
        <w:rPr>
          <w:rFonts w:ascii="Times New Roman" w:hAnsi="Times New Roman" w:cs="Times New Roman"/>
          <w:bCs/>
          <w:sz w:val="24"/>
          <w:szCs w:val="24"/>
        </w:rPr>
        <w:t>(1)</w:t>
      </w:r>
      <w:r>
        <w:rPr>
          <w:rFonts w:ascii="Times New Roman" w:hAnsi="Times New Roman" w:cs="Times New Roman"/>
          <w:bCs/>
          <w:sz w:val="24"/>
          <w:szCs w:val="24"/>
        </w:rPr>
        <w:t xml:space="preserve"> </w:t>
      </w:r>
      <w:r w:rsidRPr="002D4891">
        <w:rPr>
          <w:rFonts w:ascii="Times New Roman" w:hAnsi="Times New Roman" w:cs="Times New Roman"/>
          <w:bCs/>
          <w:sz w:val="24"/>
          <w:szCs w:val="24"/>
        </w:rPr>
        <w:t xml:space="preserve">The following actions must be commenced within and not after the following times: </w:t>
      </w:r>
    </w:p>
    <w:p w14:paraId="61E77D83" w14:textId="062A4589" w:rsidR="001F3415" w:rsidRPr="001F3415" w:rsidRDefault="001F3415" w:rsidP="001F3415">
      <w:pPr>
        <w:pStyle w:val="ListParagraph"/>
        <w:ind w:right="855"/>
        <w:jc w:val="both"/>
        <w:rPr>
          <w:rFonts w:ascii="Times New Roman" w:hAnsi="Times New Roman" w:cs="Times New Roman"/>
          <w:bCs/>
          <w:sz w:val="24"/>
          <w:szCs w:val="24"/>
        </w:rPr>
      </w:pPr>
      <w:r>
        <w:rPr>
          <w:rFonts w:ascii="Times New Roman" w:hAnsi="Times New Roman" w:cs="Times New Roman"/>
          <w:bCs/>
          <w:sz w:val="24"/>
          <w:szCs w:val="24"/>
        </w:rPr>
        <w:t>[…]</w:t>
      </w:r>
    </w:p>
    <w:p w14:paraId="196E9FE1" w14:textId="1EBA4CD9" w:rsidR="002D4891" w:rsidRPr="002D4891" w:rsidRDefault="002D4891" w:rsidP="001F3415">
      <w:pPr>
        <w:pStyle w:val="ListParagraph"/>
        <w:ind w:left="1440" w:right="855" w:hanging="720"/>
        <w:jc w:val="both"/>
        <w:rPr>
          <w:rFonts w:ascii="Times New Roman" w:hAnsi="Times New Roman" w:cs="Times New Roman"/>
          <w:bCs/>
          <w:sz w:val="24"/>
          <w:szCs w:val="24"/>
        </w:rPr>
      </w:pPr>
      <w:r w:rsidRPr="002D4891">
        <w:rPr>
          <w:rFonts w:ascii="Times New Roman" w:hAnsi="Times New Roman" w:cs="Times New Roman"/>
          <w:bCs/>
          <w:sz w:val="24"/>
          <w:szCs w:val="24"/>
        </w:rPr>
        <w:t xml:space="preserve"> (f) </w:t>
      </w:r>
      <w:r w:rsidR="001F3415">
        <w:rPr>
          <w:rFonts w:ascii="Times New Roman" w:hAnsi="Times New Roman" w:cs="Times New Roman"/>
          <w:bCs/>
          <w:sz w:val="24"/>
          <w:szCs w:val="24"/>
        </w:rPr>
        <w:tab/>
      </w:r>
      <w:r w:rsidRPr="002D4891">
        <w:rPr>
          <w:rFonts w:ascii="Times New Roman" w:hAnsi="Times New Roman" w:cs="Times New Roman"/>
          <w:bCs/>
          <w:sz w:val="24"/>
          <w:szCs w:val="24"/>
        </w:rPr>
        <w:t xml:space="preserve">actions for the recovery of money, except in respect of a debt charged on land, whether recoverable as a debt or damages or otherwise, and whether </w:t>
      </w:r>
      <w:r w:rsidRPr="002D4891">
        <w:rPr>
          <w:rFonts w:ascii="Times New Roman" w:hAnsi="Times New Roman" w:cs="Times New Roman"/>
          <w:bCs/>
          <w:sz w:val="24"/>
          <w:szCs w:val="24"/>
        </w:rPr>
        <w:lastRenderedPageBreak/>
        <w:t xml:space="preserve">on a recognizance, bond, covenant or other specialty or on a simple contract, express or implied, and actions for an account or for not accounting, within six years after the cause of action </w:t>
      </w:r>
      <w:proofErr w:type="gramStart"/>
      <w:r w:rsidRPr="002D4891">
        <w:rPr>
          <w:rFonts w:ascii="Times New Roman" w:hAnsi="Times New Roman" w:cs="Times New Roman"/>
          <w:bCs/>
          <w:sz w:val="24"/>
          <w:szCs w:val="24"/>
        </w:rPr>
        <w:t>arose;</w:t>
      </w:r>
      <w:proofErr w:type="gramEnd"/>
    </w:p>
    <w:p w14:paraId="202B4555" w14:textId="68A31493" w:rsidR="000120D0" w:rsidRPr="000120D0" w:rsidRDefault="000120D0" w:rsidP="000120D0">
      <w:pPr>
        <w:pStyle w:val="ListParagraph"/>
        <w:spacing w:after="0" w:line="240" w:lineRule="auto"/>
        <w:ind w:left="0"/>
        <w:jc w:val="both"/>
        <w:rPr>
          <w:rFonts w:ascii="Times New Roman" w:hAnsi="Times New Roman" w:cs="Times New Roman"/>
          <w:bCs/>
          <w:sz w:val="28"/>
          <w:szCs w:val="28"/>
        </w:rPr>
      </w:pPr>
    </w:p>
    <w:p w14:paraId="61D4D111" w14:textId="2D9F604A" w:rsidR="00CD7482" w:rsidRDefault="00CD7482" w:rsidP="00973FFF">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parties agree that the limitation period in this case is six years. Where they do not agree is when the cause of action arose. </w:t>
      </w:r>
    </w:p>
    <w:p w14:paraId="598355A5" w14:textId="77777777" w:rsidR="00043ECF" w:rsidRDefault="00043ECF" w:rsidP="00043ECF">
      <w:pPr>
        <w:pStyle w:val="ListParagraph"/>
        <w:spacing w:after="0" w:line="240" w:lineRule="auto"/>
        <w:ind w:left="0"/>
        <w:jc w:val="both"/>
        <w:rPr>
          <w:rFonts w:ascii="Times New Roman" w:hAnsi="Times New Roman" w:cs="Times New Roman"/>
          <w:bCs/>
          <w:sz w:val="28"/>
          <w:szCs w:val="28"/>
        </w:rPr>
      </w:pPr>
    </w:p>
    <w:p w14:paraId="214A9161" w14:textId="404C3293" w:rsidR="00043ECF" w:rsidRPr="00456172" w:rsidRDefault="00043ECF" w:rsidP="00043ECF">
      <w:pPr>
        <w:pStyle w:val="ListParagraph"/>
        <w:numPr>
          <w:ilvl w:val="0"/>
          <w:numId w:val="1"/>
        </w:numPr>
        <w:spacing w:after="0" w:line="240" w:lineRule="auto"/>
        <w:jc w:val="both"/>
        <w:rPr>
          <w:rFonts w:ascii="Times New Roman" w:hAnsi="Times New Roman" w:cs="Times New Roman"/>
          <w:bCs/>
          <w:sz w:val="28"/>
          <w:szCs w:val="28"/>
        </w:rPr>
      </w:pPr>
      <w:r w:rsidRPr="00A41CBB">
        <w:rPr>
          <w:rFonts w:ascii="Times New Roman" w:hAnsi="Times New Roman" w:cs="Times New Roman"/>
          <w:bCs/>
          <w:sz w:val="28"/>
          <w:szCs w:val="28"/>
        </w:rPr>
        <w:t>The determination of when the cause of action arose is assessed on an objective standard</w:t>
      </w:r>
      <w:r w:rsidRPr="00E23113">
        <w:rPr>
          <w:rFonts w:ascii="Times New Roman" w:hAnsi="Times New Roman" w:cs="Times New Roman"/>
          <w:bCs/>
          <w:sz w:val="28"/>
          <w:szCs w:val="28"/>
        </w:rPr>
        <w:t>. The question is when the plaintiff “discovered or ought to have discovered by the exercise of reasonable diligence, the material facts”</w:t>
      </w:r>
      <w:r>
        <w:rPr>
          <w:rFonts w:ascii="Times New Roman" w:hAnsi="Times New Roman" w:cs="Times New Roman"/>
          <w:bCs/>
          <w:sz w:val="28"/>
          <w:szCs w:val="28"/>
        </w:rPr>
        <w:t xml:space="preserve"> (</w:t>
      </w:r>
      <w:r w:rsidRPr="00E23113">
        <w:rPr>
          <w:rFonts w:ascii="Times New Roman" w:hAnsi="Times New Roman" w:cs="Times New Roman"/>
          <w:bCs/>
          <w:i/>
          <w:iCs/>
          <w:sz w:val="28"/>
          <w:szCs w:val="28"/>
        </w:rPr>
        <w:t>Base v Hadley</w:t>
      </w:r>
      <w:r w:rsidRPr="00E23113">
        <w:rPr>
          <w:rFonts w:ascii="Times New Roman" w:hAnsi="Times New Roman" w:cs="Times New Roman"/>
          <w:bCs/>
          <w:sz w:val="28"/>
          <w:szCs w:val="28"/>
        </w:rPr>
        <w:t>, 2006 N</w:t>
      </w:r>
      <w:r w:rsidR="00E30EDD">
        <w:rPr>
          <w:rFonts w:ascii="Times New Roman" w:hAnsi="Times New Roman" w:cs="Times New Roman"/>
          <w:bCs/>
          <w:sz w:val="28"/>
          <w:szCs w:val="28"/>
        </w:rPr>
        <w:t>W</w:t>
      </w:r>
      <w:r w:rsidRPr="00E23113">
        <w:rPr>
          <w:rFonts w:ascii="Times New Roman" w:hAnsi="Times New Roman" w:cs="Times New Roman"/>
          <w:bCs/>
          <w:sz w:val="28"/>
          <w:szCs w:val="28"/>
        </w:rPr>
        <w:t>TSC 4, para 25</w:t>
      </w:r>
      <w:r>
        <w:rPr>
          <w:rFonts w:ascii="Times New Roman" w:hAnsi="Times New Roman" w:cs="Times New Roman"/>
          <w:bCs/>
          <w:sz w:val="28"/>
          <w:szCs w:val="28"/>
        </w:rPr>
        <w:t>)</w:t>
      </w:r>
      <w:r w:rsidRPr="00E23113">
        <w:rPr>
          <w:rFonts w:ascii="Times New Roman" w:hAnsi="Times New Roman" w:cs="Times New Roman"/>
          <w:bCs/>
          <w:sz w:val="28"/>
          <w:szCs w:val="28"/>
        </w:rPr>
        <w:t>.</w:t>
      </w:r>
      <w:r w:rsidRPr="00A41CBB">
        <w:rPr>
          <w:rFonts w:ascii="Times New Roman" w:hAnsi="Times New Roman" w:cs="Times New Roman"/>
          <w:bCs/>
          <w:sz w:val="28"/>
          <w:szCs w:val="28"/>
        </w:rPr>
        <w:t xml:space="preserve"> </w:t>
      </w:r>
    </w:p>
    <w:p w14:paraId="61F970F5" w14:textId="77777777" w:rsidR="00CD7482" w:rsidRDefault="00CD7482" w:rsidP="00CD7482">
      <w:pPr>
        <w:pStyle w:val="ListParagraph"/>
        <w:spacing w:after="0" w:line="240" w:lineRule="auto"/>
        <w:ind w:left="0"/>
        <w:jc w:val="both"/>
        <w:rPr>
          <w:rFonts w:ascii="Times New Roman" w:hAnsi="Times New Roman" w:cs="Times New Roman"/>
          <w:bCs/>
          <w:sz w:val="28"/>
          <w:szCs w:val="28"/>
        </w:rPr>
      </w:pPr>
    </w:p>
    <w:p w14:paraId="39332400" w14:textId="2BC5FF26" w:rsidR="00E86BFF" w:rsidRDefault="00A55F0B" w:rsidP="00973FFF">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ADK argues that </w:t>
      </w:r>
      <w:r w:rsidR="00E83D9B">
        <w:rPr>
          <w:rFonts w:ascii="Times New Roman" w:hAnsi="Times New Roman" w:cs="Times New Roman"/>
          <w:bCs/>
          <w:sz w:val="28"/>
          <w:szCs w:val="28"/>
        </w:rPr>
        <w:t>the CIP Agreement is an executory contract</w:t>
      </w:r>
      <w:r>
        <w:rPr>
          <w:rFonts w:ascii="Times New Roman" w:hAnsi="Times New Roman" w:cs="Times New Roman"/>
          <w:bCs/>
          <w:sz w:val="28"/>
          <w:szCs w:val="28"/>
        </w:rPr>
        <w:t xml:space="preserve"> </w:t>
      </w:r>
      <w:r w:rsidR="006067B3">
        <w:rPr>
          <w:rFonts w:ascii="Times New Roman" w:hAnsi="Times New Roman" w:cs="Times New Roman"/>
          <w:bCs/>
          <w:sz w:val="28"/>
          <w:szCs w:val="28"/>
        </w:rPr>
        <w:t>under</w:t>
      </w:r>
      <w:r>
        <w:rPr>
          <w:rFonts w:ascii="Times New Roman" w:hAnsi="Times New Roman" w:cs="Times New Roman"/>
          <w:bCs/>
          <w:sz w:val="28"/>
          <w:szCs w:val="28"/>
        </w:rPr>
        <w:t xml:space="preserve"> which the parties had mutual obligations </w:t>
      </w:r>
      <w:r w:rsidR="00CA502C">
        <w:rPr>
          <w:rFonts w:ascii="Times New Roman" w:hAnsi="Times New Roman" w:cs="Times New Roman"/>
          <w:bCs/>
          <w:sz w:val="28"/>
          <w:szCs w:val="28"/>
        </w:rPr>
        <w:t>they continued to</w:t>
      </w:r>
      <w:r>
        <w:rPr>
          <w:rFonts w:ascii="Times New Roman" w:hAnsi="Times New Roman" w:cs="Times New Roman"/>
          <w:bCs/>
          <w:sz w:val="28"/>
          <w:szCs w:val="28"/>
        </w:rPr>
        <w:t xml:space="preserve"> perform from 2009 until 2022. </w:t>
      </w:r>
      <w:r w:rsidR="00E83D9B">
        <w:rPr>
          <w:rFonts w:ascii="Times New Roman" w:hAnsi="Times New Roman" w:cs="Times New Roman"/>
          <w:bCs/>
          <w:sz w:val="28"/>
          <w:szCs w:val="28"/>
        </w:rPr>
        <w:t>It relies on</w:t>
      </w:r>
      <w:r>
        <w:rPr>
          <w:rFonts w:ascii="Times New Roman" w:hAnsi="Times New Roman" w:cs="Times New Roman"/>
          <w:bCs/>
          <w:sz w:val="28"/>
          <w:szCs w:val="28"/>
        </w:rPr>
        <w:t xml:space="preserve"> </w:t>
      </w:r>
      <w:r w:rsidRPr="00E55EAB">
        <w:rPr>
          <w:rFonts w:ascii="Times New Roman" w:hAnsi="Times New Roman" w:cs="Times New Roman"/>
          <w:bCs/>
          <w:i/>
          <w:iCs/>
          <w:sz w:val="28"/>
          <w:szCs w:val="28"/>
        </w:rPr>
        <w:t>S.W. Mackay &amp; Associates Ltd v Park Lane Ventures Ltd,</w:t>
      </w:r>
      <w:r w:rsidRPr="00FE52DC">
        <w:rPr>
          <w:rFonts w:ascii="Times New Roman" w:hAnsi="Times New Roman" w:cs="Times New Roman"/>
          <w:bCs/>
          <w:sz w:val="28"/>
          <w:szCs w:val="28"/>
        </w:rPr>
        <w:t xml:space="preserve"> 1997 CanLII 2051 (BC SC)</w:t>
      </w:r>
      <w:r w:rsidR="00EE0133">
        <w:rPr>
          <w:rFonts w:ascii="Times New Roman" w:hAnsi="Times New Roman" w:cs="Times New Roman"/>
          <w:bCs/>
          <w:sz w:val="28"/>
          <w:szCs w:val="28"/>
        </w:rPr>
        <w:t xml:space="preserve"> [</w:t>
      </w:r>
      <w:r w:rsidR="00EE0133" w:rsidRPr="00EE0133">
        <w:rPr>
          <w:rFonts w:ascii="Times New Roman" w:hAnsi="Times New Roman" w:cs="Times New Roman"/>
          <w:bCs/>
          <w:i/>
          <w:iCs/>
          <w:sz w:val="28"/>
          <w:szCs w:val="28"/>
        </w:rPr>
        <w:t>S.W. Mackay</w:t>
      </w:r>
      <w:r w:rsidR="00EE0133">
        <w:rPr>
          <w:rFonts w:ascii="Times New Roman" w:hAnsi="Times New Roman" w:cs="Times New Roman"/>
          <w:bCs/>
          <w:sz w:val="28"/>
          <w:szCs w:val="28"/>
        </w:rPr>
        <w:t>]</w:t>
      </w:r>
      <w:r w:rsidR="00E83D9B">
        <w:rPr>
          <w:rFonts w:ascii="Times New Roman" w:hAnsi="Times New Roman" w:cs="Times New Roman"/>
          <w:bCs/>
          <w:sz w:val="28"/>
          <w:szCs w:val="28"/>
        </w:rPr>
        <w:t xml:space="preserve"> </w:t>
      </w:r>
      <w:r w:rsidR="00CA251C">
        <w:rPr>
          <w:rFonts w:ascii="Times New Roman" w:hAnsi="Times New Roman" w:cs="Times New Roman"/>
          <w:bCs/>
          <w:sz w:val="28"/>
          <w:szCs w:val="28"/>
        </w:rPr>
        <w:t>to support</w:t>
      </w:r>
      <w:r w:rsidR="00D43202">
        <w:rPr>
          <w:rFonts w:ascii="Times New Roman" w:hAnsi="Times New Roman" w:cs="Times New Roman"/>
          <w:bCs/>
          <w:sz w:val="28"/>
          <w:szCs w:val="28"/>
        </w:rPr>
        <w:t xml:space="preserve"> the position that when a party alleges a breach of an executory contract, </w:t>
      </w:r>
      <w:r w:rsidR="00CD7482">
        <w:rPr>
          <w:rFonts w:ascii="Times New Roman" w:hAnsi="Times New Roman" w:cs="Times New Roman"/>
          <w:bCs/>
          <w:sz w:val="28"/>
          <w:szCs w:val="28"/>
        </w:rPr>
        <w:t>the cause of action arises on</w:t>
      </w:r>
      <w:r w:rsidR="00D43202">
        <w:rPr>
          <w:rFonts w:ascii="Times New Roman" w:hAnsi="Times New Roman" w:cs="Times New Roman"/>
          <w:bCs/>
          <w:sz w:val="28"/>
          <w:szCs w:val="28"/>
        </w:rPr>
        <w:t xml:space="preserve"> the </w:t>
      </w:r>
      <w:r w:rsidR="00553932">
        <w:rPr>
          <w:rFonts w:ascii="Times New Roman" w:hAnsi="Times New Roman" w:cs="Times New Roman"/>
          <w:bCs/>
          <w:sz w:val="28"/>
          <w:szCs w:val="28"/>
        </w:rPr>
        <w:t xml:space="preserve">day of </w:t>
      </w:r>
      <w:r w:rsidR="00EA21B4">
        <w:rPr>
          <w:rFonts w:ascii="Times New Roman" w:hAnsi="Times New Roman" w:cs="Times New Roman"/>
          <w:bCs/>
          <w:sz w:val="28"/>
          <w:szCs w:val="28"/>
        </w:rPr>
        <w:t>the termination of the contract. Paramount submi</w:t>
      </w:r>
      <w:r w:rsidR="00EE0133">
        <w:rPr>
          <w:rFonts w:ascii="Times New Roman" w:hAnsi="Times New Roman" w:cs="Times New Roman"/>
          <w:bCs/>
          <w:sz w:val="28"/>
          <w:szCs w:val="28"/>
        </w:rPr>
        <w:t xml:space="preserve">ts </w:t>
      </w:r>
      <w:r w:rsidR="00EE0133" w:rsidRPr="00CD7482">
        <w:rPr>
          <w:rFonts w:ascii="Times New Roman" w:hAnsi="Times New Roman" w:cs="Times New Roman"/>
          <w:bCs/>
          <w:i/>
          <w:iCs/>
          <w:sz w:val="28"/>
          <w:szCs w:val="28"/>
        </w:rPr>
        <w:t>S.W. Mackay</w:t>
      </w:r>
      <w:r w:rsidR="00EE0133">
        <w:rPr>
          <w:rFonts w:ascii="Times New Roman" w:hAnsi="Times New Roman" w:cs="Times New Roman"/>
          <w:bCs/>
          <w:sz w:val="28"/>
          <w:szCs w:val="28"/>
        </w:rPr>
        <w:t xml:space="preserve"> is distinguishable on its facts and that the position advanced by ADK is</w:t>
      </w:r>
      <w:r w:rsidR="002C017A">
        <w:rPr>
          <w:rFonts w:ascii="Times New Roman" w:hAnsi="Times New Roman" w:cs="Times New Roman"/>
          <w:bCs/>
          <w:sz w:val="28"/>
          <w:szCs w:val="28"/>
        </w:rPr>
        <w:t xml:space="preserve"> inconsistent with the rationale</w:t>
      </w:r>
      <w:r w:rsidR="006F7009">
        <w:rPr>
          <w:rFonts w:ascii="Times New Roman" w:hAnsi="Times New Roman" w:cs="Times New Roman"/>
          <w:bCs/>
          <w:sz w:val="28"/>
          <w:szCs w:val="28"/>
        </w:rPr>
        <w:t>s</w:t>
      </w:r>
      <w:r w:rsidR="002C017A">
        <w:rPr>
          <w:rFonts w:ascii="Times New Roman" w:hAnsi="Times New Roman" w:cs="Times New Roman"/>
          <w:bCs/>
          <w:sz w:val="28"/>
          <w:szCs w:val="28"/>
        </w:rPr>
        <w:t xml:space="preserve"> behind limitation periods</w:t>
      </w:r>
      <w:r w:rsidR="00052928">
        <w:rPr>
          <w:rFonts w:ascii="Times New Roman" w:hAnsi="Times New Roman" w:cs="Times New Roman"/>
          <w:bCs/>
          <w:sz w:val="28"/>
          <w:szCs w:val="28"/>
        </w:rPr>
        <w:t>.</w:t>
      </w:r>
    </w:p>
    <w:p w14:paraId="0ADE3AAD" w14:textId="77777777" w:rsidR="00052928" w:rsidRPr="00052928" w:rsidRDefault="00052928" w:rsidP="00052928">
      <w:pPr>
        <w:pStyle w:val="ListParagraph"/>
        <w:rPr>
          <w:rFonts w:ascii="Times New Roman" w:hAnsi="Times New Roman" w:cs="Times New Roman"/>
          <w:bCs/>
          <w:sz w:val="28"/>
          <w:szCs w:val="28"/>
        </w:rPr>
      </w:pPr>
    </w:p>
    <w:p w14:paraId="1D66D092" w14:textId="58F4D072" w:rsidR="00121130" w:rsidRDefault="00052928" w:rsidP="00121130">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I agree with Paramount</w:t>
      </w:r>
      <w:r w:rsidR="00121130">
        <w:rPr>
          <w:rFonts w:ascii="Times New Roman" w:hAnsi="Times New Roman" w:cs="Times New Roman"/>
          <w:bCs/>
          <w:sz w:val="28"/>
          <w:szCs w:val="28"/>
        </w:rPr>
        <w:t xml:space="preserve">. </w:t>
      </w:r>
      <w:r w:rsidR="0005157F">
        <w:rPr>
          <w:rFonts w:ascii="Times New Roman" w:hAnsi="Times New Roman" w:cs="Times New Roman"/>
          <w:bCs/>
          <w:sz w:val="28"/>
          <w:szCs w:val="28"/>
        </w:rPr>
        <w:t xml:space="preserve">In </w:t>
      </w:r>
      <w:r w:rsidR="00131EBD" w:rsidRPr="00EE0133">
        <w:rPr>
          <w:rFonts w:ascii="Times New Roman" w:hAnsi="Times New Roman" w:cs="Times New Roman"/>
          <w:bCs/>
          <w:i/>
          <w:iCs/>
          <w:sz w:val="28"/>
          <w:szCs w:val="28"/>
        </w:rPr>
        <w:t>S.W. Mackay</w:t>
      </w:r>
      <w:r w:rsidR="0005157F">
        <w:rPr>
          <w:rFonts w:ascii="Times New Roman" w:hAnsi="Times New Roman" w:cs="Times New Roman"/>
          <w:bCs/>
          <w:sz w:val="28"/>
          <w:szCs w:val="28"/>
        </w:rPr>
        <w:t xml:space="preserve">, the contract </w:t>
      </w:r>
      <w:r w:rsidR="002E515F">
        <w:rPr>
          <w:rFonts w:ascii="Times New Roman" w:hAnsi="Times New Roman" w:cs="Times New Roman"/>
          <w:bCs/>
          <w:sz w:val="28"/>
          <w:szCs w:val="28"/>
        </w:rPr>
        <w:t xml:space="preserve">allowed the parties to terminate the contract </w:t>
      </w:r>
      <w:r w:rsidR="002B1A26">
        <w:rPr>
          <w:rFonts w:ascii="Times New Roman" w:hAnsi="Times New Roman" w:cs="Times New Roman"/>
          <w:bCs/>
          <w:sz w:val="28"/>
          <w:szCs w:val="28"/>
        </w:rPr>
        <w:t>and</w:t>
      </w:r>
      <w:r w:rsidR="002E515F">
        <w:rPr>
          <w:rFonts w:ascii="Times New Roman" w:hAnsi="Times New Roman" w:cs="Times New Roman"/>
          <w:bCs/>
          <w:sz w:val="28"/>
          <w:szCs w:val="28"/>
        </w:rPr>
        <w:t xml:space="preserve"> extinguish </w:t>
      </w:r>
      <w:r w:rsidR="00B91E1F">
        <w:rPr>
          <w:rFonts w:ascii="Times New Roman" w:hAnsi="Times New Roman" w:cs="Times New Roman"/>
          <w:bCs/>
          <w:sz w:val="28"/>
          <w:szCs w:val="28"/>
        </w:rPr>
        <w:t xml:space="preserve">ongoing mutual contractual obligations, </w:t>
      </w:r>
      <w:r w:rsidR="002B1A26">
        <w:rPr>
          <w:rFonts w:ascii="Times New Roman" w:hAnsi="Times New Roman" w:cs="Times New Roman"/>
          <w:bCs/>
          <w:sz w:val="28"/>
          <w:szCs w:val="28"/>
        </w:rPr>
        <w:t xml:space="preserve">while </w:t>
      </w:r>
      <w:r w:rsidR="00B91E1F">
        <w:rPr>
          <w:rFonts w:ascii="Times New Roman" w:hAnsi="Times New Roman" w:cs="Times New Roman"/>
          <w:bCs/>
          <w:sz w:val="28"/>
          <w:szCs w:val="28"/>
        </w:rPr>
        <w:t xml:space="preserve">it also </w:t>
      </w:r>
      <w:r w:rsidR="0005157F">
        <w:rPr>
          <w:rFonts w:ascii="Times New Roman" w:hAnsi="Times New Roman" w:cs="Times New Roman"/>
          <w:bCs/>
          <w:sz w:val="28"/>
          <w:szCs w:val="28"/>
        </w:rPr>
        <w:t xml:space="preserve">created an obligation </w:t>
      </w:r>
      <w:r w:rsidR="002B1A26">
        <w:rPr>
          <w:rFonts w:ascii="Times New Roman" w:hAnsi="Times New Roman" w:cs="Times New Roman"/>
          <w:bCs/>
          <w:sz w:val="28"/>
          <w:szCs w:val="28"/>
        </w:rPr>
        <w:t>for</w:t>
      </w:r>
      <w:r w:rsidR="0005157F">
        <w:rPr>
          <w:rFonts w:ascii="Times New Roman" w:hAnsi="Times New Roman" w:cs="Times New Roman"/>
          <w:bCs/>
          <w:sz w:val="28"/>
          <w:szCs w:val="28"/>
        </w:rPr>
        <w:t xml:space="preserve"> one of the parties to </w:t>
      </w:r>
      <w:r w:rsidR="00E40953">
        <w:rPr>
          <w:rFonts w:ascii="Times New Roman" w:hAnsi="Times New Roman" w:cs="Times New Roman"/>
          <w:bCs/>
          <w:sz w:val="28"/>
          <w:szCs w:val="28"/>
        </w:rPr>
        <w:t xml:space="preserve">pay 10% of net profits to the other party </w:t>
      </w:r>
      <w:r w:rsidR="006B3130">
        <w:rPr>
          <w:rFonts w:ascii="Times New Roman" w:hAnsi="Times New Roman" w:cs="Times New Roman"/>
          <w:bCs/>
          <w:sz w:val="28"/>
          <w:szCs w:val="28"/>
        </w:rPr>
        <w:t xml:space="preserve">even </w:t>
      </w:r>
      <w:r w:rsidR="00E40953">
        <w:rPr>
          <w:rFonts w:ascii="Times New Roman" w:hAnsi="Times New Roman" w:cs="Times New Roman"/>
          <w:bCs/>
          <w:sz w:val="28"/>
          <w:szCs w:val="28"/>
        </w:rPr>
        <w:t xml:space="preserve">after the termination of the </w:t>
      </w:r>
      <w:r w:rsidR="002A1272">
        <w:rPr>
          <w:rFonts w:ascii="Times New Roman" w:hAnsi="Times New Roman" w:cs="Times New Roman"/>
          <w:bCs/>
          <w:sz w:val="28"/>
          <w:szCs w:val="28"/>
        </w:rPr>
        <w:t>contract</w:t>
      </w:r>
      <w:r w:rsidR="00E40953">
        <w:rPr>
          <w:rFonts w:ascii="Times New Roman" w:hAnsi="Times New Roman" w:cs="Times New Roman"/>
          <w:bCs/>
          <w:sz w:val="28"/>
          <w:szCs w:val="28"/>
        </w:rPr>
        <w:t xml:space="preserve">. </w:t>
      </w:r>
      <w:r w:rsidR="00B91E1F">
        <w:rPr>
          <w:rFonts w:ascii="Times New Roman" w:hAnsi="Times New Roman" w:cs="Times New Roman"/>
          <w:bCs/>
          <w:sz w:val="28"/>
          <w:szCs w:val="28"/>
        </w:rPr>
        <w:t xml:space="preserve">In such circumstances, </w:t>
      </w:r>
      <w:r w:rsidR="00016DDC">
        <w:rPr>
          <w:rFonts w:ascii="Times New Roman" w:hAnsi="Times New Roman" w:cs="Times New Roman"/>
          <w:bCs/>
          <w:sz w:val="28"/>
          <w:szCs w:val="28"/>
        </w:rPr>
        <w:t xml:space="preserve">the </w:t>
      </w:r>
      <w:r w:rsidR="006E7048">
        <w:rPr>
          <w:rFonts w:ascii="Times New Roman" w:hAnsi="Times New Roman" w:cs="Times New Roman"/>
          <w:bCs/>
          <w:sz w:val="28"/>
          <w:szCs w:val="28"/>
        </w:rPr>
        <w:t xml:space="preserve">Supreme </w:t>
      </w:r>
      <w:r w:rsidR="00016DDC">
        <w:rPr>
          <w:rFonts w:ascii="Times New Roman" w:hAnsi="Times New Roman" w:cs="Times New Roman"/>
          <w:bCs/>
          <w:sz w:val="28"/>
          <w:szCs w:val="28"/>
        </w:rPr>
        <w:t>Court</w:t>
      </w:r>
      <w:r w:rsidR="006E7048">
        <w:rPr>
          <w:rFonts w:ascii="Times New Roman" w:hAnsi="Times New Roman" w:cs="Times New Roman"/>
          <w:bCs/>
          <w:sz w:val="28"/>
          <w:szCs w:val="28"/>
        </w:rPr>
        <w:t xml:space="preserve"> of British Columbia </w:t>
      </w:r>
      <w:r w:rsidR="00016DDC">
        <w:rPr>
          <w:rFonts w:ascii="Times New Roman" w:hAnsi="Times New Roman" w:cs="Times New Roman"/>
          <w:bCs/>
          <w:sz w:val="28"/>
          <w:szCs w:val="28"/>
        </w:rPr>
        <w:t>found t</w:t>
      </w:r>
      <w:r w:rsidR="00916FAD">
        <w:rPr>
          <w:rFonts w:ascii="Times New Roman" w:hAnsi="Times New Roman" w:cs="Times New Roman"/>
          <w:bCs/>
          <w:sz w:val="28"/>
          <w:szCs w:val="28"/>
        </w:rPr>
        <w:t>he</w:t>
      </w:r>
      <w:r w:rsidR="00DE33A3">
        <w:rPr>
          <w:rFonts w:ascii="Times New Roman" w:hAnsi="Times New Roman" w:cs="Times New Roman"/>
          <w:bCs/>
          <w:sz w:val="28"/>
          <w:szCs w:val="28"/>
        </w:rPr>
        <w:t xml:space="preserve"> agreement binding the parties was </w:t>
      </w:r>
      <w:r w:rsidR="001A086C">
        <w:rPr>
          <w:rFonts w:ascii="Times New Roman" w:hAnsi="Times New Roman" w:cs="Times New Roman"/>
          <w:bCs/>
          <w:sz w:val="28"/>
          <w:szCs w:val="28"/>
        </w:rPr>
        <w:t xml:space="preserve">not an executory contract but rather </w:t>
      </w:r>
      <w:r w:rsidR="00DE33A3">
        <w:rPr>
          <w:rFonts w:ascii="Times New Roman" w:hAnsi="Times New Roman" w:cs="Times New Roman"/>
          <w:bCs/>
          <w:sz w:val="28"/>
          <w:szCs w:val="28"/>
        </w:rPr>
        <w:t>an executed contract and the</w:t>
      </w:r>
      <w:r w:rsidR="00916FAD">
        <w:rPr>
          <w:rFonts w:ascii="Times New Roman" w:hAnsi="Times New Roman" w:cs="Times New Roman"/>
          <w:bCs/>
          <w:sz w:val="28"/>
          <w:szCs w:val="28"/>
        </w:rPr>
        <w:t xml:space="preserve"> limitation period </w:t>
      </w:r>
      <w:r w:rsidR="00430EA1">
        <w:rPr>
          <w:rFonts w:ascii="Times New Roman" w:hAnsi="Times New Roman" w:cs="Times New Roman"/>
          <w:bCs/>
          <w:sz w:val="28"/>
          <w:szCs w:val="28"/>
        </w:rPr>
        <w:t>started to run when the party under such an obligation failed to pay 10% of the profits</w:t>
      </w:r>
      <w:r w:rsidR="002B1A26">
        <w:rPr>
          <w:rFonts w:ascii="Times New Roman" w:hAnsi="Times New Roman" w:cs="Times New Roman"/>
          <w:bCs/>
          <w:sz w:val="28"/>
          <w:szCs w:val="28"/>
        </w:rPr>
        <w:t xml:space="preserve">, even if it occurred years after the </w:t>
      </w:r>
      <w:r w:rsidR="00542475">
        <w:rPr>
          <w:rFonts w:ascii="Times New Roman" w:hAnsi="Times New Roman" w:cs="Times New Roman"/>
          <w:bCs/>
          <w:sz w:val="28"/>
          <w:szCs w:val="28"/>
        </w:rPr>
        <w:t xml:space="preserve">mutual </w:t>
      </w:r>
      <w:r w:rsidR="002B1A26">
        <w:rPr>
          <w:rFonts w:ascii="Times New Roman" w:hAnsi="Times New Roman" w:cs="Times New Roman"/>
          <w:bCs/>
          <w:sz w:val="28"/>
          <w:szCs w:val="28"/>
        </w:rPr>
        <w:t>termination of the contract</w:t>
      </w:r>
      <w:r w:rsidR="00430EA1">
        <w:rPr>
          <w:rFonts w:ascii="Times New Roman" w:hAnsi="Times New Roman" w:cs="Times New Roman"/>
          <w:bCs/>
          <w:sz w:val="28"/>
          <w:szCs w:val="28"/>
        </w:rPr>
        <w:t xml:space="preserve">. </w:t>
      </w:r>
      <w:r w:rsidR="00131EBD">
        <w:rPr>
          <w:rFonts w:ascii="Times New Roman" w:hAnsi="Times New Roman" w:cs="Times New Roman"/>
          <w:bCs/>
          <w:sz w:val="28"/>
          <w:szCs w:val="28"/>
        </w:rPr>
        <w:t xml:space="preserve">Although </w:t>
      </w:r>
      <w:r w:rsidR="00BE5474">
        <w:rPr>
          <w:rFonts w:ascii="Times New Roman" w:hAnsi="Times New Roman" w:cs="Times New Roman"/>
          <w:bCs/>
          <w:sz w:val="28"/>
          <w:szCs w:val="28"/>
        </w:rPr>
        <w:t>it makes</w:t>
      </w:r>
      <w:r w:rsidR="00131EBD">
        <w:rPr>
          <w:rFonts w:ascii="Times New Roman" w:hAnsi="Times New Roman" w:cs="Times New Roman"/>
          <w:bCs/>
          <w:sz w:val="28"/>
          <w:szCs w:val="28"/>
        </w:rPr>
        <w:t xml:space="preserve"> a distinction between executed and executory contract</w:t>
      </w:r>
      <w:r w:rsidR="00542475">
        <w:rPr>
          <w:rFonts w:ascii="Times New Roman" w:hAnsi="Times New Roman" w:cs="Times New Roman"/>
          <w:bCs/>
          <w:sz w:val="28"/>
          <w:szCs w:val="28"/>
        </w:rPr>
        <w:t>s</w:t>
      </w:r>
      <w:r w:rsidR="00131EBD">
        <w:rPr>
          <w:rFonts w:ascii="Times New Roman" w:hAnsi="Times New Roman" w:cs="Times New Roman"/>
          <w:bCs/>
          <w:sz w:val="28"/>
          <w:szCs w:val="28"/>
        </w:rPr>
        <w:t xml:space="preserve"> and the impact of such</w:t>
      </w:r>
      <w:r w:rsidR="001A25FB">
        <w:rPr>
          <w:rFonts w:ascii="Times New Roman" w:hAnsi="Times New Roman" w:cs="Times New Roman"/>
          <w:bCs/>
          <w:sz w:val="28"/>
          <w:szCs w:val="28"/>
        </w:rPr>
        <w:t xml:space="preserve"> </w:t>
      </w:r>
      <w:r w:rsidR="00A531B7">
        <w:rPr>
          <w:rFonts w:ascii="Times New Roman" w:hAnsi="Times New Roman" w:cs="Times New Roman"/>
          <w:bCs/>
          <w:sz w:val="28"/>
          <w:szCs w:val="28"/>
        </w:rPr>
        <w:t xml:space="preserve">a </w:t>
      </w:r>
      <w:r w:rsidR="00131EBD">
        <w:rPr>
          <w:rFonts w:ascii="Times New Roman" w:hAnsi="Times New Roman" w:cs="Times New Roman"/>
          <w:bCs/>
          <w:sz w:val="28"/>
          <w:szCs w:val="28"/>
        </w:rPr>
        <w:t xml:space="preserve">qualification on limitation, </w:t>
      </w:r>
      <w:r w:rsidR="00BE5474">
        <w:rPr>
          <w:rFonts w:ascii="Times New Roman" w:hAnsi="Times New Roman" w:cs="Times New Roman"/>
          <w:bCs/>
          <w:sz w:val="28"/>
          <w:szCs w:val="28"/>
        </w:rPr>
        <w:t xml:space="preserve">the decision </w:t>
      </w:r>
      <w:r w:rsidR="00131EBD">
        <w:rPr>
          <w:rFonts w:ascii="Times New Roman" w:hAnsi="Times New Roman" w:cs="Times New Roman"/>
          <w:bCs/>
          <w:sz w:val="28"/>
          <w:szCs w:val="28"/>
        </w:rPr>
        <w:t xml:space="preserve">is focused </w:t>
      </w:r>
      <w:r w:rsidR="00DE33A3">
        <w:rPr>
          <w:rFonts w:ascii="Times New Roman" w:hAnsi="Times New Roman" w:cs="Times New Roman"/>
          <w:bCs/>
          <w:sz w:val="28"/>
          <w:szCs w:val="28"/>
        </w:rPr>
        <w:t>on the time the</w:t>
      </w:r>
      <w:r w:rsidR="00131EBD">
        <w:rPr>
          <w:rFonts w:ascii="Times New Roman" w:hAnsi="Times New Roman" w:cs="Times New Roman"/>
          <w:bCs/>
          <w:sz w:val="28"/>
          <w:szCs w:val="28"/>
        </w:rPr>
        <w:t xml:space="preserve"> cause of </w:t>
      </w:r>
      <w:r w:rsidR="00DE33A3">
        <w:rPr>
          <w:rFonts w:ascii="Times New Roman" w:hAnsi="Times New Roman" w:cs="Times New Roman"/>
          <w:bCs/>
          <w:sz w:val="28"/>
          <w:szCs w:val="28"/>
        </w:rPr>
        <w:t xml:space="preserve">action </w:t>
      </w:r>
      <w:r w:rsidR="00131EBD">
        <w:rPr>
          <w:rFonts w:ascii="Times New Roman" w:hAnsi="Times New Roman" w:cs="Times New Roman"/>
          <w:bCs/>
          <w:sz w:val="28"/>
          <w:szCs w:val="28"/>
        </w:rPr>
        <w:t>arose.</w:t>
      </w:r>
      <w:r w:rsidR="00975D3C">
        <w:rPr>
          <w:rFonts w:ascii="Times New Roman" w:hAnsi="Times New Roman" w:cs="Times New Roman"/>
          <w:bCs/>
          <w:sz w:val="28"/>
          <w:szCs w:val="28"/>
        </w:rPr>
        <w:t xml:space="preserve"> The </w:t>
      </w:r>
      <w:r w:rsidR="00480675">
        <w:rPr>
          <w:rFonts w:ascii="Times New Roman" w:hAnsi="Times New Roman" w:cs="Times New Roman"/>
          <w:bCs/>
          <w:sz w:val="28"/>
          <w:szCs w:val="28"/>
        </w:rPr>
        <w:t>outcome of this decision</w:t>
      </w:r>
      <w:r w:rsidR="00975D3C">
        <w:rPr>
          <w:rFonts w:ascii="Times New Roman" w:hAnsi="Times New Roman" w:cs="Times New Roman"/>
          <w:bCs/>
          <w:sz w:val="28"/>
          <w:szCs w:val="28"/>
        </w:rPr>
        <w:t xml:space="preserve"> makes sense </w:t>
      </w:r>
      <w:r w:rsidR="00B71505">
        <w:rPr>
          <w:rFonts w:ascii="Times New Roman" w:hAnsi="Times New Roman" w:cs="Times New Roman"/>
          <w:bCs/>
          <w:sz w:val="28"/>
          <w:szCs w:val="28"/>
        </w:rPr>
        <w:t xml:space="preserve">as reaching the </w:t>
      </w:r>
      <w:r w:rsidR="00C0237B">
        <w:rPr>
          <w:rFonts w:ascii="Times New Roman" w:hAnsi="Times New Roman" w:cs="Times New Roman"/>
          <w:bCs/>
          <w:sz w:val="28"/>
          <w:szCs w:val="28"/>
        </w:rPr>
        <w:t xml:space="preserve">opposite </w:t>
      </w:r>
      <w:r w:rsidR="00B71505">
        <w:rPr>
          <w:rFonts w:ascii="Times New Roman" w:hAnsi="Times New Roman" w:cs="Times New Roman"/>
          <w:bCs/>
          <w:sz w:val="28"/>
          <w:szCs w:val="28"/>
        </w:rPr>
        <w:t xml:space="preserve">conclusion that the limitation period started running at the time of the formal termination of the </w:t>
      </w:r>
      <w:r w:rsidR="00B70D6B">
        <w:rPr>
          <w:rFonts w:ascii="Times New Roman" w:hAnsi="Times New Roman" w:cs="Times New Roman"/>
          <w:bCs/>
          <w:sz w:val="28"/>
          <w:szCs w:val="28"/>
        </w:rPr>
        <w:t xml:space="preserve">other terms of the </w:t>
      </w:r>
      <w:r w:rsidR="00B71505">
        <w:rPr>
          <w:rFonts w:ascii="Times New Roman" w:hAnsi="Times New Roman" w:cs="Times New Roman"/>
          <w:bCs/>
          <w:sz w:val="28"/>
          <w:szCs w:val="28"/>
        </w:rPr>
        <w:t xml:space="preserve">contract would </w:t>
      </w:r>
      <w:r w:rsidR="00C0237B">
        <w:rPr>
          <w:rFonts w:ascii="Times New Roman" w:hAnsi="Times New Roman" w:cs="Times New Roman"/>
          <w:bCs/>
          <w:sz w:val="28"/>
          <w:szCs w:val="28"/>
        </w:rPr>
        <w:t>have meant</w:t>
      </w:r>
      <w:r w:rsidR="002F5867">
        <w:rPr>
          <w:rFonts w:ascii="Times New Roman" w:hAnsi="Times New Roman" w:cs="Times New Roman"/>
          <w:bCs/>
          <w:sz w:val="28"/>
          <w:szCs w:val="28"/>
        </w:rPr>
        <w:t xml:space="preserve"> that limitation was reached before the obligation to pay </w:t>
      </w:r>
      <w:r w:rsidR="00C255A1">
        <w:rPr>
          <w:rFonts w:ascii="Times New Roman" w:hAnsi="Times New Roman" w:cs="Times New Roman"/>
          <w:bCs/>
          <w:sz w:val="28"/>
          <w:szCs w:val="28"/>
        </w:rPr>
        <w:t xml:space="preserve">a portion of </w:t>
      </w:r>
      <w:r w:rsidR="002F5867">
        <w:rPr>
          <w:rFonts w:ascii="Times New Roman" w:hAnsi="Times New Roman" w:cs="Times New Roman"/>
          <w:bCs/>
          <w:sz w:val="28"/>
          <w:szCs w:val="28"/>
        </w:rPr>
        <w:t xml:space="preserve">the profits </w:t>
      </w:r>
      <w:r w:rsidR="00C67BA7">
        <w:rPr>
          <w:rFonts w:ascii="Times New Roman" w:hAnsi="Times New Roman" w:cs="Times New Roman"/>
          <w:bCs/>
          <w:sz w:val="28"/>
          <w:szCs w:val="28"/>
        </w:rPr>
        <w:t>arose</w:t>
      </w:r>
      <w:r w:rsidR="00C0237B">
        <w:rPr>
          <w:rFonts w:ascii="Times New Roman" w:hAnsi="Times New Roman" w:cs="Times New Roman"/>
          <w:bCs/>
          <w:sz w:val="28"/>
          <w:szCs w:val="28"/>
        </w:rPr>
        <w:t xml:space="preserve">. </w:t>
      </w:r>
      <w:r w:rsidR="00C67BA7" w:rsidRPr="00EE0133">
        <w:rPr>
          <w:rFonts w:ascii="Times New Roman" w:hAnsi="Times New Roman" w:cs="Times New Roman"/>
          <w:bCs/>
          <w:i/>
          <w:iCs/>
          <w:sz w:val="28"/>
          <w:szCs w:val="28"/>
        </w:rPr>
        <w:t>S.W. Mackay</w:t>
      </w:r>
      <w:r w:rsidR="00C67BA7">
        <w:rPr>
          <w:rFonts w:ascii="Times New Roman" w:hAnsi="Times New Roman" w:cs="Times New Roman"/>
          <w:bCs/>
          <w:i/>
          <w:iCs/>
          <w:sz w:val="28"/>
          <w:szCs w:val="28"/>
        </w:rPr>
        <w:t xml:space="preserve"> </w:t>
      </w:r>
      <w:r w:rsidR="00C67BA7" w:rsidRPr="00C67BA7">
        <w:rPr>
          <w:rFonts w:ascii="Times New Roman" w:hAnsi="Times New Roman" w:cs="Times New Roman"/>
          <w:bCs/>
          <w:sz w:val="28"/>
          <w:szCs w:val="28"/>
        </w:rPr>
        <w:t xml:space="preserve">is </w:t>
      </w:r>
      <w:r w:rsidR="00C67BA7">
        <w:rPr>
          <w:rFonts w:ascii="Times New Roman" w:hAnsi="Times New Roman" w:cs="Times New Roman"/>
          <w:bCs/>
          <w:sz w:val="28"/>
          <w:szCs w:val="28"/>
        </w:rPr>
        <w:t xml:space="preserve">distinguishable on its facts. </w:t>
      </w:r>
    </w:p>
    <w:p w14:paraId="713A1CA0" w14:textId="77777777" w:rsidR="00441590" w:rsidRPr="00441590" w:rsidRDefault="00441590" w:rsidP="00441590">
      <w:pPr>
        <w:pStyle w:val="ListParagraph"/>
        <w:rPr>
          <w:rFonts w:ascii="Times New Roman" w:hAnsi="Times New Roman" w:cs="Times New Roman"/>
          <w:bCs/>
          <w:sz w:val="28"/>
          <w:szCs w:val="28"/>
        </w:rPr>
      </w:pPr>
    </w:p>
    <w:p w14:paraId="3C75108A" w14:textId="02482C86" w:rsidR="00D11AD2" w:rsidRPr="0025332E" w:rsidRDefault="00441590" w:rsidP="00D11AD2">
      <w:pPr>
        <w:pStyle w:val="ListParagraph"/>
        <w:numPr>
          <w:ilvl w:val="0"/>
          <w:numId w:val="1"/>
        </w:numPr>
        <w:spacing w:after="0" w:line="240" w:lineRule="auto"/>
        <w:jc w:val="both"/>
        <w:rPr>
          <w:rFonts w:ascii="Times New Roman" w:hAnsi="Times New Roman" w:cs="Times New Roman"/>
          <w:bCs/>
          <w:sz w:val="28"/>
          <w:szCs w:val="28"/>
        </w:rPr>
      </w:pPr>
      <w:r w:rsidRPr="00455822">
        <w:rPr>
          <w:rFonts w:ascii="Times New Roman" w:hAnsi="Times New Roman" w:cs="Times New Roman"/>
          <w:bCs/>
          <w:sz w:val="28"/>
          <w:szCs w:val="28"/>
        </w:rPr>
        <w:t xml:space="preserve">I also agree with Paramount that the </w:t>
      </w:r>
      <w:r w:rsidR="006D202E" w:rsidRPr="00455822">
        <w:rPr>
          <w:rFonts w:ascii="Times New Roman" w:hAnsi="Times New Roman" w:cs="Times New Roman"/>
          <w:bCs/>
          <w:sz w:val="28"/>
          <w:szCs w:val="28"/>
        </w:rPr>
        <w:t>position</w:t>
      </w:r>
      <w:r w:rsidRPr="00455822">
        <w:rPr>
          <w:rFonts w:ascii="Times New Roman" w:hAnsi="Times New Roman" w:cs="Times New Roman"/>
          <w:bCs/>
          <w:sz w:val="28"/>
          <w:szCs w:val="28"/>
        </w:rPr>
        <w:t xml:space="preserve"> put forward by ADK</w:t>
      </w:r>
      <w:r w:rsidR="00F767EB" w:rsidRPr="00455822">
        <w:rPr>
          <w:rFonts w:ascii="Times New Roman" w:hAnsi="Times New Roman" w:cs="Times New Roman"/>
          <w:bCs/>
          <w:sz w:val="28"/>
          <w:szCs w:val="28"/>
        </w:rPr>
        <w:t xml:space="preserve"> would lead </w:t>
      </w:r>
      <w:r w:rsidR="00C80A30" w:rsidRPr="00455822">
        <w:rPr>
          <w:rFonts w:ascii="Times New Roman" w:hAnsi="Times New Roman" w:cs="Times New Roman"/>
          <w:bCs/>
          <w:sz w:val="28"/>
          <w:szCs w:val="28"/>
        </w:rPr>
        <w:t xml:space="preserve">to absurd results </w:t>
      </w:r>
      <w:r w:rsidR="00146452" w:rsidRPr="00455822">
        <w:rPr>
          <w:rFonts w:ascii="Times New Roman" w:hAnsi="Times New Roman" w:cs="Times New Roman"/>
          <w:bCs/>
          <w:sz w:val="28"/>
          <w:szCs w:val="28"/>
        </w:rPr>
        <w:t xml:space="preserve">inconsistent with the rationales </w:t>
      </w:r>
      <w:r w:rsidR="00103A1C">
        <w:rPr>
          <w:rFonts w:ascii="Times New Roman" w:hAnsi="Times New Roman" w:cs="Times New Roman"/>
          <w:bCs/>
          <w:sz w:val="28"/>
          <w:szCs w:val="28"/>
        </w:rPr>
        <w:t xml:space="preserve">for </w:t>
      </w:r>
      <w:r w:rsidR="00146452" w:rsidRPr="00455822">
        <w:rPr>
          <w:rFonts w:ascii="Times New Roman" w:hAnsi="Times New Roman" w:cs="Times New Roman"/>
          <w:bCs/>
          <w:sz w:val="28"/>
          <w:szCs w:val="28"/>
        </w:rPr>
        <w:t>limitation periods.</w:t>
      </w:r>
      <w:r w:rsidR="00F54592" w:rsidRPr="00F54592">
        <w:rPr>
          <w:rFonts w:ascii="Times New Roman" w:hAnsi="Times New Roman" w:cs="Times New Roman"/>
          <w:bCs/>
          <w:sz w:val="28"/>
          <w:szCs w:val="28"/>
        </w:rPr>
        <w:t xml:space="preserve"> </w:t>
      </w:r>
      <w:r w:rsidR="00F54592" w:rsidRPr="005774D0">
        <w:rPr>
          <w:rFonts w:ascii="Times New Roman" w:hAnsi="Times New Roman" w:cs="Times New Roman"/>
          <w:bCs/>
          <w:sz w:val="28"/>
          <w:szCs w:val="28"/>
        </w:rPr>
        <w:t>Th</w:t>
      </w:r>
      <w:r w:rsidR="006C161B">
        <w:rPr>
          <w:rFonts w:ascii="Times New Roman" w:hAnsi="Times New Roman" w:cs="Times New Roman"/>
          <w:bCs/>
          <w:sz w:val="28"/>
          <w:szCs w:val="28"/>
        </w:rPr>
        <w:t>e</w:t>
      </w:r>
      <w:r w:rsidR="00F54592" w:rsidRPr="005774D0">
        <w:rPr>
          <w:rFonts w:ascii="Times New Roman" w:hAnsi="Times New Roman" w:cs="Times New Roman"/>
          <w:bCs/>
          <w:sz w:val="28"/>
          <w:szCs w:val="28"/>
        </w:rPr>
        <w:t xml:space="preserve"> approach </w:t>
      </w:r>
      <w:r w:rsidR="006C161B">
        <w:rPr>
          <w:rFonts w:ascii="Times New Roman" w:hAnsi="Times New Roman" w:cs="Times New Roman"/>
          <w:bCs/>
          <w:sz w:val="28"/>
          <w:szCs w:val="28"/>
        </w:rPr>
        <w:lastRenderedPageBreak/>
        <w:t xml:space="preserve">suggested by ADK </w:t>
      </w:r>
      <w:r w:rsidR="00F54592" w:rsidRPr="005774D0">
        <w:rPr>
          <w:rFonts w:ascii="Times New Roman" w:hAnsi="Times New Roman" w:cs="Times New Roman"/>
          <w:bCs/>
          <w:sz w:val="28"/>
          <w:szCs w:val="28"/>
        </w:rPr>
        <w:t xml:space="preserve">is not in line with </w:t>
      </w:r>
      <w:r w:rsidR="00F54592">
        <w:rPr>
          <w:rFonts w:ascii="Times New Roman" w:hAnsi="Times New Roman" w:cs="Times New Roman"/>
          <w:bCs/>
          <w:sz w:val="28"/>
          <w:szCs w:val="28"/>
        </w:rPr>
        <w:t xml:space="preserve">the reasons limitation periods </w:t>
      </w:r>
      <w:r w:rsidR="00050B46">
        <w:rPr>
          <w:rFonts w:ascii="Times New Roman" w:hAnsi="Times New Roman" w:cs="Times New Roman"/>
          <w:bCs/>
          <w:sz w:val="28"/>
          <w:szCs w:val="28"/>
        </w:rPr>
        <w:t>exist. As explained</w:t>
      </w:r>
      <w:r w:rsidR="00F54592">
        <w:rPr>
          <w:rFonts w:ascii="Times New Roman" w:hAnsi="Times New Roman" w:cs="Times New Roman"/>
          <w:bCs/>
          <w:sz w:val="28"/>
          <w:szCs w:val="28"/>
        </w:rPr>
        <w:t xml:space="preserve"> by the Supreme Court of Canada in </w:t>
      </w:r>
      <w:r w:rsidR="00F54592" w:rsidRPr="00EC4015">
        <w:rPr>
          <w:rFonts w:ascii="Times New Roman" w:hAnsi="Times New Roman" w:cs="Times New Roman"/>
          <w:bCs/>
          <w:i/>
          <w:iCs/>
          <w:sz w:val="28"/>
          <w:szCs w:val="28"/>
        </w:rPr>
        <w:t>M(K) v M(H)</w:t>
      </w:r>
      <w:r w:rsidR="00F54592" w:rsidRPr="00455822">
        <w:rPr>
          <w:rFonts w:ascii="Times New Roman" w:hAnsi="Times New Roman" w:cs="Times New Roman"/>
          <w:bCs/>
          <w:sz w:val="28"/>
          <w:szCs w:val="28"/>
        </w:rPr>
        <w:t xml:space="preserve">, </w:t>
      </w:r>
      <w:r w:rsidR="00D719A5" w:rsidRPr="00D719A5">
        <w:rPr>
          <w:rFonts w:ascii="Times New Roman" w:hAnsi="Times New Roman" w:cs="Times New Roman"/>
          <w:bCs/>
          <w:sz w:val="28"/>
          <w:szCs w:val="28"/>
        </w:rPr>
        <w:t xml:space="preserve">1992 CanLII 31 (SCC), </w:t>
      </w:r>
      <w:r w:rsidR="00F54592" w:rsidRPr="00455822">
        <w:rPr>
          <w:rFonts w:ascii="Times New Roman" w:hAnsi="Times New Roman" w:cs="Times New Roman"/>
          <w:bCs/>
          <w:sz w:val="28"/>
          <w:szCs w:val="28"/>
        </w:rPr>
        <w:t>[1992] 3 SCR 6</w:t>
      </w:r>
      <w:r w:rsidR="00F54592">
        <w:rPr>
          <w:rFonts w:ascii="Times New Roman" w:hAnsi="Times New Roman" w:cs="Times New Roman"/>
          <w:bCs/>
          <w:sz w:val="28"/>
          <w:szCs w:val="28"/>
        </w:rPr>
        <w:t xml:space="preserve"> [</w:t>
      </w:r>
      <w:r w:rsidR="00F54592" w:rsidRPr="0011066C">
        <w:rPr>
          <w:rFonts w:ascii="Times New Roman" w:hAnsi="Times New Roman" w:cs="Times New Roman"/>
          <w:bCs/>
          <w:i/>
          <w:iCs/>
          <w:sz w:val="28"/>
          <w:szCs w:val="28"/>
        </w:rPr>
        <w:t>M(K)</w:t>
      </w:r>
      <w:r w:rsidR="00F54592">
        <w:rPr>
          <w:rFonts w:ascii="Times New Roman" w:hAnsi="Times New Roman" w:cs="Times New Roman"/>
          <w:bCs/>
          <w:sz w:val="28"/>
          <w:szCs w:val="28"/>
        </w:rPr>
        <w:t>]</w:t>
      </w:r>
      <w:r w:rsidR="00B932BA">
        <w:rPr>
          <w:rFonts w:ascii="Times New Roman" w:hAnsi="Times New Roman" w:cs="Times New Roman"/>
          <w:bCs/>
          <w:sz w:val="28"/>
          <w:szCs w:val="28"/>
        </w:rPr>
        <w:t>,</w:t>
      </w:r>
      <w:r w:rsidR="00050B46">
        <w:rPr>
          <w:rFonts w:ascii="Times New Roman" w:hAnsi="Times New Roman" w:cs="Times New Roman"/>
          <w:bCs/>
          <w:sz w:val="28"/>
          <w:szCs w:val="28"/>
        </w:rPr>
        <w:t xml:space="preserve"> there are three main rationales behind </w:t>
      </w:r>
      <w:r w:rsidR="00050B46" w:rsidRPr="00D3498E">
        <w:rPr>
          <w:rFonts w:ascii="Times New Roman" w:hAnsi="Times New Roman" w:cs="Times New Roman"/>
          <w:bCs/>
          <w:sz w:val="28"/>
          <w:szCs w:val="28"/>
        </w:rPr>
        <w:t>limitation</w:t>
      </w:r>
      <w:r w:rsidR="00982A4F" w:rsidRPr="00D3498E">
        <w:rPr>
          <w:rFonts w:ascii="Times New Roman" w:hAnsi="Times New Roman" w:cs="Times New Roman"/>
          <w:bCs/>
          <w:sz w:val="28"/>
          <w:szCs w:val="28"/>
        </w:rPr>
        <w:t xml:space="preserve"> periods</w:t>
      </w:r>
      <w:r w:rsidR="00050B46" w:rsidRPr="00D3498E">
        <w:rPr>
          <w:rFonts w:ascii="Times New Roman" w:hAnsi="Times New Roman" w:cs="Times New Roman"/>
          <w:bCs/>
          <w:sz w:val="28"/>
          <w:szCs w:val="28"/>
        </w:rPr>
        <w:t xml:space="preserve">: </w:t>
      </w:r>
      <w:r w:rsidR="00F54592" w:rsidRPr="00D3498E">
        <w:rPr>
          <w:rFonts w:ascii="Times New Roman" w:hAnsi="Times New Roman" w:cs="Times New Roman"/>
          <w:bCs/>
          <w:sz w:val="28"/>
          <w:szCs w:val="28"/>
        </w:rPr>
        <w:t>the</w:t>
      </w:r>
      <w:r w:rsidR="00F54592" w:rsidRPr="0025332E">
        <w:rPr>
          <w:rFonts w:ascii="Times New Roman" w:hAnsi="Times New Roman" w:cs="Times New Roman"/>
          <w:bCs/>
          <w:sz w:val="28"/>
          <w:szCs w:val="28"/>
        </w:rPr>
        <w:t xml:space="preserve"> certainty, the evidentiary, and the diligence rationales. Limitation periods exist because</w:t>
      </w:r>
      <w:r w:rsidR="005514B8" w:rsidRPr="0025332E">
        <w:rPr>
          <w:rFonts w:ascii="Times New Roman" w:hAnsi="Times New Roman" w:cs="Times New Roman"/>
          <w:bCs/>
          <w:sz w:val="28"/>
          <w:szCs w:val="28"/>
        </w:rPr>
        <w:t xml:space="preserve"> there</w:t>
      </w:r>
      <w:r w:rsidR="00982A4F">
        <w:rPr>
          <w:rFonts w:ascii="Times New Roman" w:hAnsi="Times New Roman" w:cs="Times New Roman"/>
          <w:bCs/>
          <w:sz w:val="28"/>
          <w:szCs w:val="28"/>
        </w:rPr>
        <w:t>,</w:t>
      </w:r>
      <w:r w:rsidR="00F54592" w:rsidRPr="0025332E">
        <w:rPr>
          <w:rFonts w:ascii="Times New Roman" w:hAnsi="Times New Roman" w:cs="Times New Roman"/>
          <w:bCs/>
          <w:sz w:val="28"/>
          <w:szCs w:val="28"/>
        </w:rPr>
        <w:t xml:space="preserve"> “comes a time, it is said, when a potential defendant should be secure in his reasonable expectation that he will not be held to account for ancient obligations” (</w:t>
      </w:r>
      <w:r w:rsidR="00F54592" w:rsidRPr="0025332E">
        <w:rPr>
          <w:rFonts w:ascii="Times New Roman" w:hAnsi="Times New Roman" w:cs="Times New Roman"/>
          <w:bCs/>
          <w:i/>
          <w:iCs/>
          <w:sz w:val="28"/>
          <w:szCs w:val="28"/>
        </w:rPr>
        <w:t xml:space="preserve">M(K) </w:t>
      </w:r>
      <w:r w:rsidR="00D719A5">
        <w:rPr>
          <w:rFonts w:ascii="Times New Roman" w:hAnsi="Times New Roman" w:cs="Times New Roman"/>
          <w:bCs/>
          <w:sz w:val="28"/>
          <w:szCs w:val="28"/>
        </w:rPr>
        <w:t>at</w:t>
      </w:r>
      <w:r w:rsidR="00F54592" w:rsidRPr="0025332E">
        <w:rPr>
          <w:rFonts w:ascii="Times New Roman" w:hAnsi="Times New Roman" w:cs="Times New Roman"/>
          <w:bCs/>
          <w:sz w:val="28"/>
          <w:szCs w:val="28"/>
        </w:rPr>
        <w:t xml:space="preserve"> 29), because evidence can become stale with the passage of time</w:t>
      </w:r>
      <w:r w:rsidR="00C32695" w:rsidRPr="0025332E">
        <w:rPr>
          <w:rFonts w:ascii="Times New Roman" w:hAnsi="Times New Roman" w:cs="Times New Roman"/>
          <w:bCs/>
          <w:sz w:val="28"/>
          <w:szCs w:val="28"/>
        </w:rPr>
        <w:t>,</w:t>
      </w:r>
      <w:r w:rsidR="00F54592" w:rsidRPr="0025332E">
        <w:rPr>
          <w:rFonts w:ascii="Times New Roman" w:hAnsi="Times New Roman" w:cs="Times New Roman"/>
          <w:bCs/>
          <w:sz w:val="28"/>
          <w:szCs w:val="28"/>
        </w:rPr>
        <w:t xml:space="preserve"> and as an incentive for plaintiffs to act diligently in the pursuit of their rights. </w:t>
      </w:r>
      <w:r w:rsidR="00B5199A" w:rsidRPr="0025332E">
        <w:rPr>
          <w:rFonts w:ascii="Times New Roman" w:hAnsi="Times New Roman" w:cs="Times New Roman"/>
          <w:bCs/>
          <w:sz w:val="28"/>
          <w:szCs w:val="28"/>
        </w:rPr>
        <w:t>Adopting ADK’s</w:t>
      </w:r>
      <w:r w:rsidR="006D202E" w:rsidRPr="0025332E">
        <w:rPr>
          <w:rFonts w:ascii="Times New Roman" w:hAnsi="Times New Roman" w:cs="Times New Roman"/>
          <w:bCs/>
          <w:sz w:val="28"/>
          <w:szCs w:val="28"/>
        </w:rPr>
        <w:t xml:space="preserve"> submission</w:t>
      </w:r>
      <w:r w:rsidR="00B5199A" w:rsidRPr="0025332E">
        <w:rPr>
          <w:rFonts w:ascii="Times New Roman" w:hAnsi="Times New Roman" w:cs="Times New Roman"/>
          <w:bCs/>
          <w:sz w:val="28"/>
          <w:szCs w:val="28"/>
        </w:rPr>
        <w:t xml:space="preserve"> would lead to </w:t>
      </w:r>
      <w:r w:rsidR="00FB5AA5" w:rsidRPr="0025332E">
        <w:rPr>
          <w:rFonts w:ascii="Times New Roman" w:hAnsi="Times New Roman" w:cs="Times New Roman"/>
          <w:bCs/>
          <w:sz w:val="28"/>
          <w:szCs w:val="28"/>
        </w:rPr>
        <w:t xml:space="preserve">decades old claims </w:t>
      </w:r>
      <w:r w:rsidR="004D1FA5" w:rsidRPr="0025332E">
        <w:rPr>
          <w:rFonts w:ascii="Times New Roman" w:hAnsi="Times New Roman" w:cs="Times New Roman"/>
          <w:bCs/>
          <w:sz w:val="28"/>
          <w:szCs w:val="28"/>
        </w:rPr>
        <w:t xml:space="preserve">not being captured by </w:t>
      </w:r>
      <w:r w:rsidR="00E04C1A">
        <w:rPr>
          <w:rFonts w:ascii="Times New Roman" w:hAnsi="Times New Roman" w:cs="Times New Roman"/>
          <w:bCs/>
          <w:sz w:val="28"/>
          <w:szCs w:val="28"/>
        </w:rPr>
        <w:t xml:space="preserve">the </w:t>
      </w:r>
      <w:r w:rsidR="004D1FA5" w:rsidRPr="0025332E">
        <w:rPr>
          <w:rFonts w:ascii="Times New Roman" w:hAnsi="Times New Roman" w:cs="Times New Roman"/>
          <w:bCs/>
          <w:sz w:val="28"/>
          <w:szCs w:val="28"/>
        </w:rPr>
        <w:t>limitation</w:t>
      </w:r>
      <w:r w:rsidR="00E04C1A">
        <w:rPr>
          <w:rFonts w:ascii="Times New Roman" w:hAnsi="Times New Roman" w:cs="Times New Roman"/>
          <w:bCs/>
          <w:sz w:val="28"/>
          <w:szCs w:val="28"/>
        </w:rPr>
        <w:t xml:space="preserve"> period</w:t>
      </w:r>
      <w:r w:rsidR="004D1FA5" w:rsidRPr="0025332E">
        <w:rPr>
          <w:rFonts w:ascii="Times New Roman" w:hAnsi="Times New Roman" w:cs="Times New Roman"/>
          <w:bCs/>
          <w:sz w:val="28"/>
          <w:szCs w:val="28"/>
        </w:rPr>
        <w:t xml:space="preserve"> only because the party who is alleged to have breached </w:t>
      </w:r>
      <w:r w:rsidR="00F610E4" w:rsidRPr="0025332E">
        <w:rPr>
          <w:rFonts w:ascii="Times New Roman" w:hAnsi="Times New Roman" w:cs="Times New Roman"/>
          <w:bCs/>
          <w:sz w:val="28"/>
          <w:szCs w:val="28"/>
        </w:rPr>
        <w:t>certain</w:t>
      </w:r>
      <w:r w:rsidR="0025332E">
        <w:rPr>
          <w:rFonts w:ascii="Times New Roman" w:hAnsi="Times New Roman" w:cs="Times New Roman"/>
          <w:bCs/>
          <w:sz w:val="28"/>
          <w:szCs w:val="28"/>
        </w:rPr>
        <w:t xml:space="preserve"> </w:t>
      </w:r>
      <w:r w:rsidR="0011531A" w:rsidRPr="0025332E">
        <w:rPr>
          <w:rFonts w:ascii="Times New Roman" w:hAnsi="Times New Roman" w:cs="Times New Roman"/>
          <w:bCs/>
          <w:sz w:val="28"/>
          <w:szCs w:val="28"/>
        </w:rPr>
        <w:t>terms of the</w:t>
      </w:r>
      <w:r w:rsidR="004D1FA5" w:rsidRPr="0025332E">
        <w:rPr>
          <w:rFonts w:ascii="Times New Roman" w:hAnsi="Times New Roman" w:cs="Times New Roman"/>
          <w:bCs/>
          <w:sz w:val="28"/>
          <w:szCs w:val="28"/>
        </w:rPr>
        <w:t xml:space="preserve"> contract </w:t>
      </w:r>
      <w:r w:rsidR="00C80A30" w:rsidRPr="0025332E">
        <w:rPr>
          <w:rFonts w:ascii="Times New Roman" w:hAnsi="Times New Roman" w:cs="Times New Roman"/>
          <w:bCs/>
          <w:sz w:val="28"/>
          <w:szCs w:val="28"/>
        </w:rPr>
        <w:t xml:space="preserve">continued to perform other obligations under the </w:t>
      </w:r>
      <w:r w:rsidR="0011531A" w:rsidRPr="0025332E">
        <w:rPr>
          <w:rFonts w:ascii="Times New Roman" w:hAnsi="Times New Roman" w:cs="Times New Roman"/>
          <w:bCs/>
          <w:sz w:val="28"/>
          <w:szCs w:val="28"/>
        </w:rPr>
        <w:t xml:space="preserve">same </w:t>
      </w:r>
      <w:r w:rsidR="00C80A30" w:rsidRPr="0025332E">
        <w:rPr>
          <w:rFonts w:ascii="Times New Roman" w:hAnsi="Times New Roman" w:cs="Times New Roman"/>
          <w:bCs/>
          <w:sz w:val="28"/>
          <w:szCs w:val="28"/>
        </w:rPr>
        <w:t>contract</w:t>
      </w:r>
      <w:r w:rsidR="008F5F4F" w:rsidRPr="0025332E">
        <w:rPr>
          <w:rFonts w:ascii="Times New Roman" w:hAnsi="Times New Roman" w:cs="Times New Roman"/>
          <w:bCs/>
          <w:sz w:val="28"/>
          <w:szCs w:val="28"/>
        </w:rPr>
        <w:t xml:space="preserve"> even when the party claiming </w:t>
      </w:r>
      <w:r w:rsidR="00572C78" w:rsidRPr="0025332E">
        <w:rPr>
          <w:rFonts w:ascii="Times New Roman" w:hAnsi="Times New Roman" w:cs="Times New Roman"/>
          <w:bCs/>
          <w:sz w:val="28"/>
          <w:szCs w:val="28"/>
        </w:rPr>
        <w:t>it was</w:t>
      </w:r>
      <w:r w:rsidR="008F5F4F" w:rsidRPr="0025332E">
        <w:rPr>
          <w:rFonts w:ascii="Times New Roman" w:hAnsi="Times New Roman" w:cs="Times New Roman"/>
          <w:bCs/>
          <w:sz w:val="28"/>
          <w:szCs w:val="28"/>
        </w:rPr>
        <w:t xml:space="preserve"> wronged </w:t>
      </w:r>
      <w:r w:rsidR="0011531A" w:rsidRPr="0025332E">
        <w:rPr>
          <w:rFonts w:ascii="Times New Roman" w:hAnsi="Times New Roman" w:cs="Times New Roman"/>
          <w:bCs/>
          <w:sz w:val="28"/>
          <w:szCs w:val="28"/>
        </w:rPr>
        <w:t>was fully aware of the situation</w:t>
      </w:r>
      <w:r w:rsidR="00572C78" w:rsidRPr="0025332E">
        <w:rPr>
          <w:rFonts w:ascii="Times New Roman" w:hAnsi="Times New Roman" w:cs="Times New Roman"/>
          <w:bCs/>
          <w:sz w:val="28"/>
          <w:szCs w:val="28"/>
        </w:rPr>
        <w:t xml:space="preserve"> at the time the alleged </w:t>
      </w:r>
      <w:r w:rsidR="00D011A3" w:rsidRPr="0025332E">
        <w:rPr>
          <w:rFonts w:ascii="Times New Roman" w:hAnsi="Times New Roman" w:cs="Times New Roman"/>
          <w:bCs/>
          <w:sz w:val="28"/>
          <w:szCs w:val="28"/>
        </w:rPr>
        <w:t xml:space="preserve">contractual </w:t>
      </w:r>
      <w:r w:rsidR="00572C78" w:rsidRPr="0025332E">
        <w:rPr>
          <w:rFonts w:ascii="Times New Roman" w:hAnsi="Times New Roman" w:cs="Times New Roman"/>
          <w:bCs/>
          <w:sz w:val="28"/>
          <w:szCs w:val="28"/>
        </w:rPr>
        <w:t>breach occurred</w:t>
      </w:r>
      <w:r w:rsidR="00C80A30" w:rsidRPr="0025332E">
        <w:rPr>
          <w:rFonts w:ascii="Times New Roman" w:hAnsi="Times New Roman" w:cs="Times New Roman"/>
          <w:bCs/>
          <w:sz w:val="28"/>
          <w:szCs w:val="28"/>
        </w:rPr>
        <w:t xml:space="preserve">. </w:t>
      </w:r>
      <w:r w:rsidR="00CE392C" w:rsidRPr="0025332E">
        <w:rPr>
          <w:rFonts w:ascii="Times New Roman" w:hAnsi="Times New Roman" w:cs="Times New Roman"/>
          <w:bCs/>
          <w:sz w:val="28"/>
          <w:szCs w:val="28"/>
        </w:rPr>
        <w:t xml:space="preserve">As a result, I reject the proposition that the limitation period only started to run when the CIP Agreement was terminated in 2022. </w:t>
      </w:r>
    </w:p>
    <w:p w14:paraId="5D315FE6" w14:textId="77777777" w:rsidR="00CE392C" w:rsidRPr="0025332E" w:rsidRDefault="00CE392C" w:rsidP="00CE392C">
      <w:pPr>
        <w:pStyle w:val="ListParagraph"/>
        <w:spacing w:after="0" w:line="240" w:lineRule="auto"/>
        <w:ind w:left="0"/>
        <w:jc w:val="both"/>
        <w:rPr>
          <w:rFonts w:ascii="Times New Roman" w:hAnsi="Times New Roman" w:cs="Times New Roman"/>
          <w:bCs/>
          <w:sz w:val="28"/>
          <w:szCs w:val="28"/>
        </w:rPr>
      </w:pPr>
    </w:p>
    <w:p w14:paraId="64EE2C10" w14:textId="69D1AA05" w:rsidR="006E63E5" w:rsidRDefault="00C60845" w:rsidP="002064A9">
      <w:pPr>
        <w:pStyle w:val="ListParagraph"/>
        <w:numPr>
          <w:ilvl w:val="0"/>
          <w:numId w:val="1"/>
        </w:numPr>
        <w:spacing w:after="0" w:line="240" w:lineRule="auto"/>
        <w:jc w:val="both"/>
        <w:rPr>
          <w:rFonts w:ascii="Times New Roman" w:hAnsi="Times New Roman" w:cs="Times New Roman"/>
          <w:bCs/>
          <w:sz w:val="28"/>
          <w:szCs w:val="28"/>
        </w:rPr>
      </w:pPr>
      <w:r w:rsidRPr="0025332E">
        <w:rPr>
          <w:rFonts w:ascii="Times New Roman" w:hAnsi="Times New Roman" w:cs="Times New Roman"/>
          <w:bCs/>
          <w:sz w:val="28"/>
          <w:szCs w:val="28"/>
        </w:rPr>
        <w:t xml:space="preserve">I </w:t>
      </w:r>
      <w:r w:rsidR="00FB1972" w:rsidRPr="0025332E">
        <w:rPr>
          <w:rFonts w:ascii="Times New Roman" w:hAnsi="Times New Roman" w:cs="Times New Roman"/>
          <w:bCs/>
          <w:sz w:val="28"/>
          <w:szCs w:val="28"/>
        </w:rPr>
        <w:t>am</w:t>
      </w:r>
      <w:r w:rsidR="00D122F2" w:rsidRPr="0025332E">
        <w:rPr>
          <w:rFonts w:ascii="Times New Roman" w:hAnsi="Times New Roman" w:cs="Times New Roman"/>
          <w:bCs/>
          <w:sz w:val="28"/>
          <w:szCs w:val="28"/>
        </w:rPr>
        <w:t xml:space="preserve"> also</w:t>
      </w:r>
      <w:r w:rsidR="008B0AFB" w:rsidRPr="0025332E">
        <w:rPr>
          <w:rFonts w:ascii="Times New Roman" w:hAnsi="Times New Roman" w:cs="Times New Roman"/>
          <w:bCs/>
          <w:sz w:val="28"/>
          <w:szCs w:val="28"/>
        </w:rPr>
        <w:t xml:space="preserve"> </w:t>
      </w:r>
      <w:r w:rsidR="00FB1972" w:rsidRPr="0025332E">
        <w:rPr>
          <w:rFonts w:ascii="Times New Roman" w:hAnsi="Times New Roman" w:cs="Times New Roman"/>
          <w:bCs/>
          <w:sz w:val="28"/>
          <w:szCs w:val="28"/>
        </w:rPr>
        <w:t>not convinced that</w:t>
      </w:r>
      <w:r w:rsidR="008D1859" w:rsidRPr="0025332E">
        <w:rPr>
          <w:rFonts w:ascii="Times New Roman" w:hAnsi="Times New Roman" w:cs="Times New Roman"/>
          <w:bCs/>
          <w:sz w:val="28"/>
          <w:szCs w:val="28"/>
        </w:rPr>
        <w:t>, as argued by ADK,</w:t>
      </w:r>
      <w:r w:rsidR="00FB1972" w:rsidRPr="0025332E">
        <w:rPr>
          <w:rFonts w:ascii="Times New Roman" w:hAnsi="Times New Roman" w:cs="Times New Roman"/>
          <w:bCs/>
          <w:sz w:val="28"/>
          <w:szCs w:val="28"/>
        </w:rPr>
        <w:t xml:space="preserve"> the cause of action </w:t>
      </w:r>
      <w:r w:rsidR="004959BE" w:rsidRPr="0025332E">
        <w:rPr>
          <w:rFonts w:ascii="Times New Roman" w:hAnsi="Times New Roman" w:cs="Times New Roman"/>
          <w:bCs/>
          <w:sz w:val="28"/>
          <w:szCs w:val="28"/>
        </w:rPr>
        <w:t xml:space="preserve">was </w:t>
      </w:r>
      <w:r w:rsidR="00E73616" w:rsidRPr="0025332E">
        <w:rPr>
          <w:rFonts w:ascii="Times New Roman" w:hAnsi="Times New Roman" w:cs="Times New Roman"/>
          <w:bCs/>
          <w:sz w:val="28"/>
          <w:szCs w:val="28"/>
        </w:rPr>
        <w:t>only</w:t>
      </w:r>
      <w:r w:rsidR="00A41CBB" w:rsidRPr="00124B88">
        <w:rPr>
          <w:rFonts w:ascii="Times New Roman" w:hAnsi="Times New Roman" w:cs="Times New Roman"/>
          <w:bCs/>
          <w:sz w:val="28"/>
          <w:szCs w:val="28"/>
        </w:rPr>
        <w:t xml:space="preserve"> discovered </w:t>
      </w:r>
      <w:r w:rsidR="00B967BB" w:rsidRPr="00124B88">
        <w:rPr>
          <w:rFonts w:ascii="Times New Roman" w:hAnsi="Times New Roman" w:cs="Times New Roman"/>
          <w:bCs/>
          <w:sz w:val="28"/>
          <w:szCs w:val="28"/>
        </w:rPr>
        <w:t>or</w:t>
      </w:r>
      <w:r w:rsidR="004959BE" w:rsidRPr="00124B88">
        <w:rPr>
          <w:rFonts w:ascii="Times New Roman" w:hAnsi="Times New Roman" w:cs="Times New Roman"/>
          <w:bCs/>
          <w:sz w:val="28"/>
          <w:szCs w:val="28"/>
        </w:rPr>
        <w:t xml:space="preserve"> discoverabl</w:t>
      </w:r>
      <w:r w:rsidR="00E73616" w:rsidRPr="00124B88">
        <w:rPr>
          <w:rFonts w:ascii="Times New Roman" w:hAnsi="Times New Roman" w:cs="Times New Roman"/>
          <w:bCs/>
          <w:sz w:val="28"/>
          <w:szCs w:val="28"/>
        </w:rPr>
        <w:t xml:space="preserve">e by ADK </w:t>
      </w:r>
      <w:r w:rsidR="008B0AFB" w:rsidRPr="00124B88">
        <w:rPr>
          <w:rFonts w:ascii="Times New Roman" w:hAnsi="Times New Roman" w:cs="Times New Roman"/>
          <w:bCs/>
          <w:sz w:val="28"/>
          <w:szCs w:val="28"/>
        </w:rPr>
        <w:t xml:space="preserve">on May 1, 2020, when this Court released its decision </w:t>
      </w:r>
      <w:r w:rsidR="00F7730D" w:rsidRPr="00124B88">
        <w:rPr>
          <w:rFonts w:ascii="Times New Roman" w:hAnsi="Times New Roman" w:cs="Times New Roman"/>
          <w:bCs/>
          <w:sz w:val="28"/>
          <w:szCs w:val="28"/>
        </w:rPr>
        <w:t>on</w:t>
      </w:r>
      <w:r w:rsidR="00F7730D" w:rsidRPr="002064A9">
        <w:rPr>
          <w:rFonts w:ascii="Times New Roman" w:hAnsi="Times New Roman" w:cs="Times New Roman"/>
          <w:bCs/>
          <w:sz w:val="28"/>
          <w:szCs w:val="28"/>
        </w:rPr>
        <w:t xml:space="preserve"> ADK’s application for judicial review. </w:t>
      </w:r>
    </w:p>
    <w:p w14:paraId="6AC45911" w14:textId="77777777" w:rsidR="004F370C" w:rsidRPr="002064A9" w:rsidRDefault="004F370C" w:rsidP="004F370C">
      <w:pPr>
        <w:pStyle w:val="ListParagraph"/>
        <w:spacing w:after="0" w:line="240" w:lineRule="auto"/>
        <w:ind w:left="0"/>
        <w:jc w:val="both"/>
        <w:rPr>
          <w:rFonts w:ascii="Times New Roman" w:hAnsi="Times New Roman" w:cs="Times New Roman"/>
          <w:bCs/>
          <w:sz w:val="28"/>
          <w:szCs w:val="28"/>
        </w:rPr>
      </w:pPr>
    </w:p>
    <w:p w14:paraId="31CDA1B7" w14:textId="7CAD97B8" w:rsidR="001C105E" w:rsidRPr="00557508" w:rsidRDefault="007A2773" w:rsidP="00557508">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Discoverability relates to t</w:t>
      </w:r>
      <w:r w:rsidR="00C173F2">
        <w:rPr>
          <w:rFonts w:ascii="Times New Roman" w:hAnsi="Times New Roman" w:cs="Times New Roman"/>
          <w:bCs/>
          <w:sz w:val="28"/>
          <w:szCs w:val="28"/>
        </w:rPr>
        <w:t>he</w:t>
      </w:r>
      <w:r>
        <w:rPr>
          <w:rFonts w:ascii="Times New Roman" w:hAnsi="Times New Roman" w:cs="Times New Roman"/>
          <w:bCs/>
          <w:sz w:val="28"/>
          <w:szCs w:val="28"/>
        </w:rPr>
        <w:t xml:space="preserve"> facts</w:t>
      </w:r>
      <w:r w:rsidR="00424FF7">
        <w:rPr>
          <w:rFonts w:ascii="Times New Roman" w:hAnsi="Times New Roman" w:cs="Times New Roman"/>
          <w:bCs/>
          <w:sz w:val="28"/>
          <w:szCs w:val="28"/>
        </w:rPr>
        <w:t>, not the law. An error of law</w:t>
      </w:r>
      <w:r w:rsidR="00F56D0D">
        <w:rPr>
          <w:rFonts w:ascii="Times New Roman" w:hAnsi="Times New Roman" w:cs="Times New Roman"/>
          <w:bCs/>
          <w:sz w:val="28"/>
          <w:szCs w:val="28"/>
        </w:rPr>
        <w:t xml:space="preserve"> or the</w:t>
      </w:r>
      <w:r w:rsidR="0009691B">
        <w:rPr>
          <w:rFonts w:ascii="Times New Roman" w:hAnsi="Times New Roman" w:cs="Times New Roman"/>
          <w:bCs/>
          <w:sz w:val="28"/>
          <w:szCs w:val="28"/>
        </w:rPr>
        <w:t xml:space="preserve"> </w:t>
      </w:r>
      <w:r w:rsidR="00AE1FF6">
        <w:rPr>
          <w:rFonts w:ascii="Times New Roman" w:hAnsi="Times New Roman" w:cs="Times New Roman"/>
          <w:bCs/>
          <w:sz w:val="28"/>
          <w:szCs w:val="28"/>
        </w:rPr>
        <w:t>ignorance of the law by the plaintiff</w:t>
      </w:r>
      <w:r w:rsidR="00424FF7">
        <w:rPr>
          <w:rFonts w:ascii="Times New Roman" w:hAnsi="Times New Roman" w:cs="Times New Roman"/>
          <w:bCs/>
          <w:sz w:val="28"/>
          <w:szCs w:val="28"/>
        </w:rPr>
        <w:t xml:space="preserve"> does not </w:t>
      </w:r>
      <w:r w:rsidR="00AE1FF6">
        <w:rPr>
          <w:rFonts w:ascii="Times New Roman" w:hAnsi="Times New Roman" w:cs="Times New Roman"/>
          <w:bCs/>
          <w:sz w:val="28"/>
          <w:szCs w:val="28"/>
        </w:rPr>
        <w:t>delay the start of the limitation period</w:t>
      </w:r>
      <w:r w:rsidR="00347EA8">
        <w:rPr>
          <w:rFonts w:ascii="Times New Roman" w:hAnsi="Times New Roman" w:cs="Times New Roman"/>
          <w:bCs/>
          <w:sz w:val="28"/>
          <w:szCs w:val="28"/>
        </w:rPr>
        <w:t xml:space="preserve"> (</w:t>
      </w:r>
      <w:r w:rsidR="00854662" w:rsidRPr="00854662">
        <w:rPr>
          <w:rFonts w:ascii="Times New Roman" w:hAnsi="Times New Roman" w:cs="Times New Roman"/>
          <w:bCs/>
          <w:i/>
          <w:iCs/>
          <w:sz w:val="28"/>
          <w:szCs w:val="28"/>
        </w:rPr>
        <w:t>Weir-Jones Technical Services Incorporated v Purolator Courier Ltd</w:t>
      </w:r>
      <w:r w:rsidR="00854662" w:rsidRPr="00854662">
        <w:rPr>
          <w:rFonts w:ascii="Times New Roman" w:hAnsi="Times New Roman" w:cs="Times New Roman"/>
          <w:bCs/>
          <w:sz w:val="28"/>
          <w:szCs w:val="28"/>
        </w:rPr>
        <w:t>, 2019 ABCA 49</w:t>
      </w:r>
      <w:r w:rsidR="00854662">
        <w:rPr>
          <w:rFonts w:ascii="Times New Roman" w:hAnsi="Times New Roman" w:cs="Times New Roman"/>
          <w:bCs/>
          <w:sz w:val="28"/>
          <w:szCs w:val="28"/>
        </w:rPr>
        <w:t>, para 56 [</w:t>
      </w:r>
      <w:r w:rsidR="00854662" w:rsidRPr="00854662">
        <w:rPr>
          <w:rFonts w:ascii="Times New Roman" w:hAnsi="Times New Roman" w:cs="Times New Roman"/>
          <w:bCs/>
          <w:i/>
          <w:iCs/>
          <w:sz w:val="28"/>
          <w:szCs w:val="28"/>
        </w:rPr>
        <w:t>Weir-Jones</w:t>
      </w:r>
      <w:r w:rsidR="00854662">
        <w:rPr>
          <w:rFonts w:ascii="Times New Roman" w:hAnsi="Times New Roman" w:cs="Times New Roman"/>
          <w:bCs/>
          <w:sz w:val="28"/>
          <w:szCs w:val="28"/>
        </w:rPr>
        <w:t>]</w:t>
      </w:r>
      <w:r w:rsidR="00066BB8">
        <w:rPr>
          <w:rFonts w:ascii="Times New Roman" w:hAnsi="Times New Roman" w:cs="Times New Roman"/>
          <w:bCs/>
          <w:sz w:val="28"/>
          <w:szCs w:val="28"/>
        </w:rPr>
        <w:t xml:space="preserve">; </w:t>
      </w:r>
      <w:r w:rsidR="00557508" w:rsidRPr="00557508">
        <w:rPr>
          <w:rFonts w:ascii="Times New Roman" w:hAnsi="Times New Roman" w:cs="Times New Roman"/>
          <w:bCs/>
          <w:i/>
          <w:iCs/>
          <w:sz w:val="28"/>
          <w:szCs w:val="28"/>
        </w:rPr>
        <w:t>Janus v The Central Park Citizen Society</w:t>
      </w:r>
      <w:r w:rsidR="00557508" w:rsidRPr="00557508">
        <w:rPr>
          <w:rFonts w:ascii="Times New Roman" w:hAnsi="Times New Roman" w:cs="Times New Roman"/>
          <w:bCs/>
          <w:sz w:val="28"/>
          <w:szCs w:val="28"/>
        </w:rPr>
        <w:t>, 2019 BCCA 173</w:t>
      </w:r>
      <w:r w:rsidR="0077143C">
        <w:rPr>
          <w:rFonts w:ascii="Times New Roman" w:hAnsi="Times New Roman" w:cs="Times New Roman"/>
          <w:bCs/>
          <w:sz w:val="28"/>
          <w:szCs w:val="28"/>
        </w:rPr>
        <w:t xml:space="preserve">; </w:t>
      </w:r>
      <w:r w:rsidR="0077143C" w:rsidRPr="00066BB8">
        <w:rPr>
          <w:rFonts w:ascii="Times New Roman" w:hAnsi="Times New Roman" w:cs="Times New Roman"/>
          <w:bCs/>
          <w:i/>
          <w:iCs/>
          <w:sz w:val="28"/>
          <w:szCs w:val="28"/>
        </w:rPr>
        <w:t>Salna v Awad</w:t>
      </w:r>
      <w:r w:rsidR="0077143C" w:rsidRPr="00066BB8">
        <w:rPr>
          <w:rFonts w:ascii="Times New Roman" w:hAnsi="Times New Roman" w:cs="Times New Roman"/>
          <w:bCs/>
          <w:sz w:val="28"/>
          <w:szCs w:val="28"/>
        </w:rPr>
        <w:t>, 2011 ABCA 20</w:t>
      </w:r>
      <w:r w:rsidR="0077143C">
        <w:rPr>
          <w:rFonts w:ascii="Times New Roman" w:hAnsi="Times New Roman" w:cs="Times New Roman"/>
          <w:bCs/>
          <w:sz w:val="28"/>
          <w:szCs w:val="28"/>
        </w:rPr>
        <w:t>, para 28</w:t>
      </w:r>
      <w:r w:rsidR="00854662" w:rsidRPr="00557508">
        <w:rPr>
          <w:rFonts w:ascii="Times New Roman" w:hAnsi="Times New Roman" w:cs="Times New Roman"/>
          <w:bCs/>
          <w:sz w:val="28"/>
          <w:szCs w:val="28"/>
        </w:rPr>
        <w:t xml:space="preserve">). </w:t>
      </w:r>
      <w:r w:rsidR="007F4DEB" w:rsidRPr="00557508">
        <w:rPr>
          <w:rFonts w:ascii="Times New Roman" w:hAnsi="Times New Roman" w:cs="Times New Roman"/>
          <w:bCs/>
          <w:sz w:val="28"/>
          <w:szCs w:val="28"/>
        </w:rPr>
        <w:t xml:space="preserve">In </w:t>
      </w:r>
      <w:r w:rsidR="007F4DEB" w:rsidRPr="00557508">
        <w:rPr>
          <w:rFonts w:ascii="Times New Roman" w:hAnsi="Times New Roman" w:cs="Times New Roman"/>
          <w:bCs/>
          <w:i/>
          <w:iCs/>
          <w:sz w:val="28"/>
          <w:szCs w:val="28"/>
        </w:rPr>
        <w:t>Weir-Jones</w:t>
      </w:r>
      <w:r w:rsidR="007F4DEB" w:rsidRPr="00557508">
        <w:rPr>
          <w:rFonts w:ascii="Times New Roman" w:hAnsi="Times New Roman" w:cs="Times New Roman"/>
          <w:bCs/>
          <w:sz w:val="28"/>
          <w:szCs w:val="28"/>
        </w:rPr>
        <w:t xml:space="preserve">, there was uncertainty whether the breach of contract alleged by the appellant was covered by a collective agreement and consequently, </w:t>
      </w:r>
      <w:r w:rsidR="000A418B" w:rsidRPr="00557508">
        <w:rPr>
          <w:rFonts w:ascii="Times New Roman" w:hAnsi="Times New Roman" w:cs="Times New Roman"/>
          <w:bCs/>
          <w:sz w:val="28"/>
          <w:szCs w:val="28"/>
        </w:rPr>
        <w:t xml:space="preserve">whether it had to </w:t>
      </w:r>
      <w:r w:rsidR="00A75C4E" w:rsidRPr="00557508">
        <w:rPr>
          <w:rFonts w:ascii="Times New Roman" w:hAnsi="Times New Roman" w:cs="Times New Roman"/>
          <w:bCs/>
          <w:sz w:val="28"/>
          <w:szCs w:val="28"/>
        </w:rPr>
        <w:t>be raised</w:t>
      </w:r>
      <w:r w:rsidR="000A418B" w:rsidRPr="00557508">
        <w:rPr>
          <w:rFonts w:ascii="Times New Roman" w:hAnsi="Times New Roman" w:cs="Times New Roman"/>
          <w:bCs/>
          <w:sz w:val="28"/>
          <w:szCs w:val="28"/>
        </w:rPr>
        <w:t xml:space="preserve"> </w:t>
      </w:r>
      <w:r w:rsidR="00CC1A04" w:rsidRPr="00557508">
        <w:rPr>
          <w:rFonts w:ascii="Times New Roman" w:hAnsi="Times New Roman" w:cs="Times New Roman"/>
          <w:bCs/>
          <w:sz w:val="28"/>
          <w:szCs w:val="28"/>
        </w:rPr>
        <w:t>through</w:t>
      </w:r>
      <w:r w:rsidR="000A418B" w:rsidRPr="00557508">
        <w:rPr>
          <w:rFonts w:ascii="Times New Roman" w:hAnsi="Times New Roman" w:cs="Times New Roman"/>
          <w:bCs/>
          <w:sz w:val="28"/>
          <w:szCs w:val="28"/>
        </w:rPr>
        <w:t xml:space="preserve"> the arbitration process.</w:t>
      </w:r>
      <w:r w:rsidR="00347EA8" w:rsidRPr="00557508">
        <w:rPr>
          <w:rFonts w:ascii="Times New Roman" w:hAnsi="Times New Roman" w:cs="Times New Roman"/>
          <w:bCs/>
          <w:sz w:val="28"/>
          <w:szCs w:val="28"/>
        </w:rPr>
        <w:t xml:space="preserve"> </w:t>
      </w:r>
      <w:r w:rsidR="000A418B" w:rsidRPr="00557508">
        <w:rPr>
          <w:rFonts w:ascii="Times New Roman" w:hAnsi="Times New Roman" w:cs="Times New Roman"/>
          <w:bCs/>
          <w:sz w:val="28"/>
          <w:szCs w:val="28"/>
        </w:rPr>
        <w:t xml:space="preserve">The </w:t>
      </w:r>
      <w:r w:rsidR="00347EA8" w:rsidRPr="00557508">
        <w:rPr>
          <w:rFonts w:ascii="Times New Roman" w:hAnsi="Times New Roman" w:cs="Times New Roman"/>
          <w:bCs/>
          <w:sz w:val="28"/>
          <w:szCs w:val="28"/>
        </w:rPr>
        <w:t xml:space="preserve">Alberta Court of Appeal </w:t>
      </w:r>
      <w:r w:rsidR="000A418B" w:rsidRPr="00557508">
        <w:rPr>
          <w:rFonts w:ascii="Times New Roman" w:hAnsi="Times New Roman" w:cs="Times New Roman"/>
          <w:bCs/>
          <w:sz w:val="28"/>
          <w:szCs w:val="28"/>
        </w:rPr>
        <w:t>found that</w:t>
      </w:r>
      <w:r w:rsidR="00CA1208">
        <w:rPr>
          <w:rFonts w:ascii="Times New Roman" w:hAnsi="Times New Roman" w:cs="Times New Roman"/>
          <w:bCs/>
          <w:sz w:val="28"/>
          <w:szCs w:val="28"/>
        </w:rPr>
        <w:t>,</w:t>
      </w:r>
      <w:r w:rsidR="000A418B" w:rsidRPr="00557508">
        <w:rPr>
          <w:rFonts w:ascii="Times New Roman" w:hAnsi="Times New Roman" w:cs="Times New Roman"/>
          <w:bCs/>
          <w:sz w:val="28"/>
          <w:szCs w:val="28"/>
        </w:rPr>
        <w:t xml:space="preserve"> “[r]</w:t>
      </w:r>
      <w:proofErr w:type="spellStart"/>
      <w:r w:rsidR="000A418B" w:rsidRPr="00557508">
        <w:rPr>
          <w:rFonts w:ascii="Times New Roman" w:hAnsi="Times New Roman" w:cs="Times New Roman"/>
          <w:bCs/>
          <w:sz w:val="28"/>
          <w:szCs w:val="28"/>
        </w:rPr>
        <w:t>eliance</w:t>
      </w:r>
      <w:proofErr w:type="spellEnd"/>
      <w:r w:rsidR="000A418B" w:rsidRPr="00557508">
        <w:rPr>
          <w:rFonts w:ascii="Times New Roman" w:hAnsi="Times New Roman" w:cs="Times New Roman"/>
          <w:bCs/>
          <w:sz w:val="28"/>
          <w:szCs w:val="28"/>
        </w:rPr>
        <w:t xml:space="preserve"> </w:t>
      </w:r>
      <w:r w:rsidR="00D50C62" w:rsidRPr="00557508">
        <w:rPr>
          <w:rFonts w:ascii="Times New Roman" w:hAnsi="Times New Roman" w:cs="Times New Roman"/>
          <w:bCs/>
          <w:sz w:val="28"/>
          <w:szCs w:val="28"/>
        </w:rPr>
        <w:t>on the possible efficacy of other procedures amounts at most to an error of law, which does not have the effect of delaying commencement of the limitation period”</w:t>
      </w:r>
      <w:r w:rsidR="0044466D" w:rsidRPr="00557508">
        <w:rPr>
          <w:rFonts w:ascii="Times New Roman" w:hAnsi="Times New Roman" w:cs="Times New Roman"/>
          <w:bCs/>
          <w:sz w:val="28"/>
          <w:szCs w:val="28"/>
        </w:rPr>
        <w:t xml:space="preserve"> (para 56)</w:t>
      </w:r>
      <w:r w:rsidR="00D50C62" w:rsidRPr="00557508">
        <w:rPr>
          <w:rFonts w:ascii="Times New Roman" w:hAnsi="Times New Roman" w:cs="Times New Roman"/>
          <w:bCs/>
          <w:sz w:val="28"/>
          <w:szCs w:val="28"/>
        </w:rPr>
        <w:t xml:space="preserve">. </w:t>
      </w:r>
    </w:p>
    <w:p w14:paraId="29A66C6A" w14:textId="77777777" w:rsidR="00E53557" w:rsidRPr="00E53557" w:rsidRDefault="00E53557" w:rsidP="00E53557">
      <w:pPr>
        <w:pStyle w:val="ListParagraph"/>
        <w:rPr>
          <w:rFonts w:ascii="Times New Roman" w:hAnsi="Times New Roman" w:cs="Times New Roman"/>
          <w:bCs/>
          <w:sz w:val="28"/>
          <w:szCs w:val="28"/>
        </w:rPr>
      </w:pPr>
    </w:p>
    <w:p w14:paraId="495B26A9" w14:textId="1966832A" w:rsidR="004F4012" w:rsidRPr="00AB79F7" w:rsidRDefault="00E53557" w:rsidP="00AB79F7">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same principle applies here. ADK </w:t>
      </w:r>
      <w:r w:rsidR="00544350">
        <w:rPr>
          <w:rFonts w:ascii="Times New Roman" w:hAnsi="Times New Roman" w:cs="Times New Roman"/>
          <w:bCs/>
          <w:sz w:val="28"/>
          <w:szCs w:val="28"/>
        </w:rPr>
        <w:t xml:space="preserve">submits it </w:t>
      </w:r>
      <w:r w:rsidR="009E66B3" w:rsidRPr="00D053FB">
        <w:rPr>
          <w:rFonts w:ascii="Times New Roman" w:hAnsi="Times New Roman" w:cs="Times New Roman"/>
          <w:bCs/>
          <w:sz w:val="28"/>
          <w:szCs w:val="28"/>
        </w:rPr>
        <w:t xml:space="preserve">mistakenly believed the CIP </w:t>
      </w:r>
      <w:r w:rsidR="009E66B3" w:rsidRPr="00305569">
        <w:rPr>
          <w:rFonts w:ascii="Times New Roman" w:hAnsi="Times New Roman" w:cs="Times New Roman"/>
          <w:bCs/>
          <w:sz w:val="28"/>
          <w:szCs w:val="28"/>
        </w:rPr>
        <w:t xml:space="preserve">Agreement was part of a Benefits Plan </w:t>
      </w:r>
      <w:r w:rsidR="00E5594B" w:rsidRPr="00305569">
        <w:rPr>
          <w:rFonts w:ascii="Times New Roman" w:hAnsi="Times New Roman" w:cs="Times New Roman"/>
          <w:bCs/>
          <w:sz w:val="28"/>
          <w:szCs w:val="28"/>
        </w:rPr>
        <w:t xml:space="preserve">enforceable </w:t>
      </w:r>
      <w:r w:rsidR="00D15F7B" w:rsidRPr="00305569">
        <w:rPr>
          <w:rFonts w:ascii="Times New Roman" w:hAnsi="Times New Roman" w:cs="Times New Roman"/>
          <w:bCs/>
          <w:sz w:val="28"/>
          <w:szCs w:val="28"/>
        </w:rPr>
        <w:t xml:space="preserve">by the Government of the </w:t>
      </w:r>
      <w:r w:rsidR="009D6F3D" w:rsidRPr="00305569">
        <w:rPr>
          <w:rFonts w:ascii="Times New Roman" w:hAnsi="Times New Roman" w:cs="Times New Roman"/>
          <w:bCs/>
          <w:sz w:val="28"/>
          <w:szCs w:val="28"/>
        </w:rPr>
        <w:t xml:space="preserve">Northwest </w:t>
      </w:r>
      <w:r w:rsidR="00D15F7B" w:rsidRPr="00305569">
        <w:rPr>
          <w:rFonts w:ascii="Times New Roman" w:hAnsi="Times New Roman" w:cs="Times New Roman"/>
          <w:bCs/>
          <w:sz w:val="28"/>
          <w:szCs w:val="28"/>
        </w:rPr>
        <w:t>Territories</w:t>
      </w:r>
      <w:r w:rsidR="004F4012">
        <w:rPr>
          <w:rFonts w:ascii="Times New Roman" w:hAnsi="Times New Roman" w:cs="Times New Roman"/>
          <w:bCs/>
          <w:sz w:val="28"/>
          <w:szCs w:val="28"/>
        </w:rPr>
        <w:t>,</w:t>
      </w:r>
      <w:r w:rsidR="00F817B0">
        <w:rPr>
          <w:rFonts w:ascii="Times New Roman" w:hAnsi="Times New Roman" w:cs="Times New Roman"/>
          <w:bCs/>
          <w:sz w:val="28"/>
          <w:szCs w:val="28"/>
        </w:rPr>
        <w:t xml:space="preserve"> and</w:t>
      </w:r>
      <w:r w:rsidR="00D15F7B" w:rsidRPr="00305569">
        <w:rPr>
          <w:rFonts w:ascii="Times New Roman" w:hAnsi="Times New Roman" w:cs="Times New Roman"/>
          <w:bCs/>
          <w:sz w:val="28"/>
          <w:szCs w:val="28"/>
        </w:rPr>
        <w:t xml:space="preserve"> </w:t>
      </w:r>
      <w:r w:rsidR="00F46751">
        <w:rPr>
          <w:rFonts w:ascii="Times New Roman" w:hAnsi="Times New Roman" w:cs="Times New Roman"/>
          <w:bCs/>
          <w:sz w:val="28"/>
          <w:szCs w:val="28"/>
        </w:rPr>
        <w:t xml:space="preserve">it is </w:t>
      </w:r>
      <w:r w:rsidR="00D15F7B" w:rsidRPr="00305569">
        <w:rPr>
          <w:rFonts w:ascii="Times New Roman" w:hAnsi="Times New Roman" w:cs="Times New Roman"/>
          <w:bCs/>
          <w:sz w:val="28"/>
          <w:szCs w:val="28"/>
        </w:rPr>
        <w:t xml:space="preserve">only when this Court </w:t>
      </w:r>
      <w:r w:rsidR="00B42038" w:rsidRPr="00305569">
        <w:rPr>
          <w:rFonts w:ascii="Times New Roman" w:hAnsi="Times New Roman" w:cs="Times New Roman"/>
          <w:bCs/>
          <w:sz w:val="28"/>
          <w:szCs w:val="28"/>
        </w:rPr>
        <w:t xml:space="preserve">ruled that the agreement was a private contract </w:t>
      </w:r>
      <w:r w:rsidR="00F46751">
        <w:rPr>
          <w:rFonts w:ascii="Times New Roman" w:hAnsi="Times New Roman" w:cs="Times New Roman"/>
          <w:bCs/>
          <w:sz w:val="28"/>
          <w:szCs w:val="28"/>
        </w:rPr>
        <w:t xml:space="preserve">that </w:t>
      </w:r>
      <w:r w:rsidR="00E5594B" w:rsidRPr="00305569">
        <w:rPr>
          <w:rFonts w:ascii="Times New Roman" w:hAnsi="Times New Roman" w:cs="Times New Roman"/>
          <w:bCs/>
          <w:sz w:val="28"/>
          <w:szCs w:val="28"/>
        </w:rPr>
        <w:t>ADK</w:t>
      </w:r>
      <w:r w:rsidR="00B42038" w:rsidRPr="00305569">
        <w:rPr>
          <w:rFonts w:ascii="Times New Roman" w:hAnsi="Times New Roman" w:cs="Times New Roman"/>
          <w:bCs/>
          <w:sz w:val="28"/>
          <w:szCs w:val="28"/>
        </w:rPr>
        <w:t xml:space="preserve"> </w:t>
      </w:r>
      <w:r w:rsidR="00215595" w:rsidRPr="00305569">
        <w:rPr>
          <w:rFonts w:ascii="Times New Roman" w:hAnsi="Times New Roman" w:cs="Times New Roman"/>
          <w:bCs/>
          <w:sz w:val="28"/>
          <w:szCs w:val="28"/>
        </w:rPr>
        <w:t>acquired the knowledge of the cause of action</w:t>
      </w:r>
      <w:r w:rsidR="00D15F7B" w:rsidRPr="00305569">
        <w:rPr>
          <w:rFonts w:ascii="Times New Roman" w:hAnsi="Times New Roman" w:cs="Times New Roman"/>
          <w:bCs/>
          <w:sz w:val="28"/>
          <w:szCs w:val="28"/>
        </w:rPr>
        <w:t>.</w:t>
      </w:r>
      <w:r w:rsidR="002C6B99" w:rsidRPr="00305569">
        <w:rPr>
          <w:rFonts w:ascii="Times New Roman" w:hAnsi="Times New Roman" w:cs="Times New Roman"/>
          <w:bCs/>
          <w:sz w:val="28"/>
          <w:szCs w:val="28"/>
        </w:rPr>
        <w:t xml:space="preserve"> </w:t>
      </w:r>
      <w:r w:rsidR="00E26B5E" w:rsidRPr="00305569">
        <w:rPr>
          <w:rFonts w:ascii="Times New Roman" w:hAnsi="Times New Roman" w:cs="Times New Roman"/>
          <w:bCs/>
          <w:sz w:val="28"/>
          <w:szCs w:val="28"/>
        </w:rPr>
        <w:t>This amounts to an error of law that does not affect the commencement of the limitation period.</w:t>
      </w:r>
    </w:p>
    <w:p w14:paraId="4474A141" w14:textId="77777777" w:rsidR="004F4012" w:rsidRPr="005810BD" w:rsidRDefault="004F4012" w:rsidP="004F4012">
      <w:pPr>
        <w:pStyle w:val="ListParagraph"/>
        <w:spacing w:after="0" w:line="240" w:lineRule="auto"/>
        <w:ind w:left="0"/>
        <w:jc w:val="both"/>
        <w:rPr>
          <w:rFonts w:ascii="Times New Roman" w:hAnsi="Times New Roman" w:cs="Times New Roman"/>
          <w:bCs/>
          <w:sz w:val="28"/>
          <w:szCs w:val="28"/>
        </w:rPr>
      </w:pPr>
    </w:p>
    <w:p w14:paraId="0ECEDC98" w14:textId="552632BA" w:rsidR="00AC33AC" w:rsidRDefault="006311CD" w:rsidP="00496B47">
      <w:pPr>
        <w:pStyle w:val="ListParagraph"/>
        <w:numPr>
          <w:ilvl w:val="0"/>
          <w:numId w:val="1"/>
        </w:numPr>
        <w:spacing w:after="0" w:line="240" w:lineRule="auto"/>
        <w:jc w:val="both"/>
        <w:rPr>
          <w:rFonts w:ascii="Times New Roman" w:hAnsi="Times New Roman" w:cs="Times New Roman"/>
          <w:bCs/>
          <w:sz w:val="28"/>
          <w:szCs w:val="28"/>
        </w:rPr>
      </w:pPr>
      <w:r w:rsidRPr="003A20C0">
        <w:rPr>
          <w:rFonts w:ascii="Times New Roman" w:hAnsi="Times New Roman" w:cs="Times New Roman"/>
          <w:bCs/>
          <w:sz w:val="28"/>
          <w:szCs w:val="28"/>
        </w:rPr>
        <w:lastRenderedPageBreak/>
        <w:t xml:space="preserve">In addition, I </w:t>
      </w:r>
      <w:r w:rsidR="0030510C" w:rsidRPr="003A20C0">
        <w:rPr>
          <w:rFonts w:ascii="Times New Roman" w:hAnsi="Times New Roman" w:cs="Times New Roman"/>
          <w:bCs/>
          <w:sz w:val="28"/>
          <w:szCs w:val="28"/>
        </w:rPr>
        <w:t>find that</w:t>
      </w:r>
      <w:r w:rsidR="00215595" w:rsidRPr="003A20C0">
        <w:rPr>
          <w:rFonts w:ascii="Times New Roman" w:hAnsi="Times New Roman" w:cs="Times New Roman"/>
          <w:bCs/>
          <w:sz w:val="28"/>
          <w:szCs w:val="28"/>
        </w:rPr>
        <w:t xml:space="preserve"> ADK o</w:t>
      </w:r>
      <w:r w:rsidR="0030510C" w:rsidRPr="003A20C0">
        <w:rPr>
          <w:rFonts w:ascii="Times New Roman" w:hAnsi="Times New Roman" w:cs="Times New Roman"/>
          <w:bCs/>
          <w:sz w:val="28"/>
          <w:szCs w:val="28"/>
        </w:rPr>
        <w:t xml:space="preserve">ught to have known that the CIP Agreement was a private contract </w:t>
      </w:r>
      <w:r w:rsidR="002F2BAB" w:rsidRPr="003A20C0">
        <w:rPr>
          <w:rFonts w:ascii="Times New Roman" w:hAnsi="Times New Roman" w:cs="Times New Roman"/>
          <w:bCs/>
          <w:sz w:val="28"/>
          <w:szCs w:val="28"/>
        </w:rPr>
        <w:t>enforceable against Paramount</w:t>
      </w:r>
      <w:r w:rsidR="00A5219F" w:rsidRPr="003A20C0">
        <w:rPr>
          <w:rFonts w:ascii="Times New Roman" w:hAnsi="Times New Roman" w:cs="Times New Roman"/>
          <w:bCs/>
          <w:sz w:val="28"/>
          <w:szCs w:val="28"/>
        </w:rPr>
        <w:t xml:space="preserve"> </w:t>
      </w:r>
      <w:r w:rsidR="00D60055">
        <w:rPr>
          <w:rFonts w:ascii="Times New Roman" w:hAnsi="Times New Roman" w:cs="Times New Roman"/>
          <w:bCs/>
          <w:sz w:val="28"/>
          <w:szCs w:val="28"/>
        </w:rPr>
        <w:t>from the moment</w:t>
      </w:r>
      <w:r w:rsidR="00A5219F" w:rsidRPr="003A20C0">
        <w:rPr>
          <w:rFonts w:ascii="Times New Roman" w:hAnsi="Times New Roman" w:cs="Times New Roman"/>
          <w:bCs/>
          <w:sz w:val="28"/>
          <w:szCs w:val="28"/>
        </w:rPr>
        <w:t xml:space="preserve"> </w:t>
      </w:r>
      <w:r w:rsidR="00A5219F" w:rsidRPr="002C6B99">
        <w:rPr>
          <w:rFonts w:ascii="Times New Roman" w:hAnsi="Times New Roman" w:cs="Times New Roman"/>
          <w:bCs/>
          <w:sz w:val="28"/>
          <w:szCs w:val="28"/>
        </w:rPr>
        <w:t>the</w:t>
      </w:r>
      <w:r w:rsidR="00C81346">
        <w:rPr>
          <w:rFonts w:ascii="Times New Roman" w:hAnsi="Times New Roman" w:cs="Times New Roman"/>
          <w:bCs/>
          <w:sz w:val="28"/>
          <w:szCs w:val="28"/>
        </w:rPr>
        <w:t xml:space="preserve"> </w:t>
      </w:r>
      <w:r w:rsidR="003A20C0" w:rsidRPr="00992CA0">
        <w:rPr>
          <w:rFonts w:ascii="Times New Roman" w:hAnsi="Times New Roman" w:cs="Times New Roman"/>
          <w:bCs/>
          <w:sz w:val="28"/>
          <w:szCs w:val="28"/>
        </w:rPr>
        <w:t>contract</w:t>
      </w:r>
      <w:r w:rsidR="003603D1" w:rsidRPr="00992CA0">
        <w:rPr>
          <w:rFonts w:ascii="Times New Roman" w:hAnsi="Times New Roman" w:cs="Times New Roman"/>
          <w:bCs/>
          <w:sz w:val="28"/>
          <w:szCs w:val="28"/>
        </w:rPr>
        <w:t xml:space="preserve"> was</w:t>
      </w:r>
      <w:r w:rsidR="00992CA0" w:rsidRPr="00992CA0">
        <w:rPr>
          <w:rFonts w:ascii="Times New Roman" w:hAnsi="Times New Roman" w:cs="Times New Roman"/>
          <w:bCs/>
          <w:sz w:val="28"/>
          <w:szCs w:val="28"/>
        </w:rPr>
        <w:t xml:space="preserve"> signed</w:t>
      </w:r>
      <w:r w:rsidR="002676F1">
        <w:rPr>
          <w:rFonts w:ascii="Times New Roman" w:hAnsi="Times New Roman" w:cs="Times New Roman"/>
          <w:bCs/>
          <w:sz w:val="28"/>
          <w:szCs w:val="28"/>
        </w:rPr>
        <w:t xml:space="preserve"> in 1999</w:t>
      </w:r>
      <w:r w:rsidR="002F2BAB" w:rsidRPr="00992CA0">
        <w:rPr>
          <w:rFonts w:ascii="Times New Roman" w:hAnsi="Times New Roman" w:cs="Times New Roman"/>
          <w:bCs/>
          <w:sz w:val="28"/>
          <w:szCs w:val="28"/>
        </w:rPr>
        <w:t>.</w:t>
      </w:r>
      <w:r w:rsidR="002F2BAB" w:rsidRPr="002C6B99">
        <w:rPr>
          <w:rFonts w:ascii="Times New Roman" w:hAnsi="Times New Roman" w:cs="Times New Roman"/>
          <w:bCs/>
          <w:sz w:val="28"/>
          <w:szCs w:val="28"/>
        </w:rPr>
        <w:t xml:space="preserve"> </w:t>
      </w:r>
      <w:r w:rsidR="00A50D68">
        <w:rPr>
          <w:rFonts w:ascii="Times New Roman" w:hAnsi="Times New Roman" w:cs="Times New Roman"/>
          <w:bCs/>
          <w:sz w:val="28"/>
          <w:szCs w:val="28"/>
        </w:rPr>
        <w:t xml:space="preserve">ADK was </w:t>
      </w:r>
      <w:r w:rsidR="008E3596">
        <w:rPr>
          <w:rFonts w:ascii="Times New Roman" w:hAnsi="Times New Roman" w:cs="Times New Roman"/>
          <w:bCs/>
          <w:sz w:val="28"/>
          <w:szCs w:val="28"/>
        </w:rPr>
        <w:t>assisted by counsel in the negotiation of the CIP Agreement</w:t>
      </w:r>
      <w:r w:rsidR="002B5B35">
        <w:rPr>
          <w:rFonts w:ascii="Times New Roman" w:hAnsi="Times New Roman" w:cs="Times New Roman"/>
          <w:bCs/>
          <w:sz w:val="28"/>
          <w:szCs w:val="28"/>
        </w:rPr>
        <w:t xml:space="preserve">, </w:t>
      </w:r>
      <w:r w:rsidR="008E3596">
        <w:rPr>
          <w:rFonts w:ascii="Times New Roman" w:hAnsi="Times New Roman" w:cs="Times New Roman"/>
          <w:bCs/>
          <w:sz w:val="28"/>
          <w:szCs w:val="28"/>
        </w:rPr>
        <w:t>the agreement contains a</w:t>
      </w:r>
      <w:r w:rsidR="006F6275">
        <w:rPr>
          <w:rFonts w:ascii="Times New Roman" w:hAnsi="Times New Roman" w:cs="Times New Roman"/>
          <w:bCs/>
          <w:sz w:val="28"/>
          <w:szCs w:val="28"/>
        </w:rPr>
        <w:t xml:space="preserve"> mandator</w:t>
      </w:r>
      <w:r w:rsidR="000E3411">
        <w:rPr>
          <w:rFonts w:ascii="Times New Roman" w:hAnsi="Times New Roman" w:cs="Times New Roman"/>
          <w:bCs/>
          <w:sz w:val="28"/>
          <w:szCs w:val="28"/>
        </w:rPr>
        <w:t>y</w:t>
      </w:r>
      <w:r w:rsidR="008E3596">
        <w:rPr>
          <w:rFonts w:ascii="Times New Roman" w:hAnsi="Times New Roman" w:cs="Times New Roman"/>
          <w:bCs/>
          <w:sz w:val="28"/>
          <w:szCs w:val="28"/>
        </w:rPr>
        <w:t xml:space="preserve"> arbitration clause</w:t>
      </w:r>
      <w:r w:rsidR="007C4C35">
        <w:rPr>
          <w:rFonts w:ascii="Times New Roman" w:hAnsi="Times New Roman" w:cs="Times New Roman"/>
          <w:bCs/>
          <w:sz w:val="28"/>
          <w:szCs w:val="28"/>
        </w:rPr>
        <w:t xml:space="preserve"> and </w:t>
      </w:r>
      <w:r w:rsidR="00804812">
        <w:rPr>
          <w:rFonts w:ascii="Times New Roman" w:hAnsi="Times New Roman" w:cs="Times New Roman"/>
          <w:bCs/>
          <w:sz w:val="28"/>
          <w:szCs w:val="28"/>
        </w:rPr>
        <w:t xml:space="preserve">when ADK wished to enquire about the </w:t>
      </w:r>
      <w:r w:rsidR="00E11D25">
        <w:rPr>
          <w:rFonts w:ascii="Times New Roman" w:hAnsi="Times New Roman" w:cs="Times New Roman"/>
          <w:bCs/>
          <w:sz w:val="28"/>
          <w:szCs w:val="28"/>
        </w:rPr>
        <w:t xml:space="preserve">cessation of the </w:t>
      </w:r>
      <w:r w:rsidR="00804812">
        <w:rPr>
          <w:rFonts w:ascii="Times New Roman" w:hAnsi="Times New Roman" w:cs="Times New Roman"/>
          <w:bCs/>
          <w:sz w:val="28"/>
          <w:szCs w:val="28"/>
        </w:rPr>
        <w:t>$100,000 annual payments, it did so by contacting Paramount directly</w:t>
      </w:r>
      <w:r w:rsidR="00E11D25">
        <w:rPr>
          <w:rFonts w:ascii="Times New Roman" w:hAnsi="Times New Roman" w:cs="Times New Roman"/>
          <w:bCs/>
          <w:sz w:val="28"/>
          <w:szCs w:val="28"/>
        </w:rPr>
        <w:t>.</w:t>
      </w:r>
      <w:r w:rsidR="00804812">
        <w:rPr>
          <w:rFonts w:ascii="Times New Roman" w:hAnsi="Times New Roman" w:cs="Times New Roman"/>
          <w:bCs/>
          <w:sz w:val="28"/>
          <w:szCs w:val="28"/>
        </w:rPr>
        <w:t xml:space="preserve"> </w:t>
      </w:r>
      <w:r w:rsidR="00E11D25">
        <w:rPr>
          <w:rFonts w:ascii="Times New Roman" w:hAnsi="Times New Roman" w:cs="Times New Roman"/>
          <w:bCs/>
          <w:sz w:val="28"/>
          <w:szCs w:val="28"/>
        </w:rPr>
        <w:t>Considering these facts, I do not accept that</w:t>
      </w:r>
      <w:r w:rsidR="00800C41">
        <w:rPr>
          <w:rFonts w:ascii="Times New Roman" w:hAnsi="Times New Roman" w:cs="Times New Roman"/>
          <w:bCs/>
          <w:sz w:val="28"/>
          <w:szCs w:val="28"/>
        </w:rPr>
        <w:t xml:space="preserve"> the cause of action was only discovered and discoverable on May 1, 2020. </w:t>
      </w:r>
    </w:p>
    <w:p w14:paraId="79C40689" w14:textId="77777777" w:rsidR="001E18B8" w:rsidRDefault="001E18B8" w:rsidP="005810BD">
      <w:pPr>
        <w:pStyle w:val="ListParagraph"/>
        <w:spacing w:after="0" w:line="240" w:lineRule="auto"/>
        <w:ind w:left="0"/>
        <w:jc w:val="both"/>
        <w:rPr>
          <w:rFonts w:ascii="Times New Roman" w:hAnsi="Times New Roman" w:cs="Times New Roman"/>
          <w:bCs/>
          <w:sz w:val="28"/>
          <w:szCs w:val="28"/>
        </w:rPr>
      </w:pPr>
    </w:p>
    <w:p w14:paraId="0849CA2B" w14:textId="1882A160" w:rsidR="005810BD" w:rsidRPr="00AF00EA" w:rsidRDefault="00E13CCE" w:rsidP="005810BD">
      <w:pPr>
        <w:pStyle w:val="ListParagraph"/>
        <w:spacing w:after="0" w:line="240" w:lineRule="auto"/>
        <w:ind w:left="0"/>
        <w:jc w:val="both"/>
        <w:rPr>
          <w:rFonts w:ascii="Times New Roman" w:hAnsi="Times New Roman" w:cs="Times New Roman"/>
          <w:bCs/>
          <w:sz w:val="28"/>
          <w:szCs w:val="28"/>
          <w:u w:val="single"/>
        </w:rPr>
      </w:pPr>
      <w:r w:rsidRPr="00AF00EA">
        <w:rPr>
          <w:rFonts w:ascii="Times New Roman" w:hAnsi="Times New Roman" w:cs="Times New Roman"/>
          <w:bCs/>
          <w:sz w:val="28"/>
          <w:szCs w:val="28"/>
          <w:u w:val="single"/>
        </w:rPr>
        <w:t>Periodic Payments and Rolling Limitation</w:t>
      </w:r>
    </w:p>
    <w:p w14:paraId="7C0A4AF0" w14:textId="77777777" w:rsidR="005810BD" w:rsidRPr="00AF00EA" w:rsidRDefault="005810BD" w:rsidP="005810BD">
      <w:pPr>
        <w:pStyle w:val="ListParagraph"/>
        <w:spacing w:after="0" w:line="240" w:lineRule="auto"/>
        <w:ind w:left="0"/>
        <w:jc w:val="both"/>
        <w:rPr>
          <w:rFonts w:ascii="Times New Roman" w:hAnsi="Times New Roman" w:cs="Times New Roman"/>
          <w:bCs/>
          <w:sz w:val="28"/>
          <w:szCs w:val="28"/>
        </w:rPr>
      </w:pPr>
    </w:p>
    <w:p w14:paraId="1D4956F6" w14:textId="1510AF6F" w:rsidR="008A053D" w:rsidRPr="00AF00EA" w:rsidRDefault="008D3D9E" w:rsidP="005A357F">
      <w:pPr>
        <w:pStyle w:val="ListParagraph"/>
        <w:numPr>
          <w:ilvl w:val="0"/>
          <w:numId w:val="1"/>
        </w:numPr>
        <w:spacing w:after="0" w:line="240" w:lineRule="auto"/>
        <w:jc w:val="both"/>
        <w:rPr>
          <w:rFonts w:ascii="Times New Roman" w:hAnsi="Times New Roman" w:cs="Times New Roman"/>
          <w:bCs/>
          <w:sz w:val="28"/>
          <w:szCs w:val="28"/>
        </w:rPr>
      </w:pPr>
      <w:r w:rsidRPr="00AF00EA">
        <w:rPr>
          <w:rFonts w:ascii="Times New Roman" w:hAnsi="Times New Roman" w:cs="Times New Roman"/>
          <w:bCs/>
          <w:sz w:val="28"/>
          <w:szCs w:val="28"/>
        </w:rPr>
        <w:t xml:space="preserve">Under the CIP Agreement, Paramount had </w:t>
      </w:r>
      <w:r w:rsidR="004D0F51" w:rsidRPr="00AF00EA">
        <w:rPr>
          <w:rFonts w:ascii="Times New Roman" w:hAnsi="Times New Roman" w:cs="Times New Roman"/>
          <w:bCs/>
          <w:sz w:val="28"/>
          <w:szCs w:val="28"/>
        </w:rPr>
        <w:t xml:space="preserve">the obligation </w:t>
      </w:r>
      <w:r w:rsidRPr="00AF00EA">
        <w:rPr>
          <w:rFonts w:ascii="Times New Roman" w:hAnsi="Times New Roman" w:cs="Times New Roman"/>
          <w:bCs/>
          <w:sz w:val="28"/>
          <w:szCs w:val="28"/>
        </w:rPr>
        <w:t xml:space="preserve">to make annual payments </w:t>
      </w:r>
      <w:r w:rsidR="004E56F5" w:rsidRPr="00AF00EA">
        <w:rPr>
          <w:rFonts w:ascii="Times New Roman" w:hAnsi="Times New Roman" w:cs="Times New Roman"/>
          <w:bCs/>
          <w:sz w:val="28"/>
          <w:szCs w:val="28"/>
        </w:rPr>
        <w:t>of $100,000</w:t>
      </w:r>
      <w:r w:rsidRPr="00AF00EA">
        <w:rPr>
          <w:rFonts w:ascii="Times New Roman" w:hAnsi="Times New Roman" w:cs="Times New Roman"/>
          <w:bCs/>
          <w:sz w:val="28"/>
          <w:szCs w:val="28"/>
        </w:rPr>
        <w:t xml:space="preserve"> </w:t>
      </w:r>
      <w:r w:rsidR="00F00D48" w:rsidRPr="00AF00EA">
        <w:rPr>
          <w:rFonts w:ascii="Times New Roman" w:hAnsi="Times New Roman" w:cs="Times New Roman"/>
          <w:bCs/>
          <w:sz w:val="28"/>
          <w:szCs w:val="28"/>
        </w:rPr>
        <w:t>commencing with the first production from the Lands and continuing each year on the anniversary date of the first production</w:t>
      </w:r>
      <w:r w:rsidR="004E56F5" w:rsidRPr="00AF00EA">
        <w:rPr>
          <w:rFonts w:ascii="Times New Roman" w:hAnsi="Times New Roman" w:cs="Times New Roman"/>
          <w:bCs/>
          <w:sz w:val="28"/>
          <w:szCs w:val="28"/>
        </w:rPr>
        <w:t>.</w:t>
      </w:r>
      <w:r w:rsidR="00F00D48" w:rsidRPr="00AF00EA">
        <w:rPr>
          <w:rFonts w:ascii="Times New Roman" w:hAnsi="Times New Roman" w:cs="Times New Roman"/>
          <w:bCs/>
          <w:sz w:val="28"/>
          <w:szCs w:val="28"/>
        </w:rPr>
        <w:t xml:space="preserve"> The evidence before </w:t>
      </w:r>
      <w:r w:rsidR="008A053D" w:rsidRPr="00AF00EA">
        <w:rPr>
          <w:rFonts w:ascii="Times New Roman" w:hAnsi="Times New Roman" w:cs="Times New Roman"/>
          <w:bCs/>
          <w:sz w:val="28"/>
          <w:szCs w:val="28"/>
        </w:rPr>
        <w:t xml:space="preserve">me </w:t>
      </w:r>
      <w:r w:rsidR="00F00D48" w:rsidRPr="00AF00EA">
        <w:rPr>
          <w:rFonts w:ascii="Times New Roman" w:hAnsi="Times New Roman" w:cs="Times New Roman"/>
          <w:bCs/>
          <w:sz w:val="28"/>
          <w:szCs w:val="28"/>
        </w:rPr>
        <w:t xml:space="preserve">does not establish the anniversary date of the first production. </w:t>
      </w:r>
      <w:r w:rsidR="004D0F51" w:rsidRPr="00AF00EA">
        <w:rPr>
          <w:rFonts w:ascii="Times New Roman" w:hAnsi="Times New Roman" w:cs="Times New Roman"/>
          <w:bCs/>
          <w:sz w:val="28"/>
          <w:szCs w:val="28"/>
        </w:rPr>
        <w:t xml:space="preserve">However, </w:t>
      </w:r>
      <w:r w:rsidR="0086467A" w:rsidRPr="00AF00EA">
        <w:rPr>
          <w:rFonts w:ascii="Times New Roman" w:hAnsi="Times New Roman" w:cs="Times New Roman"/>
          <w:bCs/>
          <w:sz w:val="28"/>
          <w:szCs w:val="28"/>
        </w:rPr>
        <w:t>b</w:t>
      </w:r>
      <w:r w:rsidR="008A053D" w:rsidRPr="00AF00EA">
        <w:rPr>
          <w:rFonts w:ascii="Times New Roman" w:hAnsi="Times New Roman" w:cs="Times New Roman"/>
          <w:bCs/>
          <w:sz w:val="28"/>
          <w:szCs w:val="28"/>
        </w:rPr>
        <w:t>etween</w:t>
      </w:r>
      <w:r w:rsidR="00474F8F" w:rsidRPr="00AF00EA">
        <w:rPr>
          <w:rFonts w:ascii="Times New Roman" w:hAnsi="Times New Roman" w:cs="Times New Roman"/>
          <w:bCs/>
          <w:sz w:val="28"/>
          <w:szCs w:val="28"/>
        </w:rPr>
        <w:t xml:space="preserve"> 2000 and 2008, Paramount made such payments on different dates</w:t>
      </w:r>
      <w:r w:rsidR="00485BC4" w:rsidRPr="00AF00EA">
        <w:rPr>
          <w:rFonts w:ascii="Times New Roman" w:hAnsi="Times New Roman" w:cs="Times New Roman"/>
          <w:bCs/>
          <w:sz w:val="28"/>
          <w:szCs w:val="28"/>
        </w:rPr>
        <w:t>, the earliest in the year being April</w:t>
      </w:r>
      <w:r w:rsidR="00937B77" w:rsidRPr="00AF00EA">
        <w:rPr>
          <w:rFonts w:ascii="Times New Roman" w:hAnsi="Times New Roman" w:cs="Times New Roman"/>
          <w:bCs/>
          <w:sz w:val="28"/>
          <w:szCs w:val="28"/>
        </w:rPr>
        <w:t xml:space="preserve"> 22</w:t>
      </w:r>
      <w:r w:rsidR="00951E67" w:rsidRPr="00AF00EA">
        <w:rPr>
          <w:rFonts w:ascii="Times New Roman" w:hAnsi="Times New Roman" w:cs="Times New Roman"/>
          <w:bCs/>
          <w:sz w:val="28"/>
          <w:szCs w:val="28"/>
        </w:rPr>
        <w:t>,</w:t>
      </w:r>
      <w:r w:rsidR="00937B77" w:rsidRPr="00AF00EA">
        <w:rPr>
          <w:rFonts w:ascii="Times New Roman" w:hAnsi="Times New Roman" w:cs="Times New Roman"/>
          <w:bCs/>
          <w:sz w:val="28"/>
          <w:szCs w:val="28"/>
        </w:rPr>
        <w:t xml:space="preserve"> in 2003</w:t>
      </w:r>
      <w:r w:rsidR="00951E67" w:rsidRPr="00AF00EA">
        <w:rPr>
          <w:rFonts w:ascii="Times New Roman" w:hAnsi="Times New Roman" w:cs="Times New Roman"/>
          <w:bCs/>
          <w:sz w:val="28"/>
          <w:szCs w:val="28"/>
        </w:rPr>
        <w:t>,</w:t>
      </w:r>
      <w:r w:rsidR="00937B77" w:rsidRPr="00AF00EA">
        <w:rPr>
          <w:rFonts w:ascii="Times New Roman" w:hAnsi="Times New Roman" w:cs="Times New Roman"/>
          <w:bCs/>
          <w:sz w:val="28"/>
          <w:szCs w:val="28"/>
        </w:rPr>
        <w:t xml:space="preserve"> and the latest November 17</w:t>
      </w:r>
      <w:r w:rsidR="00951E67" w:rsidRPr="00AF00EA">
        <w:rPr>
          <w:rFonts w:ascii="Times New Roman" w:hAnsi="Times New Roman" w:cs="Times New Roman"/>
          <w:bCs/>
          <w:sz w:val="28"/>
          <w:szCs w:val="28"/>
        </w:rPr>
        <w:t>,</w:t>
      </w:r>
      <w:r w:rsidR="00937B77" w:rsidRPr="00AF00EA">
        <w:rPr>
          <w:rFonts w:ascii="Times New Roman" w:hAnsi="Times New Roman" w:cs="Times New Roman"/>
          <w:bCs/>
          <w:sz w:val="28"/>
          <w:szCs w:val="28"/>
        </w:rPr>
        <w:t xml:space="preserve"> in 2008.</w:t>
      </w:r>
      <w:r w:rsidR="00A70807" w:rsidRPr="00AF00EA">
        <w:rPr>
          <w:rFonts w:ascii="Times New Roman" w:hAnsi="Times New Roman" w:cs="Times New Roman"/>
          <w:bCs/>
          <w:sz w:val="28"/>
          <w:szCs w:val="28"/>
        </w:rPr>
        <w:t xml:space="preserve"> From this, I infer that i</w:t>
      </w:r>
      <w:r w:rsidR="00666D1F" w:rsidRPr="00AF00EA">
        <w:rPr>
          <w:rFonts w:ascii="Times New Roman" w:hAnsi="Times New Roman" w:cs="Times New Roman"/>
          <w:bCs/>
          <w:sz w:val="28"/>
          <w:szCs w:val="28"/>
        </w:rPr>
        <w:t xml:space="preserve">f Paramount still had the contractual obligation </w:t>
      </w:r>
      <w:r w:rsidR="00951E67" w:rsidRPr="00AF00EA">
        <w:rPr>
          <w:rFonts w:ascii="Times New Roman" w:hAnsi="Times New Roman" w:cs="Times New Roman"/>
          <w:bCs/>
          <w:sz w:val="28"/>
          <w:szCs w:val="28"/>
        </w:rPr>
        <w:t>to pay $100,000 annually</w:t>
      </w:r>
      <w:r w:rsidR="00AF5034" w:rsidRPr="00AF00EA">
        <w:rPr>
          <w:rFonts w:ascii="Times New Roman" w:hAnsi="Times New Roman" w:cs="Times New Roman"/>
          <w:bCs/>
          <w:sz w:val="28"/>
          <w:szCs w:val="28"/>
        </w:rPr>
        <w:t xml:space="preserve"> following the </w:t>
      </w:r>
      <w:proofErr w:type="spellStart"/>
      <w:r w:rsidR="00AF5034" w:rsidRPr="00AF00EA">
        <w:rPr>
          <w:rFonts w:ascii="Times New Roman" w:hAnsi="Times New Roman" w:cs="Times New Roman"/>
          <w:bCs/>
          <w:sz w:val="28"/>
          <w:szCs w:val="28"/>
        </w:rPr>
        <w:t>Shiha</w:t>
      </w:r>
      <w:proofErr w:type="spellEnd"/>
      <w:r w:rsidR="00AF5034" w:rsidRPr="00AF00EA">
        <w:rPr>
          <w:rFonts w:ascii="Times New Roman" w:hAnsi="Times New Roman" w:cs="Times New Roman"/>
          <w:bCs/>
          <w:sz w:val="28"/>
          <w:szCs w:val="28"/>
        </w:rPr>
        <w:t xml:space="preserve"> </w:t>
      </w:r>
      <w:r w:rsidR="005B0F9C">
        <w:rPr>
          <w:rFonts w:ascii="Times New Roman" w:hAnsi="Times New Roman" w:cs="Times New Roman"/>
          <w:bCs/>
          <w:sz w:val="28"/>
          <w:szCs w:val="28"/>
        </w:rPr>
        <w:t>D</w:t>
      </w:r>
      <w:r w:rsidR="00AF5034" w:rsidRPr="00AF00EA">
        <w:rPr>
          <w:rFonts w:ascii="Times New Roman" w:hAnsi="Times New Roman" w:cs="Times New Roman"/>
          <w:bCs/>
          <w:sz w:val="28"/>
          <w:szCs w:val="28"/>
        </w:rPr>
        <w:t>istribution</w:t>
      </w:r>
      <w:r w:rsidR="00666D1F" w:rsidRPr="00AF00EA">
        <w:rPr>
          <w:rFonts w:ascii="Times New Roman" w:hAnsi="Times New Roman" w:cs="Times New Roman"/>
          <w:bCs/>
          <w:sz w:val="28"/>
          <w:szCs w:val="28"/>
        </w:rPr>
        <w:t>, the next payment</w:t>
      </w:r>
      <w:r w:rsidR="00880B6E" w:rsidRPr="00AF00EA">
        <w:rPr>
          <w:rFonts w:ascii="Times New Roman" w:hAnsi="Times New Roman" w:cs="Times New Roman"/>
          <w:bCs/>
          <w:sz w:val="28"/>
          <w:szCs w:val="28"/>
        </w:rPr>
        <w:t xml:space="preserve"> to ADK</w:t>
      </w:r>
      <w:r w:rsidR="00666D1F" w:rsidRPr="00AF00EA">
        <w:rPr>
          <w:rFonts w:ascii="Times New Roman" w:hAnsi="Times New Roman" w:cs="Times New Roman"/>
          <w:bCs/>
          <w:sz w:val="28"/>
          <w:szCs w:val="28"/>
        </w:rPr>
        <w:t xml:space="preserve"> was due </w:t>
      </w:r>
      <w:r w:rsidR="00A70807" w:rsidRPr="00AF00EA">
        <w:rPr>
          <w:rFonts w:ascii="Times New Roman" w:hAnsi="Times New Roman" w:cs="Times New Roman"/>
          <w:bCs/>
          <w:sz w:val="28"/>
          <w:szCs w:val="28"/>
        </w:rPr>
        <w:t>at the latest on December 31, 2009</w:t>
      </w:r>
      <w:r w:rsidR="0009065A" w:rsidRPr="00AF00EA">
        <w:rPr>
          <w:rFonts w:ascii="Times New Roman" w:hAnsi="Times New Roman" w:cs="Times New Roman"/>
          <w:bCs/>
          <w:sz w:val="28"/>
          <w:szCs w:val="28"/>
        </w:rPr>
        <w:t>,</w:t>
      </w:r>
      <w:r w:rsidR="00A70807" w:rsidRPr="00AF00EA">
        <w:rPr>
          <w:rFonts w:ascii="Times New Roman" w:hAnsi="Times New Roman" w:cs="Times New Roman"/>
          <w:bCs/>
          <w:sz w:val="28"/>
          <w:szCs w:val="28"/>
        </w:rPr>
        <w:t xml:space="preserve"> and </w:t>
      </w:r>
      <w:r w:rsidR="0009065A" w:rsidRPr="00AF00EA">
        <w:rPr>
          <w:rFonts w:ascii="Times New Roman" w:hAnsi="Times New Roman" w:cs="Times New Roman"/>
          <w:bCs/>
          <w:sz w:val="28"/>
          <w:szCs w:val="28"/>
        </w:rPr>
        <w:t>yearly thereafter</w:t>
      </w:r>
      <w:r w:rsidR="00A70807" w:rsidRPr="00AF00EA">
        <w:rPr>
          <w:rFonts w:ascii="Times New Roman" w:hAnsi="Times New Roman" w:cs="Times New Roman"/>
          <w:bCs/>
          <w:sz w:val="28"/>
          <w:szCs w:val="28"/>
        </w:rPr>
        <w:t xml:space="preserve">. </w:t>
      </w:r>
    </w:p>
    <w:p w14:paraId="267E30AD" w14:textId="77777777" w:rsidR="008A053D" w:rsidRPr="00AF00EA" w:rsidRDefault="008A053D" w:rsidP="008A053D">
      <w:pPr>
        <w:pStyle w:val="ListParagraph"/>
        <w:spacing w:after="0" w:line="240" w:lineRule="auto"/>
        <w:ind w:left="0"/>
        <w:jc w:val="both"/>
        <w:rPr>
          <w:rFonts w:ascii="Times New Roman" w:hAnsi="Times New Roman" w:cs="Times New Roman"/>
          <w:bCs/>
          <w:sz w:val="28"/>
          <w:szCs w:val="28"/>
        </w:rPr>
      </w:pPr>
    </w:p>
    <w:p w14:paraId="25ADED24" w14:textId="3FA90503" w:rsidR="005A357F" w:rsidRPr="00AF00EA" w:rsidRDefault="00F00F6C" w:rsidP="00AF00EA">
      <w:pPr>
        <w:pStyle w:val="ListParagraph"/>
        <w:numPr>
          <w:ilvl w:val="0"/>
          <w:numId w:val="1"/>
        </w:numPr>
        <w:spacing w:after="0" w:line="240" w:lineRule="auto"/>
        <w:jc w:val="both"/>
        <w:rPr>
          <w:rFonts w:ascii="Times New Roman" w:hAnsi="Times New Roman" w:cs="Times New Roman"/>
          <w:bCs/>
          <w:sz w:val="28"/>
          <w:szCs w:val="28"/>
        </w:rPr>
      </w:pPr>
      <w:r w:rsidRPr="00AF00EA">
        <w:rPr>
          <w:rFonts w:ascii="Times New Roman" w:hAnsi="Times New Roman" w:cs="Times New Roman"/>
          <w:bCs/>
          <w:sz w:val="28"/>
          <w:szCs w:val="28"/>
        </w:rPr>
        <w:t>ADK</w:t>
      </w:r>
      <w:r w:rsidR="00666D1F" w:rsidRPr="00AF00EA">
        <w:rPr>
          <w:rFonts w:ascii="Times New Roman" w:hAnsi="Times New Roman" w:cs="Times New Roman"/>
          <w:bCs/>
          <w:sz w:val="28"/>
          <w:szCs w:val="28"/>
        </w:rPr>
        <w:t xml:space="preserve"> </w:t>
      </w:r>
      <w:r w:rsidR="00D36238" w:rsidRPr="00AF00EA">
        <w:rPr>
          <w:rFonts w:ascii="Times New Roman" w:hAnsi="Times New Roman" w:cs="Times New Roman"/>
          <w:bCs/>
          <w:sz w:val="28"/>
          <w:szCs w:val="28"/>
        </w:rPr>
        <w:t xml:space="preserve">submits </w:t>
      </w:r>
      <w:r w:rsidR="00116291" w:rsidRPr="00AF00EA">
        <w:rPr>
          <w:rFonts w:ascii="Times New Roman" w:hAnsi="Times New Roman" w:cs="Times New Roman"/>
          <w:bCs/>
          <w:sz w:val="28"/>
          <w:szCs w:val="28"/>
        </w:rPr>
        <w:t>in the alternative that</w:t>
      </w:r>
      <w:r w:rsidR="00D36238" w:rsidRPr="00AF00EA">
        <w:rPr>
          <w:rFonts w:ascii="Times New Roman" w:hAnsi="Times New Roman" w:cs="Times New Roman"/>
          <w:bCs/>
          <w:sz w:val="28"/>
          <w:szCs w:val="28"/>
        </w:rPr>
        <w:t xml:space="preserve"> </w:t>
      </w:r>
      <w:r w:rsidRPr="00AF00EA">
        <w:rPr>
          <w:rFonts w:ascii="Times New Roman" w:hAnsi="Times New Roman" w:cs="Times New Roman"/>
          <w:bCs/>
          <w:sz w:val="28"/>
          <w:szCs w:val="28"/>
        </w:rPr>
        <w:t>the limitation period start</w:t>
      </w:r>
      <w:r w:rsidR="00F5755D" w:rsidRPr="00AF00EA">
        <w:rPr>
          <w:rFonts w:ascii="Times New Roman" w:hAnsi="Times New Roman" w:cs="Times New Roman"/>
          <w:bCs/>
          <w:sz w:val="28"/>
          <w:szCs w:val="28"/>
        </w:rPr>
        <w:t>ed</w:t>
      </w:r>
      <w:r w:rsidRPr="00AF00EA">
        <w:rPr>
          <w:rFonts w:ascii="Times New Roman" w:hAnsi="Times New Roman" w:cs="Times New Roman"/>
          <w:bCs/>
          <w:sz w:val="28"/>
          <w:szCs w:val="28"/>
        </w:rPr>
        <w:t xml:space="preserve"> running again every time a payment </w:t>
      </w:r>
      <w:r w:rsidR="00F5755D" w:rsidRPr="00AF00EA">
        <w:rPr>
          <w:rFonts w:ascii="Times New Roman" w:hAnsi="Times New Roman" w:cs="Times New Roman"/>
          <w:bCs/>
          <w:sz w:val="28"/>
          <w:szCs w:val="28"/>
        </w:rPr>
        <w:t>was</w:t>
      </w:r>
      <w:r w:rsidRPr="00AF00EA">
        <w:rPr>
          <w:rFonts w:ascii="Times New Roman" w:hAnsi="Times New Roman" w:cs="Times New Roman"/>
          <w:bCs/>
          <w:sz w:val="28"/>
          <w:szCs w:val="28"/>
        </w:rPr>
        <w:t xml:space="preserve"> due</w:t>
      </w:r>
      <w:r w:rsidR="006B3D8A" w:rsidRPr="00AF00EA">
        <w:rPr>
          <w:rFonts w:ascii="Times New Roman" w:hAnsi="Times New Roman" w:cs="Times New Roman"/>
          <w:bCs/>
          <w:sz w:val="28"/>
          <w:szCs w:val="28"/>
        </w:rPr>
        <w:t xml:space="preserve">, what </w:t>
      </w:r>
      <w:r w:rsidR="008A053D" w:rsidRPr="00AF00EA">
        <w:rPr>
          <w:rFonts w:ascii="Times New Roman" w:hAnsi="Times New Roman" w:cs="Times New Roman"/>
          <w:bCs/>
          <w:sz w:val="28"/>
          <w:szCs w:val="28"/>
        </w:rPr>
        <w:t xml:space="preserve">is </w:t>
      </w:r>
      <w:r w:rsidR="00F5755D" w:rsidRPr="00AF00EA">
        <w:rPr>
          <w:rFonts w:ascii="Times New Roman" w:hAnsi="Times New Roman" w:cs="Times New Roman"/>
          <w:bCs/>
          <w:sz w:val="28"/>
          <w:szCs w:val="28"/>
        </w:rPr>
        <w:t>commonly known as a</w:t>
      </w:r>
      <w:r w:rsidR="006B3D8A" w:rsidRPr="00AF00EA">
        <w:rPr>
          <w:rFonts w:ascii="Times New Roman" w:hAnsi="Times New Roman" w:cs="Times New Roman"/>
          <w:bCs/>
          <w:sz w:val="28"/>
          <w:szCs w:val="28"/>
        </w:rPr>
        <w:t xml:space="preserve"> rolling limitation period</w:t>
      </w:r>
      <w:r w:rsidR="00EB1135" w:rsidRPr="00AF00EA">
        <w:rPr>
          <w:rFonts w:ascii="Times New Roman" w:hAnsi="Times New Roman" w:cs="Times New Roman"/>
          <w:bCs/>
          <w:sz w:val="28"/>
          <w:szCs w:val="28"/>
        </w:rPr>
        <w:t xml:space="preserve"> and,</w:t>
      </w:r>
      <w:r w:rsidR="00F5755D" w:rsidRPr="00AF00EA">
        <w:rPr>
          <w:rFonts w:ascii="Times New Roman" w:hAnsi="Times New Roman" w:cs="Times New Roman"/>
          <w:bCs/>
          <w:sz w:val="28"/>
          <w:szCs w:val="28"/>
        </w:rPr>
        <w:t xml:space="preserve"> therefore</w:t>
      </w:r>
      <w:r w:rsidR="00092C2A" w:rsidRPr="00AF00EA">
        <w:rPr>
          <w:rFonts w:ascii="Times New Roman" w:hAnsi="Times New Roman" w:cs="Times New Roman"/>
          <w:bCs/>
          <w:sz w:val="28"/>
          <w:szCs w:val="28"/>
        </w:rPr>
        <w:t xml:space="preserve"> only</w:t>
      </w:r>
      <w:r w:rsidR="003C09DE" w:rsidRPr="00AF00EA">
        <w:rPr>
          <w:rFonts w:ascii="Times New Roman" w:hAnsi="Times New Roman" w:cs="Times New Roman"/>
          <w:bCs/>
          <w:sz w:val="28"/>
          <w:szCs w:val="28"/>
        </w:rPr>
        <w:t xml:space="preserve"> payments due before September </w:t>
      </w:r>
      <w:r w:rsidR="00B87D9D" w:rsidRPr="00AF00EA">
        <w:rPr>
          <w:rFonts w:ascii="Times New Roman" w:hAnsi="Times New Roman" w:cs="Times New Roman"/>
          <w:bCs/>
          <w:sz w:val="28"/>
          <w:szCs w:val="28"/>
        </w:rPr>
        <w:t>3, 2014</w:t>
      </w:r>
      <w:r w:rsidR="00EB1135" w:rsidRPr="00AF00EA">
        <w:rPr>
          <w:rFonts w:ascii="Times New Roman" w:hAnsi="Times New Roman" w:cs="Times New Roman"/>
          <w:bCs/>
          <w:sz w:val="28"/>
          <w:szCs w:val="28"/>
        </w:rPr>
        <w:t>,</w:t>
      </w:r>
      <w:r w:rsidR="00B87D9D" w:rsidRPr="00AF00EA">
        <w:rPr>
          <w:rFonts w:ascii="Times New Roman" w:hAnsi="Times New Roman" w:cs="Times New Roman"/>
          <w:bCs/>
          <w:sz w:val="28"/>
          <w:szCs w:val="28"/>
        </w:rPr>
        <w:t xml:space="preserve"> are statute barred</w:t>
      </w:r>
      <w:r w:rsidR="006B3D8A" w:rsidRPr="00AF00EA">
        <w:rPr>
          <w:rFonts w:ascii="Times New Roman" w:hAnsi="Times New Roman" w:cs="Times New Roman"/>
          <w:bCs/>
          <w:sz w:val="28"/>
          <w:szCs w:val="28"/>
        </w:rPr>
        <w:t xml:space="preserve">. </w:t>
      </w:r>
      <w:r w:rsidRPr="00AF00EA">
        <w:rPr>
          <w:rFonts w:ascii="Times New Roman" w:hAnsi="Times New Roman" w:cs="Times New Roman"/>
          <w:bCs/>
          <w:sz w:val="28"/>
          <w:szCs w:val="28"/>
        </w:rPr>
        <w:t xml:space="preserve">Paramount </w:t>
      </w:r>
      <w:r w:rsidR="00B87D9D" w:rsidRPr="00AF00EA">
        <w:rPr>
          <w:rFonts w:ascii="Times New Roman" w:hAnsi="Times New Roman" w:cs="Times New Roman"/>
          <w:bCs/>
          <w:sz w:val="28"/>
          <w:szCs w:val="28"/>
        </w:rPr>
        <w:t xml:space="preserve">claims the </w:t>
      </w:r>
      <w:proofErr w:type="spellStart"/>
      <w:r w:rsidR="00B87D9D" w:rsidRPr="00AF00EA">
        <w:rPr>
          <w:rFonts w:ascii="Times New Roman" w:hAnsi="Times New Roman" w:cs="Times New Roman"/>
          <w:bCs/>
          <w:sz w:val="28"/>
          <w:szCs w:val="28"/>
        </w:rPr>
        <w:t>Shiha</w:t>
      </w:r>
      <w:proofErr w:type="spellEnd"/>
      <w:r w:rsidR="00B87D9D" w:rsidRPr="00AF00EA">
        <w:rPr>
          <w:rFonts w:ascii="Times New Roman" w:hAnsi="Times New Roman" w:cs="Times New Roman"/>
          <w:bCs/>
          <w:sz w:val="28"/>
          <w:szCs w:val="28"/>
        </w:rPr>
        <w:t xml:space="preserve"> </w:t>
      </w:r>
      <w:r w:rsidR="005B0F9C">
        <w:rPr>
          <w:rFonts w:ascii="Times New Roman" w:hAnsi="Times New Roman" w:cs="Times New Roman"/>
          <w:bCs/>
          <w:sz w:val="28"/>
          <w:szCs w:val="28"/>
        </w:rPr>
        <w:t>D</w:t>
      </w:r>
      <w:r w:rsidR="00B87D9D" w:rsidRPr="00AF00EA">
        <w:rPr>
          <w:rFonts w:ascii="Times New Roman" w:hAnsi="Times New Roman" w:cs="Times New Roman"/>
          <w:bCs/>
          <w:sz w:val="28"/>
          <w:szCs w:val="28"/>
        </w:rPr>
        <w:t xml:space="preserve">istribution </w:t>
      </w:r>
      <w:r w:rsidR="00EB1135" w:rsidRPr="00AF00EA">
        <w:rPr>
          <w:rFonts w:ascii="Times New Roman" w:hAnsi="Times New Roman" w:cs="Times New Roman"/>
          <w:bCs/>
          <w:sz w:val="28"/>
          <w:szCs w:val="28"/>
        </w:rPr>
        <w:t>over</w:t>
      </w:r>
      <w:r w:rsidR="00B87D9D" w:rsidRPr="00AF00EA">
        <w:rPr>
          <w:rFonts w:ascii="Times New Roman" w:hAnsi="Times New Roman" w:cs="Times New Roman"/>
          <w:bCs/>
          <w:sz w:val="28"/>
          <w:szCs w:val="28"/>
        </w:rPr>
        <w:t xml:space="preserve"> $10,000 made </w:t>
      </w:r>
      <w:r w:rsidR="00794F3C" w:rsidRPr="00AF00EA">
        <w:rPr>
          <w:rFonts w:ascii="Times New Roman" w:hAnsi="Times New Roman" w:cs="Times New Roman"/>
          <w:bCs/>
          <w:sz w:val="28"/>
          <w:szCs w:val="28"/>
        </w:rPr>
        <w:t>on</w:t>
      </w:r>
      <w:r w:rsidR="00B87D9D" w:rsidRPr="00AF00EA">
        <w:rPr>
          <w:rFonts w:ascii="Times New Roman" w:hAnsi="Times New Roman" w:cs="Times New Roman"/>
          <w:bCs/>
          <w:sz w:val="28"/>
          <w:szCs w:val="28"/>
        </w:rPr>
        <w:t xml:space="preserve"> December </w:t>
      </w:r>
      <w:r w:rsidR="008D483E" w:rsidRPr="00AF00EA">
        <w:rPr>
          <w:rFonts w:ascii="Times New Roman" w:hAnsi="Times New Roman" w:cs="Times New Roman"/>
          <w:bCs/>
          <w:sz w:val="28"/>
          <w:szCs w:val="28"/>
        </w:rPr>
        <w:t xml:space="preserve">19, </w:t>
      </w:r>
      <w:r w:rsidR="00B87D9D" w:rsidRPr="00AF00EA">
        <w:rPr>
          <w:rFonts w:ascii="Times New Roman" w:hAnsi="Times New Roman" w:cs="Times New Roman"/>
          <w:bCs/>
          <w:sz w:val="28"/>
          <w:szCs w:val="28"/>
        </w:rPr>
        <w:t>2008</w:t>
      </w:r>
      <w:r w:rsidR="008D483E" w:rsidRPr="00AF00EA">
        <w:rPr>
          <w:rFonts w:ascii="Times New Roman" w:hAnsi="Times New Roman" w:cs="Times New Roman"/>
          <w:bCs/>
          <w:sz w:val="28"/>
          <w:szCs w:val="28"/>
        </w:rPr>
        <w:t>,</w:t>
      </w:r>
      <w:r w:rsidR="00B87D9D" w:rsidRPr="00AF00EA">
        <w:rPr>
          <w:rFonts w:ascii="Times New Roman" w:hAnsi="Times New Roman" w:cs="Times New Roman"/>
          <w:bCs/>
          <w:sz w:val="28"/>
          <w:szCs w:val="28"/>
        </w:rPr>
        <w:t xml:space="preserve"> is a </w:t>
      </w:r>
      <w:r w:rsidRPr="00AF00EA">
        <w:rPr>
          <w:rFonts w:ascii="Times New Roman" w:hAnsi="Times New Roman" w:cs="Times New Roman"/>
          <w:bCs/>
          <w:sz w:val="28"/>
          <w:szCs w:val="28"/>
        </w:rPr>
        <w:t xml:space="preserve">single event that extinguished </w:t>
      </w:r>
      <w:r w:rsidR="00EB1135" w:rsidRPr="00AF00EA">
        <w:rPr>
          <w:rFonts w:ascii="Times New Roman" w:hAnsi="Times New Roman" w:cs="Times New Roman"/>
          <w:bCs/>
          <w:sz w:val="28"/>
          <w:szCs w:val="28"/>
        </w:rPr>
        <w:t>Paramount’s</w:t>
      </w:r>
      <w:r w:rsidRPr="00AF00EA">
        <w:rPr>
          <w:rFonts w:ascii="Times New Roman" w:hAnsi="Times New Roman" w:cs="Times New Roman"/>
          <w:bCs/>
          <w:sz w:val="28"/>
          <w:szCs w:val="28"/>
        </w:rPr>
        <w:t xml:space="preserve"> obligation to </w:t>
      </w:r>
      <w:r w:rsidR="00794F3C" w:rsidRPr="00AF00EA">
        <w:rPr>
          <w:rFonts w:ascii="Times New Roman" w:hAnsi="Times New Roman" w:cs="Times New Roman"/>
          <w:bCs/>
          <w:sz w:val="28"/>
          <w:szCs w:val="28"/>
        </w:rPr>
        <w:t>make the $100,000 annual payment</w:t>
      </w:r>
      <w:r w:rsidR="00EF1FB2" w:rsidRPr="00AF00EA">
        <w:rPr>
          <w:rFonts w:ascii="Times New Roman" w:hAnsi="Times New Roman" w:cs="Times New Roman"/>
          <w:bCs/>
          <w:sz w:val="28"/>
          <w:szCs w:val="28"/>
        </w:rPr>
        <w:t>s</w:t>
      </w:r>
      <w:r w:rsidR="00794F3C" w:rsidRPr="00AF00EA">
        <w:rPr>
          <w:rFonts w:ascii="Times New Roman" w:hAnsi="Times New Roman" w:cs="Times New Roman"/>
          <w:bCs/>
          <w:sz w:val="28"/>
          <w:szCs w:val="28"/>
        </w:rPr>
        <w:t xml:space="preserve">. It </w:t>
      </w:r>
      <w:r w:rsidR="006E6AB1" w:rsidRPr="00AF00EA">
        <w:rPr>
          <w:rFonts w:ascii="Times New Roman" w:hAnsi="Times New Roman" w:cs="Times New Roman"/>
          <w:bCs/>
          <w:sz w:val="28"/>
          <w:szCs w:val="28"/>
        </w:rPr>
        <w:t>argues</w:t>
      </w:r>
      <w:r w:rsidR="00794F3C" w:rsidRPr="00AF00EA">
        <w:rPr>
          <w:rFonts w:ascii="Times New Roman" w:hAnsi="Times New Roman" w:cs="Times New Roman"/>
          <w:bCs/>
          <w:sz w:val="28"/>
          <w:szCs w:val="28"/>
        </w:rPr>
        <w:t xml:space="preserve"> that as a result,</w:t>
      </w:r>
      <w:r w:rsidR="005A357F" w:rsidRPr="00AF00EA">
        <w:rPr>
          <w:rFonts w:ascii="Times New Roman" w:hAnsi="Times New Roman" w:cs="Times New Roman"/>
          <w:bCs/>
          <w:sz w:val="28"/>
          <w:szCs w:val="28"/>
        </w:rPr>
        <w:t xml:space="preserve"> </w:t>
      </w:r>
      <w:r w:rsidR="006B3D8A" w:rsidRPr="00AF00EA">
        <w:rPr>
          <w:rFonts w:ascii="Times New Roman" w:hAnsi="Times New Roman" w:cs="Times New Roman"/>
          <w:bCs/>
          <w:sz w:val="28"/>
          <w:szCs w:val="28"/>
        </w:rPr>
        <w:t xml:space="preserve">the limitation period started running </w:t>
      </w:r>
      <w:r w:rsidR="008D483E" w:rsidRPr="00AF00EA">
        <w:rPr>
          <w:rFonts w:ascii="Times New Roman" w:hAnsi="Times New Roman" w:cs="Times New Roman"/>
          <w:bCs/>
          <w:sz w:val="28"/>
          <w:szCs w:val="28"/>
        </w:rPr>
        <w:t xml:space="preserve">on </w:t>
      </w:r>
      <w:r w:rsidR="00EB5E95" w:rsidRPr="00AF00EA">
        <w:rPr>
          <w:rFonts w:ascii="Times New Roman" w:hAnsi="Times New Roman" w:cs="Times New Roman"/>
          <w:bCs/>
          <w:sz w:val="28"/>
          <w:szCs w:val="28"/>
        </w:rPr>
        <w:t xml:space="preserve">December </w:t>
      </w:r>
      <w:r w:rsidR="008D483E" w:rsidRPr="00AF00EA">
        <w:rPr>
          <w:rFonts w:ascii="Times New Roman" w:hAnsi="Times New Roman" w:cs="Times New Roman"/>
          <w:bCs/>
          <w:sz w:val="28"/>
          <w:szCs w:val="28"/>
        </w:rPr>
        <w:t xml:space="preserve">19, </w:t>
      </w:r>
      <w:r w:rsidR="00EB5E95" w:rsidRPr="00AF00EA">
        <w:rPr>
          <w:rFonts w:ascii="Times New Roman" w:hAnsi="Times New Roman" w:cs="Times New Roman"/>
          <w:bCs/>
          <w:sz w:val="28"/>
          <w:szCs w:val="28"/>
        </w:rPr>
        <w:t>2008</w:t>
      </w:r>
      <w:r w:rsidR="008D483E" w:rsidRPr="00AF00EA">
        <w:rPr>
          <w:rFonts w:ascii="Times New Roman" w:hAnsi="Times New Roman" w:cs="Times New Roman"/>
          <w:bCs/>
          <w:sz w:val="28"/>
          <w:szCs w:val="28"/>
        </w:rPr>
        <w:t xml:space="preserve">, </w:t>
      </w:r>
      <w:r w:rsidR="00994EA4" w:rsidRPr="00AF00EA">
        <w:rPr>
          <w:rFonts w:ascii="Times New Roman" w:hAnsi="Times New Roman" w:cs="Times New Roman"/>
          <w:bCs/>
          <w:sz w:val="28"/>
          <w:szCs w:val="28"/>
        </w:rPr>
        <w:t xml:space="preserve">almost </w:t>
      </w:r>
      <w:r w:rsidR="006D44B8" w:rsidRPr="00AF00EA">
        <w:rPr>
          <w:rFonts w:ascii="Times New Roman" w:hAnsi="Times New Roman" w:cs="Times New Roman"/>
          <w:bCs/>
          <w:sz w:val="28"/>
          <w:szCs w:val="28"/>
        </w:rPr>
        <w:t>12 years before the Statement of Claim was filed</w:t>
      </w:r>
      <w:r w:rsidR="0073060F" w:rsidRPr="00AF00EA">
        <w:rPr>
          <w:rFonts w:ascii="Times New Roman" w:hAnsi="Times New Roman" w:cs="Times New Roman"/>
          <w:bCs/>
          <w:sz w:val="28"/>
          <w:szCs w:val="28"/>
        </w:rPr>
        <w:t xml:space="preserve"> and </w:t>
      </w:r>
      <w:r w:rsidR="00FA251B" w:rsidRPr="00AF00EA">
        <w:rPr>
          <w:rFonts w:ascii="Times New Roman" w:hAnsi="Times New Roman" w:cs="Times New Roman"/>
          <w:bCs/>
          <w:sz w:val="28"/>
          <w:szCs w:val="28"/>
        </w:rPr>
        <w:t>consequently,</w:t>
      </w:r>
      <w:r w:rsidR="0073060F" w:rsidRPr="00AF00EA">
        <w:rPr>
          <w:rFonts w:ascii="Times New Roman" w:hAnsi="Times New Roman" w:cs="Times New Roman"/>
          <w:bCs/>
          <w:sz w:val="28"/>
          <w:szCs w:val="28"/>
        </w:rPr>
        <w:t xml:space="preserve"> the claim is </w:t>
      </w:r>
      <w:r w:rsidR="006E6AB1" w:rsidRPr="00AF00EA">
        <w:rPr>
          <w:rFonts w:ascii="Times New Roman" w:hAnsi="Times New Roman" w:cs="Times New Roman"/>
          <w:bCs/>
          <w:sz w:val="28"/>
          <w:szCs w:val="28"/>
        </w:rPr>
        <w:t>time-</w:t>
      </w:r>
      <w:r w:rsidR="007A0BDC" w:rsidRPr="00AF00EA">
        <w:rPr>
          <w:rFonts w:ascii="Times New Roman" w:hAnsi="Times New Roman" w:cs="Times New Roman"/>
          <w:bCs/>
          <w:sz w:val="28"/>
          <w:szCs w:val="28"/>
        </w:rPr>
        <w:t>barred</w:t>
      </w:r>
      <w:r w:rsidR="00EB5E95" w:rsidRPr="00AF00EA">
        <w:rPr>
          <w:rFonts w:ascii="Times New Roman" w:hAnsi="Times New Roman" w:cs="Times New Roman"/>
          <w:bCs/>
          <w:sz w:val="28"/>
          <w:szCs w:val="28"/>
        </w:rPr>
        <w:t xml:space="preserve">. </w:t>
      </w:r>
    </w:p>
    <w:p w14:paraId="084C08D4" w14:textId="77777777" w:rsidR="00EB5E95" w:rsidRPr="00D053FB" w:rsidRDefault="00EB5E95" w:rsidP="00EB5E95">
      <w:pPr>
        <w:pStyle w:val="ListParagraph"/>
        <w:spacing w:after="0" w:line="240" w:lineRule="auto"/>
        <w:ind w:left="0"/>
        <w:jc w:val="both"/>
        <w:rPr>
          <w:rFonts w:ascii="Times New Roman" w:hAnsi="Times New Roman" w:cs="Times New Roman"/>
          <w:bCs/>
          <w:sz w:val="28"/>
          <w:szCs w:val="28"/>
        </w:rPr>
      </w:pPr>
    </w:p>
    <w:p w14:paraId="019F7AA2" w14:textId="161B2701" w:rsidR="009F063D" w:rsidRDefault="00AB4683" w:rsidP="008C6857">
      <w:pPr>
        <w:pStyle w:val="ListParagraph"/>
        <w:numPr>
          <w:ilvl w:val="0"/>
          <w:numId w:val="1"/>
        </w:numPr>
        <w:spacing w:after="0" w:line="240" w:lineRule="auto"/>
        <w:jc w:val="both"/>
        <w:rPr>
          <w:rFonts w:ascii="Times New Roman" w:hAnsi="Times New Roman" w:cs="Times New Roman"/>
          <w:bCs/>
          <w:sz w:val="28"/>
          <w:szCs w:val="28"/>
        </w:rPr>
      </w:pPr>
      <w:r w:rsidRPr="00A40A94">
        <w:rPr>
          <w:rFonts w:ascii="Times New Roman" w:hAnsi="Times New Roman" w:cs="Times New Roman"/>
          <w:bCs/>
          <w:sz w:val="28"/>
          <w:szCs w:val="28"/>
        </w:rPr>
        <w:t xml:space="preserve">ADK </w:t>
      </w:r>
      <w:r w:rsidR="00EE509F">
        <w:rPr>
          <w:rFonts w:ascii="Times New Roman" w:hAnsi="Times New Roman" w:cs="Times New Roman"/>
          <w:bCs/>
          <w:sz w:val="28"/>
          <w:szCs w:val="28"/>
        </w:rPr>
        <w:t>argues</w:t>
      </w:r>
      <w:r w:rsidR="00A40A94" w:rsidRPr="00A40A94">
        <w:rPr>
          <w:rFonts w:ascii="Times New Roman" w:hAnsi="Times New Roman" w:cs="Times New Roman"/>
          <w:bCs/>
          <w:sz w:val="28"/>
          <w:szCs w:val="28"/>
        </w:rPr>
        <w:t xml:space="preserve"> that several cases </w:t>
      </w:r>
      <w:r w:rsidR="00A40A94">
        <w:rPr>
          <w:rFonts w:ascii="Times New Roman" w:hAnsi="Times New Roman" w:cs="Times New Roman"/>
          <w:bCs/>
          <w:sz w:val="28"/>
          <w:szCs w:val="28"/>
        </w:rPr>
        <w:t>support the proposition that the nature of the contract</w:t>
      </w:r>
      <w:r w:rsidR="006E2563">
        <w:rPr>
          <w:rFonts w:ascii="Times New Roman" w:hAnsi="Times New Roman" w:cs="Times New Roman"/>
          <w:bCs/>
          <w:sz w:val="28"/>
          <w:szCs w:val="28"/>
        </w:rPr>
        <w:t>ual breach determines the type of limitation that applies in any given case</w:t>
      </w:r>
      <w:r w:rsidR="009853B3">
        <w:rPr>
          <w:rFonts w:ascii="Times New Roman" w:hAnsi="Times New Roman" w:cs="Times New Roman"/>
          <w:bCs/>
          <w:sz w:val="28"/>
          <w:szCs w:val="28"/>
        </w:rPr>
        <w:t>. It relies on the following case</w:t>
      </w:r>
      <w:r w:rsidR="002F736C">
        <w:rPr>
          <w:rFonts w:ascii="Times New Roman" w:hAnsi="Times New Roman" w:cs="Times New Roman"/>
          <w:bCs/>
          <w:sz w:val="28"/>
          <w:szCs w:val="28"/>
        </w:rPr>
        <w:t>s</w:t>
      </w:r>
      <w:r w:rsidR="009853B3">
        <w:rPr>
          <w:rFonts w:ascii="Times New Roman" w:hAnsi="Times New Roman" w:cs="Times New Roman"/>
          <w:bCs/>
          <w:sz w:val="28"/>
          <w:szCs w:val="28"/>
        </w:rPr>
        <w:t xml:space="preserve">: </w:t>
      </w:r>
      <w:r w:rsidR="00A80A80" w:rsidRPr="00A80A80">
        <w:rPr>
          <w:rFonts w:ascii="Times New Roman" w:hAnsi="Times New Roman" w:cs="Times New Roman"/>
          <w:bCs/>
          <w:i/>
          <w:iCs/>
          <w:sz w:val="28"/>
          <w:szCs w:val="28"/>
        </w:rPr>
        <w:t>Pickering Square Inc. v Trillium College Inc.</w:t>
      </w:r>
      <w:r w:rsidR="00A80A80">
        <w:rPr>
          <w:rFonts w:ascii="Times New Roman" w:hAnsi="Times New Roman" w:cs="Times New Roman"/>
          <w:bCs/>
          <w:sz w:val="28"/>
          <w:szCs w:val="28"/>
        </w:rPr>
        <w:t>, 2016 ONCA 179</w:t>
      </w:r>
      <w:r w:rsidR="009A49C0">
        <w:rPr>
          <w:rFonts w:ascii="Times New Roman" w:hAnsi="Times New Roman" w:cs="Times New Roman"/>
          <w:bCs/>
          <w:sz w:val="28"/>
          <w:szCs w:val="28"/>
        </w:rPr>
        <w:t xml:space="preserve"> [</w:t>
      </w:r>
      <w:r w:rsidR="009A49C0" w:rsidRPr="009A49C0">
        <w:rPr>
          <w:rFonts w:ascii="Times New Roman" w:hAnsi="Times New Roman" w:cs="Times New Roman"/>
          <w:bCs/>
          <w:i/>
          <w:iCs/>
          <w:sz w:val="28"/>
          <w:szCs w:val="28"/>
        </w:rPr>
        <w:t>Pickering Square</w:t>
      </w:r>
      <w:r w:rsidR="009A49C0">
        <w:rPr>
          <w:rFonts w:ascii="Times New Roman" w:hAnsi="Times New Roman" w:cs="Times New Roman"/>
          <w:bCs/>
          <w:sz w:val="28"/>
          <w:szCs w:val="28"/>
        </w:rPr>
        <w:t>]</w:t>
      </w:r>
      <w:r w:rsidR="009853B3">
        <w:rPr>
          <w:rFonts w:ascii="Times New Roman" w:hAnsi="Times New Roman" w:cs="Times New Roman"/>
          <w:bCs/>
          <w:sz w:val="28"/>
          <w:szCs w:val="28"/>
        </w:rPr>
        <w:t>,</w:t>
      </w:r>
      <w:r w:rsidR="00A80A80">
        <w:rPr>
          <w:rFonts w:ascii="Times New Roman" w:hAnsi="Times New Roman" w:cs="Times New Roman"/>
          <w:bCs/>
          <w:sz w:val="28"/>
          <w:szCs w:val="28"/>
        </w:rPr>
        <w:t xml:space="preserve"> </w:t>
      </w:r>
      <w:r w:rsidR="00310718" w:rsidRPr="00A80A80">
        <w:rPr>
          <w:rFonts w:ascii="Times New Roman" w:hAnsi="Times New Roman" w:cs="Times New Roman"/>
          <w:bCs/>
          <w:i/>
          <w:iCs/>
          <w:sz w:val="28"/>
          <w:szCs w:val="28"/>
        </w:rPr>
        <w:t>Fernandes v Jennings Capital Inc</w:t>
      </w:r>
      <w:r w:rsidR="00310718">
        <w:rPr>
          <w:rFonts w:ascii="Times New Roman" w:hAnsi="Times New Roman" w:cs="Times New Roman"/>
          <w:bCs/>
          <w:sz w:val="28"/>
          <w:szCs w:val="28"/>
        </w:rPr>
        <w:t>, 2016 ABQB 594</w:t>
      </w:r>
      <w:r w:rsidR="00864330">
        <w:rPr>
          <w:rFonts w:ascii="Times New Roman" w:hAnsi="Times New Roman" w:cs="Times New Roman"/>
          <w:bCs/>
          <w:sz w:val="28"/>
          <w:szCs w:val="28"/>
        </w:rPr>
        <w:t xml:space="preserve"> [</w:t>
      </w:r>
      <w:r w:rsidR="00864330" w:rsidRPr="00864330">
        <w:rPr>
          <w:rFonts w:ascii="Times New Roman" w:hAnsi="Times New Roman" w:cs="Times New Roman"/>
          <w:bCs/>
          <w:i/>
          <w:iCs/>
          <w:sz w:val="28"/>
          <w:szCs w:val="28"/>
        </w:rPr>
        <w:t>Fernandes</w:t>
      </w:r>
      <w:r w:rsidR="00864330">
        <w:rPr>
          <w:rFonts w:ascii="Times New Roman" w:hAnsi="Times New Roman" w:cs="Times New Roman"/>
          <w:bCs/>
          <w:sz w:val="28"/>
          <w:szCs w:val="28"/>
        </w:rPr>
        <w:t>]</w:t>
      </w:r>
      <w:r w:rsidR="009853B3">
        <w:rPr>
          <w:rFonts w:ascii="Times New Roman" w:hAnsi="Times New Roman" w:cs="Times New Roman"/>
          <w:bCs/>
          <w:sz w:val="28"/>
          <w:szCs w:val="28"/>
        </w:rPr>
        <w:t>,</w:t>
      </w:r>
      <w:r w:rsidR="00310718">
        <w:rPr>
          <w:rFonts w:ascii="Times New Roman" w:hAnsi="Times New Roman" w:cs="Times New Roman"/>
          <w:bCs/>
          <w:sz w:val="28"/>
          <w:szCs w:val="28"/>
        </w:rPr>
        <w:t xml:space="preserve"> </w:t>
      </w:r>
      <w:r w:rsidR="00370486" w:rsidRPr="002B70DA">
        <w:rPr>
          <w:rFonts w:ascii="Times New Roman" w:hAnsi="Times New Roman" w:cs="Times New Roman"/>
          <w:bCs/>
          <w:i/>
          <w:iCs/>
          <w:sz w:val="28"/>
          <w:szCs w:val="28"/>
        </w:rPr>
        <w:t>Richards v Sun Life Assurance Co. of Canada</w:t>
      </w:r>
      <w:r w:rsidR="00370486">
        <w:rPr>
          <w:rFonts w:ascii="Times New Roman" w:hAnsi="Times New Roman" w:cs="Times New Roman"/>
          <w:bCs/>
          <w:sz w:val="28"/>
          <w:szCs w:val="28"/>
        </w:rPr>
        <w:t>, 2016 ONSC 592 [</w:t>
      </w:r>
      <w:r w:rsidR="00370486" w:rsidRPr="007A3B69">
        <w:rPr>
          <w:rFonts w:ascii="Times New Roman" w:hAnsi="Times New Roman" w:cs="Times New Roman"/>
          <w:bCs/>
          <w:i/>
          <w:iCs/>
          <w:sz w:val="28"/>
          <w:szCs w:val="28"/>
        </w:rPr>
        <w:t>Richards</w:t>
      </w:r>
      <w:r w:rsidR="00370486">
        <w:rPr>
          <w:rFonts w:ascii="Times New Roman" w:hAnsi="Times New Roman" w:cs="Times New Roman"/>
          <w:bCs/>
          <w:sz w:val="28"/>
          <w:szCs w:val="28"/>
        </w:rPr>
        <w:t>]</w:t>
      </w:r>
      <w:r w:rsidR="009853B3">
        <w:rPr>
          <w:rFonts w:ascii="Times New Roman" w:hAnsi="Times New Roman" w:cs="Times New Roman"/>
          <w:bCs/>
          <w:sz w:val="28"/>
          <w:szCs w:val="28"/>
        </w:rPr>
        <w:t xml:space="preserve"> and</w:t>
      </w:r>
      <w:r w:rsidR="002F4823">
        <w:rPr>
          <w:rFonts w:ascii="Times New Roman" w:hAnsi="Times New Roman" w:cs="Times New Roman"/>
          <w:bCs/>
          <w:sz w:val="28"/>
          <w:szCs w:val="28"/>
        </w:rPr>
        <w:t xml:space="preserve"> </w:t>
      </w:r>
      <w:r w:rsidR="002F4823" w:rsidRPr="00782E10">
        <w:rPr>
          <w:rFonts w:ascii="Times New Roman" w:hAnsi="Times New Roman" w:cs="Times New Roman"/>
          <w:bCs/>
          <w:i/>
          <w:iCs/>
          <w:sz w:val="28"/>
          <w:szCs w:val="28"/>
        </w:rPr>
        <w:t>Marvelous Mario's Inc. v St. Paul Fire and Marine Insurance Co.</w:t>
      </w:r>
      <w:r w:rsidR="002F4823" w:rsidRPr="00782E10">
        <w:rPr>
          <w:rFonts w:ascii="Times New Roman" w:hAnsi="Times New Roman" w:cs="Times New Roman"/>
          <w:bCs/>
          <w:sz w:val="28"/>
          <w:szCs w:val="28"/>
        </w:rPr>
        <w:t>, 2019 ONCA 635</w:t>
      </w:r>
      <w:r w:rsidR="002F4823">
        <w:rPr>
          <w:rFonts w:ascii="Times New Roman" w:hAnsi="Times New Roman" w:cs="Times New Roman"/>
          <w:bCs/>
          <w:sz w:val="28"/>
          <w:szCs w:val="28"/>
        </w:rPr>
        <w:t xml:space="preserve"> [</w:t>
      </w:r>
      <w:r w:rsidR="002F4823" w:rsidRPr="002F4823">
        <w:rPr>
          <w:rFonts w:ascii="Times New Roman" w:hAnsi="Times New Roman" w:cs="Times New Roman"/>
          <w:bCs/>
          <w:i/>
          <w:iCs/>
          <w:sz w:val="28"/>
          <w:szCs w:val="28"/>
        </w:rPr>
        <w:t>Marvelous Mario</w:t>
      </w:r>
      <w:r w:rsidR="002F4823">
        <w:rPr>
          <w:rFonts w:ascii="Times New Roman" w:hAnsi="Times New Roman" w:cs="Times New Roman"/>
          <w:bCs/>
          <w:sz w:val="28"/>
          <w:szCs w:val="28"/>
        </w:rPr>
        <w:t>]</w:t>
      </w:r>
      <w:r w:rsidR="00370486">
        <w:rPr>
          <w:rFonts w:ascii="Times New Roman" w:hAnsi="Times New Roman" w:cs="Times New Roman"/>
          <w:bCs/>
          <w:sz w:val="28"/>
          <w:szCs w:val="28"/>
        </w:rPr>
        <w:t>)</w:t>
      </w:r>
      <w:r w:rsidR="006E2563">
        <w:rPr>
          <w:rFonts w:ascii="Times New Roman" w:hAnsi="Times New Roman" w:cs="Times New Roman"/>
          <w:bCs/>
          <w:sz w:val="28"/>
          <w:szCs w:val="28"/>
        </w:rPr>
        <w:t xml:space="preserve">. </w:t>
      </w:r>
      <w:r w:rsidR="00E22B8F">
        <w:rPr>
          <w:rFonts w:ascii="Times New Roman" w:hAnsi="Times New Roman" w:cs="Times New Roman"/>
          <w:bCs/>
          <w:sz w:val="28"/>
          <w:szCs w:val="28"/>
        </w:rPr>
        <w:t xml:space="preserve">ADK </w:t>
      </w:r>
      <w:r w:rsidR="00CD5808">
        <w:rPr>
          <w:rFonts w:ascii="Times New Roman" w:hAnsi="Times New Roman" w:cs="Times New Roman"/>
          <w:bCs/>
          <w:sz w:val="28"/>
          <w:szCs w:val="28"/>
        </w:rPr>
        <w:t>submits</w:t>
      </w:r>
      <w:r w:rsidR="00E22B8F">
        <w:rPr>
          <w:rFonts w:ascii="Times New Roman" w:hAnsi="Times New Roman" w:cs="Times New Roman"/>
          <w:bCs/>
          <w:sz w:val="28"/>
          <w:szCs w:val="28"/>
        </w:rPr>
        <w:t xml:space="preserve"> that these</w:t>
      </w:r>
      <w:r w:rsidR="006B6E90">
        <w:rPr>
          <w:rFonts w:ascii="Times New Roman" w:hAnsi="Times New Roman" w:cs="Times New Roman"/>
          <w:bCs/>
          <w:sz w:val="28"/>
          <w:szCs w:val="28"/>
        </w:rPr>
        <w:t xml:space="preserve"> cases </w:t>
      </w:r>
      <w:r w:rsidR="003544E4" w:rsidRPr="00A40A94">
        <w:rPr>
          <w:rFonts w:ascii="Times New Roman" w:hAnsi="Times New Roman" w:cs="Times New Roman"/>
          <w:bCs/>
          <w:sz w:val="28"/>
          <w:szCs w:val="28"/>
        </w:rPr>
        <w:t>identif</w:t>
      </w:r>
      <w:r w:rsidR="006B6E90">
        <w:rPr>
          <w:rFonts w:ascii="Times New Roman" w:hAnsi="Times New Roman" w:cs="Times New Roman"/>
          <w:bCs/>
          <w:sz w:val="28"/>
          <w:szCs w:val="28"/>
        </w:rPr>
        <w:t>y</w:t>
      </w:r>
      <w:r w:rsidR="003544E4" w:rsidRPr="00A40A94">
        <w:rPr>
          <w:rFonts w:ascii="Times New Roman" w:hAnsi="Times New Roman" w:cs="Times New Roman"/>
          <w:bCs/>
          <w:sz w:val="28"/>
          <w:szCs w:val="28"/>
        </w:rPr>
        <w:t xml:space="preserve"> three categories of </w:t>
      </w:r>
      <w:r w:rsidR="009853B3">
        <w:rPr>
          <w:rFonts w:ascii="Times New Roman" w:hAnsi="Times New Roman" w:cs="Times New Roman"/>
          <w:bCs/>
          <w:sz w:val="28"/>
          <w:szCs w:val="28"/>
        </w:rPr>
        <w:t xml:space="preserve">contractual </w:t>
      </w:r>
      <w:r w:rsidR="007338B7" w:rsidRPr="00A40A94">
        <w:rPr>
          <w:rFonts w:ascii="Times New Roman" w:hAnsi="Times New Roman" w:cs="Times New Roman"/>
          <w:bCs/>
          <w:sz w:val="28"/>
          <w:szCs w:val="28"/>
        </w:rPr>
        <w:t xml:space="preserve">breaches </w:t>
      </w:r>
      <w:r w:rsidR="006B6E90">
        <w:rPr>
          <w:rFonts w:ascii="Times New Roman" w:hAnsi="Times New Roman" w:cs="Times New Roman"/>
          <w:bCs/>
          <w:sz w:val="28"/>
          <w:szCs w:val="28"/>
        </w:rPr>
        <w:t>that</w:t>
      </w:r>
      <w:r w:rsidR="007338B7" w:rsidRPr="00A40A94">
        <w:rPr>
          <w:rFonts w:ascii="Times New Roman" w:hAnsi="Times New Roman" w:cs="Times New Roman"/>
          <w:bCs/>
          <w:sz w:val="28"/>
          <w:szCs w:val="28"/>
        </w:rPr>
        <w:t xml:space="preserve"> attract different types of limitation periods</w:t>
      </w:r>
      <w:r w:rsidR="006B6E90">
        <w:rPr>
          <w:rFonts w:ascii="Times New Roman" w:hAnsi="Times New Roman" w:cs="Times New Roman"/>
          <w:bCs/>
          <w:sz w:val="28"/>
          <w:szCs w:val="28"/>
        </w:rPr>
        <w:t>.</w:t>
      </w:r>
      <w:r w:rsidR="00457404">
        <w:rPr>
          <w:rFonts w:ascii="Times New Roman" w:hAnsi="Times New Roman" w:cs="Times New Roman"/>
          <w:bCs/>
          <w:sz w:val="28"/>
          <w:szCs w:val="28"/>
        </w:rPr>
        <w:t xml:space="preserve"> </w:t>
      </w:r>
      <w:r w:rsidR="008038BC">
        <w:rPr>
          <w:rFonts w:ascii="Times New Roman" w:hAnsi="Times New Roman" w:cs="Times New Roman"/>
          <w:bCs/>
          <w:sz w:val="28"/>
          <w:szCs w:val="28"/>
        </w:rPr>
        <w:t xml:space="preserve">The first type </w:t>
      </w:r>
      <w:r w:rsidR="003609F3">
        <w:rPr>
          <w:rFonts w:ascii="Times New Roman" w:hAnsi="Times New Roman" w:cs="Times New Roman"/>
          <w:bCs/>
          <w:sz w:val="28"/>
          <w:szCs w:val="28"/>
        </w:rPr>
        <w:t xml:space="preserve">of a breach </w:t>
      </w:r>
      <w:r w:rsidR="008038BC">
        <w:rPr>
          <w:rFonts w:ascii="Times New Roman" w:hAnsi="Times New Roman" w:cs="Times New Roman"/>
          <w:bCs/>
          <w:sz w:val="28"/>
          <w:szCs w:val="28"/>
        </w:rPr>
        <w:t>is</w:t>
      </w:r>
      <w:r w:rsidR="00457404">
        <w:rPr>
          <w:rFonts w:ascii="Times New Roman" w:hAnsi="Times New Roman" w:cs="Times New Roman"/>
          <w:bCs/>
          <w:sz w:val="28"/>
          <w:szCs w:val="28"/>
        </w:rPr>
        <w:t xml:space="preserve"> the failure to perform a single obligation at a specific time</w:t>
      </w:r>
      <w:r w:rsidR="00507A47">
        <w:rPr>
          <w:rFonts w:ascii="Times New Roman" w:hAnsi="Times New Roman" w:cs="Times New Roman"/>
          <w:bCs/>
          <w:sz w:val="28"/>
          <w:szCs w:val="28"/>
        </w:rPr>
        <w:t>, a “once-and-for-all” breach</w:t>
      </w:r>
      <w:r w:rsidR="00696377">
        <w:rPr>
          <w:rFonts w:ascii="Times New Roman" w:hAnsi="Times New Roman" w:cs="Times New Roman"/>
          <w:bCs/>
          <w:sz w:val="28"/>
          <w:szCs w:val="28"/>
        </w:rPr>
        <w:t xml:space="preserve">, </w:t>
      </w:r>
      <w:r w:rsidR="003609F3">
        <w:rPr>
          <w:rFonts w:ascii="Times New Roman" w:hAnsi="Times New Roman" w:cs="Times New Roman"/>
          <w:bCs/>
          <w:sz w:val="28"/>
          <w:szCs w:val="28"/>
        </w:rPr>
        <w:t>in which case</w:t>
      </w:r>
      <w:r w:rsidR="00696377">
        <w:rPr>
          <w:rFonts w:ascii="Times New Roman" w:hAnsi="Times New Roman" w:cs="Times New Roman"/>
          <w:bCs/>
          <w:sz w:val="28"/>
          <w:szCs w:val="28"/>
        </w:rPr>
        <w:t xml:space="preserve"> the limitation period starts running </w:t>
      </w:r>
      <w:r w:rsidR="00696377">
        <w:rPr>
          <w:rFonts w:ascii="Times New Roman" w:hAnsi="Times New Roman" w:cs="Times New Roman"/>
          <w:bCs/>
          <w:sz w:val="28"/>
          <w:szCs w:val="28"/>
        </w:rPr>
        <w:lastRenderedPageBreak/>
        <w:t xml:space="preserve">from the date of the breach. </w:t>
      </w:r>
      <w:r w:rsidR="008038BC">
        <w:rPr>
          <w:rFonts w:ascii="Times New Roman" w:hAnsi="Times New Roman" w:cs="Times New Roman"/>
          <w:bCs/>
          <w:sz w:val="28"/>
          <w:szCs w:val="28"/>
        </w:rPr>
        <w:t>The s</w:t>
      </w:r>
      <w:r w:rsidR="00696377">
        <w:rPr>
          <w:rFonts w:ascii="Times New Roman" w:hAnsi="Times New Roman" w:cs="Times New Roman"/>
          <w:bCs/>
          <w:sz w:val="28"/>
          <w:szCs w:val="28"/>
        </w:rPr>
        <w:t>econd</w:t>
      </w:r>
      <w:r w:rsidR="008038BC">
        <w:rPr>
          <w:rFonts w:ascii="Times New Roman" w:hAnsi="Times New Roman" w:cs="Times New Roman"/>
          <w:bCs/>
          <w:sz w:val="28"/>
          <w:szCs w:val="28"/>
        </w:rPr>
        <w:t xml:space="preserve"> type of breach is the failure to perform</w:t>
      </w:r>
      <w:r w:rsidR="00AA7A66">
        <w:rPr>
          <w:rFonts w:ascii="Times New Roman" w:hAnsi="Times New Roman" w:cs="Times New Roman"/>
          <w:bCs/>
          <w:sz w:val="28"/>
          <w:szCs w:val="28"/>
        </w:rPr>
        <w:t xml:space="preserve"> a periodic obligation, which gives rise to a new claim each time the obligation is breache</w:t>
      </w:r>
      <w:r w:rsidR="00AA5D96">
        <w:rPr>
          <w:rFonts w:ascii="Times New Roman" w:hAnsi="Times New Roman" w:cs="Times New Roman"/>
          <w:bCs/>
          <w:sz w:val="28"/>
          <w:szCs w:val="28"/>
        </w:rPr>
        <w:t xml:space="preserve">d where </w:t>
      </w:r>
      <w:r w:rsidR="00567C7E">
        <w:rPr>
          <w:rFonts w:ascii="Times New Roman" w:hAnsi="Times New Roman" w:cs="Times New Roman"/>
          <w:bCs/>
          <w:sz w:val="28"/>
          <w:szCs w:val="28"/>
        </w:rPr>
        <w:t>a rolling limitation period</w:t>
      </w:r>
      <w:r w:rsidR="007C4886">
        <w:rPr>
          <w:rFonts w:ascii="Times New Roman" w:hAnsi="Times New Roman" w:cs="Times New Roman"/>
          <w:bCs/>
          <w:sz w:val="28"/>
          <w:szCs w:val="28"/>
        </w:rPr>
        <w:t xml:space="preserve"> applies</w:t>
      </w:r>
      <w:r w:rsidR="00567C7E">
        <w:rPr>
          <w:rFonts w:ascii="Times New Roman" w:hAnsi="Times New Roman" w:cs="Times New Roman"/>
          <w:bCs/>
          <w:sz w:val="28"/>
          <w:szCs w:val="28"/>
        </w:rPr>
        <w:t xml:space="preserve">. The third type of breach is </w:t>
      </w:r>
      <w:r w:rsidR="00A46FB9">
        <w:rPr>
          <w:rFonts w:ascii="Times New Roman" w:hAnsi="Times New Roman" w:cs="Times New Roman"/>
          <w:bCs/>
          <w:sz w:val="28"/>
          <w:szCs w:val="28"/>
        </w:rPr>
        <w:t>the failure to perform a continuing obligation</w:t>
      </w:r>
      <w:r w:rsidR="00203379">
        <w:rPr>
          <w:rFonts w:ascii="Times New Roman" w:hAnsi="Times New Roman" w:cs="Times New Roman"/>
          <w:bCs/>
          <w:sz w:val="28"/>
          <w:szCs w:val="28"/>
        </w:rPr>
        <w:t xml:space="preserve">. In such a case, </w:t>
      </w:r>
      <w:r w:rsidR="00310718">
        <w:rPr>
          <w:rFonts w:ascii="Times New Roman" w:hAnsi="Times New Roman" w:cs="Times New Roman"/>
          <w:bCs/>
          <w:sz w:val="28"/>
          <w:szCs w:val="28"/>
        </w:rPr>
        <w:t>“</w:t>
      </w:r>
      <w:r w:rsidR="00203379">
        <w:rPr>
          <w:rFonts w:ascii="Times New Roman" w:hAnsi="Times New Roman" w:cs="Times New Roman"/>
          <w:bCs/>
          <w:sz w:val="28"/>
          <w:szCs w:val="28"/>
        </w:rPr>
        <w:t xml:space="preserve">a new claim arises </w:t>
      </w:r>
      <w:r w:rsidR="005F5CE2">
        <w:rPr>
          <w:rFonts w:ascii="Times New Roman" w:hAnsi="Times New Roman" w:cs="Times New Roman"/>
          <w:bCs/>
          <w:sz w:val="28"/>
          <w:szCs w:val="28"/>
        </w:rPr>
        <w:t xml:space="preserve">every successive moment the </w:t>
      </w:r>
      <w:r w:rsidR="00310718">
        <w:rPr>
          <w:rFonts w:ascii="Times New Roman" w:hAnsi="Times New Roman" w:cs="Times New Roman"/>
          <w:bCs/>
          <w:sz w:val="28"/>
          <w:szCs w:val="28"/>
        </w:rPr>
        <w:t>obligation is not performed” (</w:t>
      </w:r>
      <w:r w:rsidR="00864330" w:rsidRPr="00A80A80">
        <w:rPr>
          <w:rFonts w:ascii="Times New Roman" w:hAnsi="Times New Roman" w:cs="Times New Roman"/>
          <w:bCs/>
          <w:i/>
          <w:iCs/>
          <w:sz w:val="28"/>
          <w:szCs w:val="28"/>
        </w:rPr>
        <w:t>Fernandes</w:t>
      </w:r>
      <w:r w:rsidR="00864330">
        <w:rPr>
          <w:rFonts w:ascii="Times New Roman" w:hAnsi="Times New Roman" w:cs="Times New Roman"/>
          <w:bCs/>
          <w:sz w:val="28"/>
          <w:szCs w:val="28"/>
        </w:rPr>
        <w:t>, para 82)</w:t>
      </w:r>
      <w:r w:rsidR="00310718">
        <w:rPr>
          <w:rFonts w:ascii="Times New Roman" w:hAnsi="Times New Roman" w:cs="Times New Roman"/>
          <w:bCs/>
          <w:sz w:val="28"/>
          <w:szCs w:val="28"/>
        </w:rPr>
        <w:t xml:space="preserve">. </w:t>
      </w:r>
      <w:r w:rsidR="00B53523">
        <w:rPr>
          <w:rFonts w:ascii="Times New Roman" w:hAnsi="Times New Roman" w:cs="Times New Roman"/>
          <w:bCs/>
          <w:sz w:val="28"/>
          <w:szCs w:val="28"/>
        </w:rPr>
        <w:t xml:space="preserve">ADK says that </w:t>
      </w:r>
      <w:r w:rsidR="00D520B8">
        <w:rPr>
          <w:rFonts w:ascii="Times New Roman" w:hAnsi="Times New Roman" w:cs="Times New Roman"/>
          <w:bCs/>
          <w:sz w:val="28"/>
          <w:szCs w:val="28"/>
        </w:rPr>
        <w:t>the alleged contractual breach in this case is the failure t</w:t>
      </w:r>
      <w:r w:rsidR="00E8056D">
        <w:rPr>
          <w:rFonts w:ascii="Times New Roman" w:hAnsi="Times New Roman" w:cs="Times New Roman"/>
          <w:bCs/>
          <w:sz w:val="28"/>
          <w:szCs w:val="28"/>
        </w:rPr>
        <w:t>o perform a periodic obligation</w:t>
      </w:r>
      <w:r w:rsidR="007C4886">
        <w:rPr>
          <w:rFonts w:ascii="Times New Roman" w:hAnsi="Times New Roman" w:cs="Times New Roman"/>
          <w:bCs/>
          <w:sz w:val="28"/>
          <w:szCs w:val="28"/>
        </w:rPr>
        <w:t xml:space="preserve"> and </w:t>
      </w:r>
      <w:r w:rsidR="00E8056D">
        <w:rPr>
          <w:rFonts w:ascii="Times New Roman" w:hAnsi="Times New Roman" w:cs="Times New Roman"/>
          <w:bCs/>
          <w:sz w:val="28"/>
          <w:szCs w:val="28"/>
        </w:rPr>
        <w:t>therefore, a rolling limitation</w:t>
      </w:r>
      <w:r w:rsidR="00CA1208">
        <w:rPr>
          <w:rFonts w:ascii="Times New Roman" w:hAnsi="Times New Roman" w:cs="Times New Roman"/>
          <w:bCs/>
          <w:sz w:val="28"/>
          <w:szCs w:val="28"/>
        </w:rPr>
        <w:t xml:space="preserve"> </w:t>
      </w:r>
      <w:r w:rsidR="00E8056D">
        <w:rPr>
          <w:rFonts w:ascii="Times New Roman" w:hAnsi="Times New Roman" w:cs="Times New Roman"/>
          <w:bCs/>
          <w:sz w:val="28"/>
          <w:szCs w:val="28"/>
        </w:rPr>
        <w:t xml:space="preserve">applies. </w:t>
      </w:r>
    </w:p>
    <w:p w14:paraId="7C0A19E9" w14:textId="77777777" w:rsidR="009F063D" w:rsidRDefault="009F063D" w:rsidP="009F063D">
      <w:pPr>
        <w:pStyle w:val="ListParagraph"/>
        <w:spacing w:after="0" w:line="240" w:lineRule="auto"/>
        <w:ind w:left="0"/>
        <w:jc w:val="both"/>
        <w:rPr>
          <w:rFonts w:ascii="Times New Roman" w:hAnsi="Times New Roman" w:cs="Times New Roman"/>
          <w:bCs/>
          <w:sz w:val="28"/>
          <w:szCs w:val="28"/>
        </w:rPr>
      </w:pPr>
    </w:p>
    <w:p w14:paraId="1C27B648" w14:textId="3F7BE37F" w:rsidR="00305BCF" w:rsidRPr="00A40A94" w:rsidRDefault="00D520B8" w:rsidP="008C6857">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F063D">
        <w:rPr>
          <w:rFonts w:ascii="Times New Roman" w:hAnsi="Times New Roman" w:cs="Times New Roman"/>
          <w:bCs/>
          <w:sz w:val="28"/>
          <w:szCs w:val="28"/>
        </w:rPr>
        <w:t xml:space="preserve">Paramount argues that the </w:t>
      </w:r>
      <w:r w:rsidR="00A41177">
        <w:rPr>
          <w:rFonts w:ascii="Times New Roman" w:hAnsi="Times New Roman" w:cs="Times New Roman"/>
          <w:bCs/>
          <w:sz w:val="28"/>
          <w:szCs w:val="28"/>
        </w:rPr>
        <w:t xml:space="preserve">cases ADK rely on do not support a </w:t>
      </w:r>
      <w:r w:rsidR="00416B4E">
        <w:rPr>
          <w:rFonts w:ascii="Times New Roman" w:hAnsi="Times New Roman" w:cs="Times New Roman"/>
          <w:bCs/>
          <w:sz w:val="28"/>
          <w:szCs w:val="28"/>
        </w:rPr>
        <w:t>strict</w:t>
      </w:r>
      <w:r w:rsidR="00A41177">
        <w:rPr>
          <w:rFonts w:ascii="Times New Roman" w:hAnsi="Times New Roman" w:cs="Times New Roman"/>
          <w:bCs/>
          <w:sz w:val="28"/>
          <w:szCs w:val="28"/>
        </w:rPr>
        <w:t xml:space="preserve"> application of the three categories</w:t>
      </w:r>
      <w:r w:rsidR="003D660E">
        <w:rPr>
          <w:rFonts w:ascii="Times New Roman" w:hAnsi="Times New Roman" w:cs="Times New Roman"/>
          <w:bCs/>
          <w:sz w:val="28"/>
          <w:szCs w:val="28"/>
        </w:rPr>
        <w:t xml:space="preserve"> of breaches</w:t>
      </w:r>
      <w:r w:rsidR="00A41177">
        <w:rPr>
          <w:rFonts w:ascii="Times New Roman" w:hAnsi="Times New Roman" w:cs="Times New Roman"/>
          <w:bCs/>
          <w:sz w:val="28"/>
          <w:szCs w:val="28"/>
        </w:rPr>
        <w:t xml:space="preserve"> but rather</w:t>
      </w:r>
      <w:r w:rsidR="007C4886">
        <w:rPr>
          <w:rFonts w:ascii="Times New Roman" w:hAnsi="Times New Roman" w:cs="Times New Roman"/>
          <w:bCs/>
          <w:sz w:val="28"/>
          <w:szCs w:val="28"/>
        </w:rPr>
        <w:t xml:space="preserve"> adopt</w:t>
      </w:r>
      <w:r w:rsidR="00A41177">
        <w:rPr>
          <w:rFonts w:ascii="Times New Roman" w:hAnsi="Times New Roman" w:cs="Times New Roman"/>
          <w:bCs/>
          <w:sz w:val="28"/>
          <w:szCs w:val="28"/>
        </w:rPr>
        <w:t xml:space="preserve"> a more flexible approach</w:t>
      </w:r>
      <w:r w:rsidR="00F82F39">
        <w:rPr>
          <w:rFonts w:ascii="Times New Roman" w:hAnsi="Times New Roman" w:cs="Times New Roman"/>
          <w:bCs/>
          <w:sz w:val="28"/>
          <w:szCs w:val="28"/>
        </w:rPr>
        <w:t xml:space="preserve">. </w:t>
      </w:r>
    </w:p>
    <w:p w14:paraId="6EBD49E8" w14:textId="77777777" w:rsidR="008C6857" w:rsidRPr="00922645" w:rsidRDefault="008C6857" w:rsidP="008C6857">
      <w:pPr>
        <w:pStyle w:val="ListParagraph"/>
        <w:spacing w:after="0" w:line="240" w:lineRule="auto"/>
        <w:ind w:left="0"/>
        <w:jc w:val="both"/>
        <w:rPr>
          <w:rFonts w:ascii="Times New Roman" w:hAnsi="Times New Roman" w:cs="Times New Roman"/>
          <w:bCs/>
          <w:sz w:val="28"/>
          <w:szCs w:val="28"/>
        </w:rPr>
      </w:pPr>
    </w:p>
    <w:p w14:paraId="62152BDE" w14:textId="42E32A44" w:rsidR="00C11FFC" w:rsidRPr="00922645" w:rsidRDefault="00F82F39" w:rsidP="00922645">
      <w:pPr>
        <w:pStyle w:val="ListParagraph"/>
        <w:numPr>
          <w:ilvl w:val="0"/>
          <w:numId w:val="1"/>
        </w:numPr>
        <w:spacing w:after="0" w:line="240" w:lineRule="auto"/>
        <w:jc w:val="both"/>
        <w:rPr>
          <w:rFonts w:ascii="Times New Roman" w:hAnsi="Times New Roman" w:cs="Times New Roman"/>
          <w:bCs/>
          <w:sz w:val="28"/>
          <w:szCs w:val="28"/>
        </w:rPr>
      </w:pPr>
      <w:r w:rsidRPr="00922645">
        <w:rPr>
          <w:rFonts w:ascii="Times New Roman" w:hAnsi="Times New Roman" w:cs="Times New Roman"/>
          <w:bCs/>
          <w:sz w:val="28"/>
          <w:szCs w:val="28"/>
        </w:rPr>
        <w:t xml:space="preserve">I agree with Paramount. </w:t>
      </w:r>
      <w:r w:rsidR="00EF0D24" w:rsidRPr="00922645">
        <w:rPr>
          <w:rFonts w:ascii="Times New Roman" w:hAnsi="Times New Roman" w:cs="Times New Roman"/>
          <w:bCs/>
          <w:sz w:val="28"/>
          <w:szCs w:val="28"/>
        </w:rPr>
        <w:t xml:space="preserve">As </w:t>
      </w:r>
      <w:r w:rsidR="00F76601" w:rsidRPr="00922645">
        <w:rPr>
          <w:rFonts w:ascii="Times New Roman" w:hAnsi="Times New Roman" w:cs="Times New Roman"/>
          <w:bCs/>
          <w:sz w:val="28"/>
          <w:szCs w:val="28"/>
        </w:rPr>
        <w:t>noted by the Ontario Court of Appeal in</w:t>
      </w:r>
      <w:r w:rsidR="00B3119B" w:rsidRPr="00922645">
        <w:rPr>
          <w:rFonts w:ascii="Times New Roman" w:hAnsi="Times New Roman" w:cs="Times New Roman"/>
          <w:bCs/>
          <w:sz w:val="28"/>
          <w:szCs w:val="28"/>
        </w:rPr>
        <w:t xml:space="preserve"> </w:t>
      </w:r>
      <w:r w:rsidR="00B3119B" w:rsidRPr="00922645">
        <w:rPr>
          <w:rFonts w:ascii="Times New Roman" w:hAnsi="Times New Roman" w:cs="Times New Roman"/>
          <w:bCs/>
          <w:i/>
          <w:iCs/>
          <w:sz w:val="28"/>
          <w:szCs w:val="28"/>
        </w:rPr>
        <w:t>Pickering Square</w:t>
      </w:r>
      <w:r w:rsidR="00B3119B" w:rsidRPr="00922645">
        <w:rPr>
          <w:rFonts w:ascii="Times New Roman" w:hAnsi="Times New Roman" w:cs="Times New Roman"/>
          <w:bCs/>
          <w:sz w:val="28"/>
          <w:szCs w:val="28"/>
        </w:rPr>
        <w:t xml:space="preserve"> </w:t>
      </w:r>
      <w:r w:rsidR="00892223" w:rsidRPr="00922645">
        <w:rPr>
          <w:rFonts w:ascii="Times New Roman" w:hAnsi="Times New Roman" w:cs="Times New Roman"/>
          <w:bCs/>
          <w:sz w:val="28"/>
          <w:szCs w:val="28"/>
        </w:rPr>
        <w:t xml:space="preserve">when discussing the breach of a periodic </w:t>
      </w:r>
      <w:r w:rsidR="009A49C0" w:rsidRPr="00922645">
        <w:rPr>
          <w:rFonts w:ascii="Times New Roman" w:hAnsi="Times New Roman" w:cs="Times New Roman"/>
          <w:bCs/>
          <w:sz w:val="28"/>
          <w:szCs w:val="28"/>
        </w:rPr>
        <w:t>obligation: “</w:t>
      </w:r>
      <w:r w:rsidR="00922645" w:rsidRPr="00922645">
        <w:rPr>
          <w:rFonts w:ascii="Times New Roman" w:hAnsi="Times New Roman" w:cs="Times New Roman"/>
          <w:bCs/>
          <w:sz w:val="28"/>
          <w:szCs w:val="28"/>
        </w:rPr>
        <w:t xml:space="preserve">[a] failure to perform any such obligation </w:t>
      </w:r>
      <w:r w:rsidR="00922645" w:rsidRPr="00922645">
        <w:rPr>
          <w:rFonts w:ascii="Times New Roman" w:hAnsi="Times New Roman" w:cs="Times New Roman"/>
          <w:bCs/>
          <w:sz w:val="28"/>
          <w:szCs w:val="28"/>
          <w:u w:val="single"/>
        </w:rPr>
        <w:t>ordinarily</w:t>
      </w:r>
      <w:r w:rsidR="00922645" w:rsidRPr="00922645">
        <w:rPr>
          <w:rFonts w:ascii="Times New Roman" w:hAnsi="Times New Roman" w:cs="Times New Roman"/>
          <w:bCs/>
          <w:sz w:val="28"/>
          <w:szCs w:val="28"/>
        </w:rPr>
        <w:t xml:space="preserve"> gives</w:t>
      </w:r>
      <w:r w:rsidR="00B90FD7">
        <w:rPr>
          <w:rFonts w:ascii="Times New Roman" w:hAnsi="Times New Roman" w:cs="Times New Roman"/>
          <w:bCs/>
          <w:sz w:val="28"/>
          <w:szCs w:val="28"/>
        </w:rPr>
        <w:t xml:space="preserve"> rise</w:t>
      </w:r>
      <w:r w:rsidR="00922645" w:rsidRPr="00922645">
        <w:rPr>
          <w:rFonts w:ascii="Times New Roman" w:hAnsi="Times New Roman" w:cs="Times New Roman"/>
          <w:bCs/>
          <w:sz w:val="28"/>
          <w:szCs w:val="28"/>
        </w:rPr>
        <w:t xml:space="preserve"> to a breach and a claim </w:t>
      </w:r>
      <w:r w:rsidR="00B90FD7">
        <w:rPr>
          <w:rFonts w:ascii="Times New Roman" w:hAnsi="Times New Roman" w:cs="Times New Roman"/>
          <w:bCs/>
          <w:sz w:val="28"/>
          <w:szCs w:val="28"/>
        </w:rPr>
        <w:t xml:space="preserve">as </w:t>
      </w:r>
      <w:r w:rsidR="00922645" w:rsidRPr="00922645">
        <w:rPr>
          <w:rFonts w:ascii="Times New Roman" w:hAnsi="Times New Roman" w:cs="Times New Roman"/>
          <w:bCs/>
          <w:sz w:val="28"/>
          <w:szCs w:val="28"/>
        </w:rPr>
        <w:t xml:space="preserve">from the date of each individual breach” (emphasis added). </w:t>
      </w:r>
      <w:r w:rsidR="00EF0D24" w:rsidRPr="00922645">
        <w:rPr>
          <w:rFonts w:ascii="Times New Roman" w:hAnsi="Times New Roman" w:cs="Times New Roman"/>
          <w:bCs/>
          <w:sz w:val="28"/>
          <w:szCs w:val="28"/>
        </w:rPr>
        <w:t>A similar conclusion was reached in</w:t>
      </w:r>
      <w:r w:rsidR="00F76601" w:rsidRPr="00922645">
        <w:rPr>
          <w:rFonts w:ascii="Times New Roman" w:hAnsi="Times New Roman" w:cs="Times New Roman"/>
          <w:bCs/>
          <w:sz w:val="28"/>
          <w:szCs w:val="28"/>
        </w:rPr>
        <w:t xml:space="preserve"> </w:t>
      </w:r>
      <w:r w:rsidR="00782E10" w:rsidRPr="00922645">
        <w:rPr>
          <w:rFonts w:ascii="Times New Roman" w:hAnsi="Times New Roman" w:cs="Times New Roman"/>
          <w:bCs/>
          <w:i/>
          <w:iCs/>
          <w:sz w:val="28"/>
          <w:szCs w:val="28"/>
        </w:rPr>
        <w:t xml:space="preserve">Marvelous </w:t>
      </w:r>
      <w:r w:rsidR="007C4886">
        <w:rPr>
          <w:rFonts w:ascii="Times New Roman" w:hAnsi="Times New Roman" w:cs="Times New Roman"/>
          <w:bCs/>
          <w:i/>
          <w:iCs/>
          <w:sz w:val="28"/>
          <w:szCs w:val="28"/>
        </w:rPr>
        <w:t xml:space="preserve">Mario </w:t>
      </w:r>
      <w:r w:rsidR="00782E10" w:rsidRPr="00922645">
        <w:rPr>
          <w:rFonts w:ascii="Times New Roman" w:hAnsi="Times New Roman" w:cs="Times New Roman"/>
          <w:bCs/>
          <w:sz w:val="28"/>
          <w:szCs w:val="28"/>
        </w:rPr>
        <w:t xml:space="preserve">at paragraph </w:t>
      </w:r>
      <w:r w:rsidR="001F2AD6" w:rsidRPr="00922645">
        <w:rPr>
          <w:rFonts w:ascii="Times New Roman" w:hAnsi="Times New Roman" w:cs="Times New Roman"/>
          <w:bCs/>
          <w:sz w:val="28"/>
          <w:szCs w:val="28"/>
        </w:rPr>
        <w:t>35,</w:t>
      </w:r>
      <w:r w:rsidR="00EF0D24" w:rsidRPr="00922645">
        <w:rPr>
          <w:rFonts w:ascii="Times New Roman" w:hAnsi="Times New Roman" w:cs="Times New Roman"/>
          <w:bCs/>
          <w:sz w:val="28"/>
          <w:szCs w:val="28"/>
        </w:rPr>
        <w:t xml:space="preserve"> whe</w:t>
      </w:r>
      <w:r w:rsidR="000449A7">
        <w:rPr>
          <w:rFonts w:ascii="Times New Roman" w:hAnsi="Times New Roman" w:cs="Times New Roman"/>
          <w:bCs/>
          <w:sz w:val="28"/>
          <w:szCs w:val="28"/>
        </w:rPr>
        <w:t>re</w:t>
      </w:r>
      <w:r w:rsidR="00EF0D24" w:rsidRPr="00922645">
        <w:rPr>
          <w:rFonts w:ascii="Times New Roman" w:hAnsi="Times New Roman" w:cs="Times New Roman"/>
          <w:bCs/>
          <w:sz w:val="28"/>
          <w:szCs w:val="28"/>
        </w:rPr>
        <w:t xml:space="preserve"> the court wrote:</w:t>
      </w:r>
      <w:r w:rsidR="001F2AD6" w:rsidRPr="00922645">
        <w:rPr>
          <w:rFonts w:ascii="Times New Roman" w:hAnsi="Times New Roman" w:cs="Times New Roman"/>
          <w:bCs/>
          <w:sz w:val="28"/>
          <w:szCs w:val="28"/>
        </w:rPr>
        <w:t xml:space="preserve"> “[t]he jurisprudence suggests that a rolling limitation period </w:t>
      </w:r>
      <w:r w:rsidR="001F2AD6" w:rsidRPr="00922645">
        <w:rPr>
          <w:rFonts w:ascii="Times New Roman" w:hAnsi="Times New Roman" w:cs="Times New Roman"/>
          <w:bCs/>
          <w:sz w:val="28"/>
          <w:szCs w:val="28"/>
          <w:u w:val="single"/>
        </w:rPr>
        <w:t>may</w:t>
      </w:r>
      <w:r w:rsidR="00385617" w:rsidRPr="00922645">
        <w:rPr>
          <w:rFonts w:ascii="Times New Roman" w:hAnsi="Times New Roman" w:cs="Times New Roman"/>
          <w:bCs/>
          <w:sz w:val="28"/>
          <w:szCs w:val="28"/>
          <w:u w:val="single"/>
        </w:rPr>
        <w:t xml:space="preserve"> apply</w:t>
      </w:r>
      <w:r w:rsidR="00385617" w:rsidRPr="00922645">
        <w:rPr>
          <w:rFonts w:ascii="Times New Roman" w:hAnsi="Times New Roman" w:cs="Times New Roman"/>
          <w:bCs/>
          <w:sz w:val="28"/>
          <w:szCs w:val="28"/>
        </w:rPr>
        <w:t xml:space="preserve"> in a breach-of-contract case in circumstances where the defendant has a recurring contractual obligation</w:t>
      </w:r>
      <w:r w:rsidR="00B30EFE" w:rsidRPr="00922645">
        <w:rPr>
          <w:rFonts w:ascii="Times New Roman" w:hAnsi="Times New Roman" w:cs="Times New Roman"/>
          <w:bCs/>
          <w:sz w:val="28"/>
          <w:szCs w:val="28"/>
        </w:rPr>
        <w:t>”</w:t>
      </w:r>
      <w:r w:rsidR="00FB4433" w:rsidRPr="00922645">
        <w:rPr>
          <w:rFonts w:ascii="Times New Roman" w:hAnsi="Times New Roman" w:cs="Times New Roman"/>
          <w:bCs/>
          <w:sz w:val="28"/>
          <w:szCs w:val="28"/>
        </w:rPr>
        <w:t xml:space="preserve"> </w:t>
      </w:r>
      <w:r w:rsidR="00B30EFE" w:rsidRPr="00922645">
        <w:rPr>
          <w:rFonts w:ascii="Times New Roman" w:hAnsi="Times New Roman" w:cs="Times New Roman"/>
          <w:bCs/>
          <w:sz w:val="28"/>
          <w:szCs w:val="28"/>
        </w:rPr>
        <w:t>(emphasis</w:t>
      </w:r>
      <w:r w:rsidR="00FB4433" w:rsidRPr="00922645">
        <w:rPr>
          <w:rFonts w:ascii="Times New Roman" w:hAnsi="Times New Roman" w:cs="Times New Roman"/>
          <w:bCs/>
          <w:sz w:val="28"/>
          <w:szCs w:val="28"/>
        </w:rPr>
        <w:t xml:space="preserve"> added)</w:t>
      </w:r>
      <w:r w:rsidR="008125F5" w:rsidRPr="00922645">
        <w:rPr>
          <w:rFonts w:ascii="Times New Roman" w:hAnsi="Times New Roman" w:cs="Times New Roman"/>
          <w:bCs/>
          <w:sz w:val="28"/>
          <w:szCs w:val="28"/>
        </w:rPr>
        <w:t xml:space="preserve">. </w:t>
      </w:r>
      <w:r w:rsidR="00EF0D24" w:rsidRPr="00922645">
        <w:rPr>
          <w:rFonts w:ascii="Times New Roman" w:hAnsi="Times New Roman" w:cs="Times New Roman"/>
          <w:bCs/>
          <w:sz w:val="28"/>
          <w:szCs w:val="28"/>
        </w:rPr>
        <w:t>T</w:t>
      </w:r>
      <w:r w:rsidR="00D737F2" w:rsidRPr="00922645">
        <w:rPr>
          <w:rFonts w:ascii="Times New Roman" w:hAnsi="Times New Roman" w:cs="Times New Roman"/>
          <w:bCs/>
          <w:sz w:val="28"/>
          <w:szCs w:val="28"/>
        </w:rPr>
        <w:t xml:space="preserve">he analysis is </w:t>
      </w:r>
      <w:r w:rsidR="00EE516E">
        <w:rPr>
          <w:rFonts w:ascii="Times New Roman" w:hAnsi="Times New Roman" w:cs="Times New Roman"/>
          <w:bCs/>
          <w:sz w:val="28"/>
          <w:szCs w:val="28"/>
        </w:rPr>
        <w:t xml:space="preserve">more </w:t>
      </w:r>
      <w:r w:rsidR="00591082" w:rsidRPr="00922645">
        <w:rPr>
          <w:rFonts w:ascii="Times New Roman" w:hAnsi="Times New Roman" w:cs="Times New Roman"/>
          <w:bCs/>
          <w:sz w:val="28"/>
          <w:szCs w:val="28"/>
        </w:rPr>
        <w:t>fact specific and</w:t>
      </w:r>
      <w:r w:rsidR="00AB4683" w:rsidRPr="00922645">
        <w:rPr>
          <w:rFonts w:ascii="Times New Roman" w:hAnsi="Times New Roman" w:cs="Times New Roman"/>
          <w:bCs/>
          <w:sz w:val="28"/>
          <w:szCs w:val="28"/>
        </w:rPr>
        <w:t xml:space="preserve"> </w:t>
      </w:r>
      <w:r w:rsidR="00D737F2" w:rsidRPr="00922645">
        <w:rPr>
          <w:rFonts w:ascii="Times New Roman" w:hAnsi="Times New Roman" w:cs="Times New Roman"/>
          <w:bCs/>
          <w:sz w:val="28"/>
          <w:szCs w:val="28"/>
        </w:rPr>
        <w:t>nuanced</w:t>
      </w:r>
      <w:r w:rsidR="00EE516E">
        <w:rPr>
          <w:rFonts w:ascii="Times New Roman" w:hAnsi="Times New Roman" w:cs="Times New Roman"/>
          <w:bCs/>
          <w:sz w:val="28"/>
          <w:szCs w:val="28"/>
        </w:rPr>
        <w:t xml:space="preserve"> than what ADK advances</w:t>
      </w:r>
      <w:r w:rsidR="00D737F2" w:rsidRPr="00922645">
        <w:rPr>
          <w:rFonts w:ascii="Times New Roman" w:hAnsi="Times New Roman" w:cs="Times New Roman"/>
          <w:bCs/>
          <w:sz w:val="28"/>
          <w:szCs w:val="28"/>
        </w:rPr>
        <w:t>.</w:t>
      </w:r>
      <w:r w:rsidR="00C11FFC" w:rsidRPr="00922645">
        <w:rPr>
          <w:rFonts w:ascii="Times New Roman" w:hAnsi="Times New Roman" w:cs="Times New Roman"/>
          <w:bCs/>
          <w:sz w:val="28"/>
          <w:szCs w:val="28"/>
        </w:rPr>
        <w:t xml:space="preserve"> </w:t>
      </w:r>
    </w:p>
    <w:p w14:paraId="18BE27AB" w14:textId="77777777" w:rsidR="001F2AD6" w:rsidRPr="001F2AD6" w:rsidRDefault="001F2AD6" w:rsidP="001F2AD6">
      <w:pPr>
        <w:pStyle w:val="ListParagraph"/>
        <w:rPr>
          <w:rFonts w:ascii="Times New Roman" w:hAnsi="Times New Roman" w:cs="Times New Roman"/>
          <w:bCs/>
          <w:sz w:val="28"/>
          <w:szCs w:val="28"/>
        </w:rPr>
      </w:pPr>
    </w:p>
    <w:p w14:paraId="72DC2D80" w14:textId="58E94ED7" w:rsidR="003E58F1" w:rsidRDefault="001D2746" w:rsidP="00782E10">
      <w:pPr>
        <w:pStyle w:val="ListParagraph"/>
        <w:numPr>
          <w:ilvl w:val="0"/>
          <w:numId w:val="1"/>
        </w:numPr>
        <w:spacing w:after="0" w:line="240" w:lineRule="auto"/>
        <w:jc w:val="both"/>
        <w:rPr>
          <w:rFonts w:ascii="Times New Roman" w:hAnsi="Times New Roman" w:cs="Times New Roman"/>
          <w:bCs/>
          <w:sz w:val="28"/>
          <w:szCs w:val="28"/>
        </w:rPr>
      </w:pPr>
      <w:r w:rsidRPr="00782E10">
        <w:rPr>
          <w:rFonts w:ascii="Times New Roman" w:hAnsi="Times New Roman" w:cs="Times New Roman"/>
          <w:bCs/>
          <w:sz w:val="28"/>
          <w:szCs w:val="28"/>
        </w:rPr>
        <w:t>For example, i</w:t>
      </w:r>
      <w:r w:rsidR="00BB45E5" w:rsidRPr="00782E10">
        <w:rPr>
          <w:rFonts w:ascii="Times New Roman" w:hAnsi="Times New Roman" w:cs="Times New Roman"/>
          <w:bCs/>
          <w:sz w:val="28"/>
          <w:szCs w:val="28"/>
        </w:rPr>
        <w:t xml:space="preserve">n </w:t>
      </w:r>
      <w:r w:rsidR="001C00A2" w:rsidRPr="00782E10">
        <w:rPr>
          <w:rFonts w:ascii="Times New Roman" w:hAnsi="Times New Roman" w:cs="Times New Roman"/>
          <w:bCs/>
          <w:i/>
          <w:iCs/>
          <w:sz w:val="28"/>
          <w:szCs w:val="28"/>
        </w:rPr>
        <w:t>Pedersen v Soyka</w:t>
      </w:r>
      <w:r w:rsidR="001C00A2" w:rsidRPr="00782E10">
        <w:rPr>
          <w:rFonts w:ascii="Times New Roman" w:hAnsi="Times New Roman" w:cs="Times New Roman"/>
          <w:bCs/>
          <w:sz w:val="28"/>
          <w:szCs w:val="28"/>
        </w:rPr>
        <w:t>,</w:t>
      </w:r>
      <w:r w:rsidR="00CD49E8" w:rsidRPr="00782E10">
        <w:rPr>
          <w:rFonts w:ascii="Times New Roman" w:hAnsi="Times New Roman" w:cs="Times New Roman"/>
          <w:bCs/>
          <w:sz w:val="28"/>
          <w:szCs w:val="28"/>
        </w:rPr>
        <w:t xml:space="preserve"> 2014 ABCA 179</w:t>
      </w:r>
      <w:r w:rsidR="00A86429" w:rsidRPr="00782E10">
        <w:rPr>
          <w:rFonts w:ascii="Times New Roman" w:hAnsi="Times New Roman" w:cs="Times New Roman"/>
          <w:bCs/>
          <w:sz w:val="28"/>
          <w:szCs w:val="28"/>
        </w:rPr>
        <w:t xml:space="preserve"> [</w:t>
      </w:r>
      <w:r w:rsidR="00A86429" w:rsidRPr="00782E10">
        <w:rPr>
          <w:rFonts w:ascii="Times New Roman" w:hAnsi="Times New Roman" w:cs="Times New Roman"/>
          <w:bCs/>
          <w:i/>
          <w:iCs/>
          <w:sz w:val="28"/>
          <w:szCs w:val="28"/>
        </w:rPr>
        <w:t>Pedersen</w:t>
      </w:r>
      <w:r w:rsidR="00A86429" w:rsidRPr="00782E10">
        <w:rPr>
          <w:rFonts w:ascii="Times New Roman" w:hAnsi="Times New Roman" w:cs="Times New Roman"/>
          <w:bCs/>
          <w:sz w:val="28"/>
          <w:szCs w:val="28"/>
        </w:rPr>
        <w:t>]</w:t>
      </w:r>
      <w:r w:rsidR="001C00A2" w:rsidRPr="00782E10">
        <w:rPr>
          <w:rFonts w:ascii="Times New Roman" w:hAnsi="Times New Roman" w:cs="Times New Roman"/>
          <w:bCs/>
          <w:sz w:val="28"/>
          <w:szCs w:val="28"/>
        </w:rPr>
        <w:t xml:space="preserve"> the Alberta Court of Appeal examined the issue of limitation </w:t>
      </w:r>
      <w:r w:rsidR="00ED1FD2" w:rsidRPr="00782E10">
        <w:rPr>
          <w:rFonts w:ascii="Times New Roman" w:hAnsi="Times New Roman" w:cs="Times New Roman"/>
          <w:bCs/>
          <w:sz w:val="28"/>
          <w:szCs w:val="28"/>
        </w:rPr>
        <w:t>in a case involving an</w:t>
      </w:r>
      <w:r w:rsidR="001E3334" w:rsidRPr="00782E10">
        <w:rPr>
          <w:rFonts w:ascii="Times New Roman" w:hAnsi="Times New Roman" w:cs="Times New Roman"/>
          <w:bCs/>
          <w:sz w:val="28"/>
          <w:szCs w:val="28"/>
        </w:rPr>
        <w:t xml:space="preserve"> </w:t>
      </w:r>
      <w:r w:rsidR="005A07E2" w:rsidRPr="00782E10">
        <w:rPr>
          <w:rFonts w:ascii="Times New Roman" w:hAnsi="Times New Roman" w:cs="Times New Roman"/>
          <w:bCs/>
          <w:sz w:val="28"/>
          <w:szCs w:val="28"/>
        </w:rPr>
        <w:t xml:space="preserve">allegation </w:t>
      </w:r>
      <w:r w:rsidR="00EE516E">
        <w:rPr>
          <w:rFonts w:ascii="Times New Roman" w:hAnsi="Times New Roman" w:cs="Times New Roman"/>
          <w:bCs/>
          <w:sz w:val="28"/>
          <w:szCs w:val="28"/>
        </w:rPr>
        <w:t xml:space="preserve">that </w:t>
      </w:r>
      <w:r w:rsidR="001E3334" w:rsidRPr="00782E10">
        <w:rPr>
          <w:rFonts w:ascii="Times New Roman" w:hAnsi="Times New Roman" w:cs="Times New Roman"/>
          <w:bCs/>
          <w:sz w:val="28"/>
          <w:szCs w:val="28"/>
        </w:rPr>
        <w:t>a party to a contract breach</w:t>
      </w:r>
      <w:r w:rsidR="000D7717" w:rsidRPr="00782E10">
        <w:rPr>
          <w:rFonts w:ascii="Times New Roman" w:hAnsi="Times New Roman" w:cs="Times New Roman"/>
          <w:bCs/>
          <w:sz w:val="28"/>
          <w:szCs w:val="28"/>
        </w:rPr>
        <w:t>ed</w:t>
      </w:r>
      <w:r w:rsidR="001E3334" w:rsidRPr="00782E10">
        <w:rPr>
          <w:rFonts w:ascii="Times New Roman" w:hAnsi="Times New Roman" w:cs="Times New Roman"/>
          <w:bCs/>
          <w:sz w:val="28"/>
          <w:szCs w:val="28"/>
        </w:rPr>
        <w:t xml:space="preserve"> the</w:t>
      </w:r>
      <w:r w:rsidR="005A07E2" w:rsidRPr="00782E10">
        <w:rPr>
          <w:rFonts w:ascii="Times New Roman" w:hAnsi="Times New Roman" w:cs="Times New Roman"/>
          <w:bCs/>
          <w:sz w:val="28"/>
          <w:szCs w:val="28"/>
        </w:rPr>
        <w:t xml:space="preserve"> terms </w:t>
      </w:r>
      <w:r w:rsidR="001E3334" w:rsidRPr="00782E10">
        <w:rPr>
          <w:rFonts w:ascii="Times New Roman" w:hAnsi="Times New Roman" w:cs="Times New Roman"/>
          <w:bCs/>
          <w:sz w:val="28"/>
          <w:szCs w:val="28"/>
        </w:rPr>
        <w:t xml:space="preserve">related to </w:t>
      </w:r>
      <w:r w:rsidR="005A07E2" w:rsidRPr="00782E10">
        <w:rPr>
          <w:rFonts w:ascii="Times New Roman" w:hAnsi="Times New Roman" w:cs="Times New Roman"/>
          <w:bCs/>
          <w:sz w:val="28"/>
          <w:szCs w:val="28"/>
        </w:rPr>
        <w:t xml:space="preserve">the sharing of profits. The </w:t>
      </w:r>
      <w:r w:rsidR="00B53FDF">
        <w:rPr>
          <w:rFonts w:ascii="Times New Roman" w:hAnsi="Times New Roman" w:cs="Times New Roman"/>
          <w:bCs/>
          <w:sz w:val="28"/>
          <w:szCs w:val="28"/>
        </w:rPr>
        <w:t>c</w:t>
      </w:r>
      <w:r w:rsidR="00911E62" w:rsidRPr="00782E10">
        <w:rPr>
          <w:rFonts w:ascii="Times New Roman" w:hAnsi="Times New Roman" w:cs="Times New Roman"/>
          <w:bCs/>
          <w:sz w:val="28"/>
          <w:szCs w:val="28"/>
        </w:rPr>
        <w:t xml:space="preserve">ourt </w:t>
      </w:r>
      <w:r w:rsidR="001F1681" w:rsidRPr="00782E10">
        <w:rPr>
          <w:rFonts w:ascii="Times New Roman" w:hAnsi="Times New Roman" w:cs="Times New Roman"/>
          <w:bCs/>
          <w:sz w:val="28"/>
          <w:szCs w:val="28"/>
        </w:rPr>
        <w:t xml:space="preserve">found that </w:t>
      </w:r>
      <w:r w:rsidR="009C22C0" w:rsidRPr="00782E10">
        <w:rPr>
          <w:rFonts w:ascii="Times New Roman" w:hAnsi="Times New Roman" w:cs="Times New Roman"/>
          <w:bCs/>
          <w:sz w:val="28"/>
          <w:szCs w:val="28"/>
        </w:rPr>
        <w:t>the</w:t>
      </w:r>
      <w:r w:rsidR="002A4514" w:rsidRPr="00782E10">
        <w:rPr>
          <w:rFonts w:ascii="Times New Roman" w:hAnsi="Times New Roman" w:cs="Times New Roman"/>
          <w:bCs/>
          <w:sz w:val="28"/>
          <w:szCs w:val="28"/>
        </w:rPr>
        <w:t xml:space="preserve"> profits were not </w:t>
      </w:r>
      <w:r w:rsidR="00FD7D4B" w:rsidRPr="00782E10">
        <w:rPr>
          <w:rFonts w:ascii="Times New Roman" w:hAnsi="Times New Roman" w:cs="Times New Roman"/>
          <w:bCs/>
          <w:sz w:val="28"/>
          <w:szCs w:val="28"/>
        </w:rPr>
        <w:t>automatic defined payments</w:t>
      </w:r>
      <w:r w:rsidR="000F4D56" w:rsidRPr="00782E10">
        <w:rPr>
          <w:rFonts w:ascii="Times New Roman" w:hAnsi="Times New Roman" w:cs="Times New Roman"/>
          <w:bCs/>
          <w:sz w:val="28"/>
          <w:szCs w:val="28"/>
        </w:rPr>
        <w:t>,</w:t>
      </w:r>
      <w:r w:rsidR="00FD7D4B" w:rsidRPr="00782E10">
        <w:rPr>
          <w:rFonts w:ascii="Times New Roman" w:hAnsi="Times New Roman" w:cs="Times New Roman"/>
          <w:bCs/>
          <w:sz w:val="28"/>
          <w:szCs w:val="28"/>
        </w:rPr>
        <w:t xml:space="preserve"> such as an annuity</w:t>
      </w:r>
      <w:r w:rsidR="000F4D56" w:rsidRPr="00782E10">
        <w:rPr>
          <w:rFonts w:ascii="Times New Roman" w:hAnsi="Times New Roman" w:cs="Times New Roman"/>
          <w:bCs/>
          <w:sz w:val="28"/>
          <w:szCs w:val="28"/>
        </w:rPr>
        <w:t>,</w:t>
      </w:r>
      <w:r w:rsidR="00FD7D4B" w:rsidRPr="00782E10">
        <w:rPr>
          <w:rFonts w:ascii="Times New Roman" w:hAnsi="Times New Roman" w:cs="Times New Roman"/>
          <w:bCs/>
          <w:sz w:val="28"/>
          <w:szCs w:val="28"/>
        </w:rPr>
        <w:t xml:space="preserve"> but rathe</w:t>
      </w:r>
      <w:r w:rsidR="00CD1F1E" w:rsidRPr="00782E10">
        <w:rPr>
          <w:rFonts w:ascii="Times New Roman" w:hAnsi="Times New Roman" w:cs="Times New Roman"/>
          <w:bCs/>
          <w:sz w:val="28"/>
          <w:szCs w:val="28"/>
        </w:rPr>
        <w:t xml:space="preserve">r amounts that had to be determined at the end </w:t>
      </w:r>
      <w:r w:rsidR="00504D1C" w:rsidRPr="00782E10">
        <w:rPr>
          <w:rFonts w:ascii="Times New Roman" w:hAnsi="Times New Roman" w:cs="Times New Roman"/>
          <w:bCs/>
          <w:sz w:val="28"/>
          <w:szCs w:val="28"/>
        </w:rPr>
        <w:t>of the financial</w:t>
      </w:r>
      <w:r w:rsidR="00CD1F1E" w:rsidRPr="00782E10">
        <w:rPr>
          <w:rFonts w:ascii="Times New Roman" w:hAnsi="Times New Roman" w:cs="Times New Roman"/>
          <w:bCs/>
          <w:sz w:val="28"/>
          <w:szCs w:val="28"/>
        </w:rPr>
        <w:t xml:space="preserve"> year</w:t>
      </w:r>
      <w:r w:rsidR="0013107A">
        <w:rPr>
          <w:rFonts w:ascii="Times New Roman" w:hAnsi="Times New Roman" w:cs="Times New Roman"/>
          <w:bCs/>
          <w:sz w:val="28"/>
          <w:szCs w:val="28"/>
        </w:rPr>
        <w:t>. I</w:t>
      </w:r>
      <w:r w:rsidR="00504D1C" w:rsidRPr="00782E10">
        <w:rPr>
          <w:rFonts w:ascii="Times New Roman" w:hAnsi="Times New Roman" w:cs="Times New Roman"/>
          <w:bCs/>
          <w:sz w:val="28"/>
          <w:szCs w:val="28"/>
        </w:rPr>
        <w:t>n addition, there was no certainty that th</w:t>
      </w:r>
      <w:r w:rsidR="000D7717" w:rsidRPr="00782E10">
        <w:rPr>
          <w:rFonts w:ascii="Times New Roman" w:hAnsi="Times New Roman" w:cs="Times New Roman"/>
          <w:bCs/>
          <w:sz w:val="28"/>
          <w:szCs w:val="28"/>
        </w:rPr>
        <w:t>is</w:t>
      </w:r>
      <w:r w:rsidR="00504D1C" w:rsidRPr="00782E10">
        <w:rPr>
          <w:rFonts w:ascii="Times New Roman" w:hAnsi="Times New Roman" w:cs="Times New Roman"/>
          <w:bCs/>
          <w:sz w:val="28"/>
          <w:szCs w:val="28"/>
        </w:rPr>
        <w:t xml:space="preserve"> business would be profitable</w:t>
      </w:r>
      <w:r w:rsidR="0013107A">
        <w:rPr>
          <w:rFonts w:ascii="Times New Roman" w:hAnsi="Times New Roman" w:cs="Times New Roman"/>
          <w:bCs/>
          <w:sz w:val="28"/>
          <w:szCs w:val="28"/>
        </w:rPr>
        <w:t>. As a result,</w:t>
      </w:r>
      <w:r w:rsidR="005F12F9" w:rsidRPr="00782E10">
        <w:rPr>
          <w:rFonts w:ascii="Times New Roman" w:hAnsi="Times New Roman" w:cs="Times New Roman"/>
          <w:bCs/>
          <w:sz w:val="28"/>
          <w:szCs w:val="28"/>
        </w:rPr>
        <w:t xml:space="preserve"> </w:t>
      </w:r>
      <w:r w:rsidR="0079325F" w:rsidRPr="00782E10">
        <w:rPr>
          <w:rFonts w:ascii="Times New Roman" w:hAnsi="Times New Roman" w:cs="Times New Roman"/>
          <w:bCs/>
          <w:sz w:val="28"/>
          <w:szCs w:val="28"/>
        </w:rPr>
        <w:t xml:space="preserve">the material facts were not discovered or discoverable until the profits were generated and therefore, </w:t>
      </w:r>
      <w:r w:rsidR="005F12F9" w:rsidRPr="00782E10">
        <w:rPr>
          <w:rFonts w:ascii="Times New Roman" w:hAnsi="Times New Roman" w:cs="Times New Roman"/>
          <w:bCs/>
          <w:sz w:val="28"/>
          <w:szCs w:val="28"/>
        </w:rPr>
        <w:t>a rolling limitation period applied</w:t>
      </w:r>
      <w:r w:rsidR="001F1681" w:rsidRPr="00782E10">
        <w:rPr>
          <w:rFonts w:ascii="Times New Roman" w:hAnsi="Times New Roman" w:cs="Times New Roman"/>
          <w:bCs/>
          <w:sz w:val="28"/>
          <w:szCs w:val="28"/>
        </w:rPr>
        <w:t>.</w:t>
      </w:r>
      <w:r w:rsidR="000F4D56" w:rsidRPr="00782E10">
        <w:rPr>
          <w:rFonts w:ascii="Times New Roman" w:hAnsi="Times New Roman" w:cs="Times New Roman"/>
          <w:bCs/>
          <w:sz w:val="28"/>
          <w:szCs w:val="28"/>
        </w:rPr>
        <w:t xml:space="preserve"> The </w:t>
      </w:r>
      <w:r w:rsidR="00B53FDF">
        <w:rPr>
          <w:rFonts w:ascii="Times New Roman" w:hAnsi="Times New Roman" w:cs="Times New Roman"/>
          <w:bCs/>
          <w:sz w:val="28"/>
          <w:szCs w:val="28"/>
        </w:rPr>
        <w:t>c</w:t>
      </w:r>
      <w:r w:rsidR="000F4D56" w:rsidRPr="00782E10">
        <w:rPr>
          <w:rFonts w:ascii="Times New Roman" w:hAnsi="Times New Roman" w:cs="Times New Roman"/>
          <w:bCs/>
          <w:sz w:val="28"/>
          <w:szCs w:val="28"/>
        </w:rPr>
        <w:t>ourt further noted “</w:t>
      </w:r>
      <w:r w:rsidR="005F12F9" w:rsidRPr="00782E10">
        <w:rPr>
          <w:rFonts w:ascii="Times New Roman" w:hAnsi="Times New Roman" w:cs="Times New Roman"/>
          <w:bCs/>
          <w:sz w:val="28"/>
          <w:szCs w:val="28"/>
        </w:rPr>
        <w:t xml:space="preserve">[t]his </w:t>
      </w:r>
      <w:r w:rsidR="00EB0E1C" w:rsidRPr="00782E10">
        <w:rPr>
          <w:rFonts w:ascii="Times New Roman" w:hAnsi="Times New Roman" w:cs="Times New Roman"/>
          <w:bCs/>
          <w:sz w:val="28"/>
          <w:szCs w:val="28"/>
        </w:rPr>
        <w:t>is not an automatic process, as the word ‘rolling’ might imply; it depends on facts occurring and becoming known (or discoverable)”</w:t>
      </w:r>
      <w:r w:rsidR="00CD49E8" w:rsidRPr="00782E10">
        <w:rPr>
          <w:rFonts w:ascii="Times New Roman" w:hAnsi="Times New Roman" w:cs="Times New Roman"/>
          <w:bCs/>
          <w:sz w:val="28"/>
          <w:szCs w:val="28"/>
        </w:rPr>
        <w:t xml:space="preserve"> (para 39)</w:t>
      </w:r>
      <w:r w:rsidR="00EB0E1C" w:rsidRPr="00782E10">
        <w:rPr>
          <w:rFonts w:ascii="Times New Roman" w:hAnsi="Times New Roman" w:cs="Times New Roman"/>
          <w:bCs/>
          <w:sz w:val="28"/>
          <w:szCs w:val="28"/>
        </w:rPr>
        <w:t>.</w:t>
      </w:r>
      <w:r w:rsidR="003F372D" w:rsidRPr="00782E10">
        <w:rPr>
          <w:rFonts w:ascii="Times New Roman" w:hAnsi="Times New Roman" w:cs="Times New Roman"/>
          <w:bCs/>
          <w:sz w:val="28"/>
          <w:szCs w:val="28"/>
        </w:rPr>
        <w:t xml:space="preserve"> In t</w:t>
      </w:r>
      <w:r w:rsidR="003E58F1" w:rsidRPr="00782E10">
        <w:rPr>
          <w:rFonts w:ascii="Times New Roman" w:hAnsi="Times New Roman" w:cs="Times New Roman"/>
          <w:bCs/>
          <w:sz w:val="28"/>
          <w:szCs w:val="28"/>
        </w:rPr>
        <w:t xml:space="preserve">he present case, unlike </w:t>
      </w:r>
      <w:r w:rsidR="003E58F1" w:rsidRPr="00782E10">
        <w:rPr>
          <w:rFonts w:ascii="Times New Roman" w:hAnsi="Times New Roman" w:cs="Times New Roman"/>
          <w:bCs/>
          <w:i/>
          <w:iCs/>
          <w:sz w:val="28"/>
          <w:szCs w:val="28"/>
        </w:rPr>
        <w:t>Pedersen</w:t>
      </w:r>
      <w:r w:rsidR="003E58F1" w:rsidRPr="00782E10">
        <w:rPr>
          <w:rFonts w:ascii="Times New Roman" w:hAnsi="Times New Roman" w:cs="Times New Roman"/>
          <w:bCs/>
          <w:sz w:val="28"/>
          <w:szCs w:val="28"/>
        </w:rPr>
        <w:t>, the periodic payments envisioned by the CIP Agreement are automatic defined payments: $100,000 on the anniversary of the production from the Lands annually</w:t>
      </w:r>
      <w:r w:rsidR="00E51C6F" w:rsidRPr="00782E10">
        <w:rPr>
          <w:rFonts w:ascii="Times New Roman" w:hAnsi="Times New Roman" w:cs="Times New Roman"/>
          <w:bCs/>
          <w:sz w:val="28"/>
          <w:szCs w:val="28"/>
        </w:rPr>
        <w:t xml:space="preserve">. </w:t>
      </w:r>
    </w:p>
    <w:p w14:paraId="56CED3D7" w14:textId="77777777" w:rsidR="008C6857" w:rsidRDefault="008C6857" w:rsidP="008C6857">
      <w:pPr>
        <w:pStyle w:val="ListParagraph"/>
        <w:spacing w:after="0" w:line="240" w:lineRule="auto"/>
        <w:ind w:left="0"/>
        <w:jc w:val="both"/>
        <w:rPr>
          <w:rFonts w:ascii="Times New Roman" w:hAnsi="Times New Roman" w:cs="Times New Roman"/>
          <w:bCs/>
          <w:sz w:val="28"/>
          <w:szCs w:val="28"/>
        </w:rPr>
      </w:pPr>
    </w:p>
    <w:p w14:paraId="5CA7502A" w14:textId="1B535949" w:rsidR="008F0A37" w:rsidRPr="008C6857" w:rsidRDefault="008C6857" w:rsidP="003E58F1">
      <w:pPr>
        <w:pStyle w:val="ListParagraph"/>
        <w:numPr>
          <w:ilvl w:val="0"/>
          <w:numId w:val="1"/>
        </w:numPr>
        <w:spacing w:after="0" w:line="240" w:lineRule="auto"/>
        <w:jc w:val="both"/>
        <w:rPr>
          <w:rFonts w:ascii="Times New Roman" w:hAnsi="Times New Roman" w:cs="Times New Roman"/>
          <w:bCs/>
          <w:sz w:val="28"/>
          <w:szCs w:val="28"/>
        </w:rPr>
      </w:pPr>
      <w:r w:rsidRPr="002B70DA">
        <w:rPr>
          <w:rFonts w:ascii="Times New Roman" w:hAnsi="Times New Roman" w:cs="Times New Roman"/>
          <w:bCs/>
          <w:sz w:val="28"/>
          <w:szCs w:val="28"/>
        </w:rPr>
        <w:t>ADK relies on</w:t>
      </w:r>
      <w:r w:rsidR="00C11FFC">
        <w:rPr>
          <w:rFonts w:ascii="Times New Roman" w:hAnsi="Times New Roman" w:cs="Times New Roman"/>
          <w:bCs/>
          <w:sz w:val="28"/>
          <w:szCs w:val="28"/>
        </w:rPr>
        <w:t xml:space="preserve"> </w:t>
      </w:r>
      <w:r w:rsidRPr="002B70DA">
        <w:rPr>
          <w:rFonts w:ascii="Times New Roman" w:hAnsi="Times New Roman" w:cs="Times New Roman"/>
          <w:bCs/>
          <w:i/>
          <w:iCs/>
          <w:sz w:val="28"/>
          <w:szCs w:val="28"/>
        </w:rPr>
        <w:t>Richards v Sun Life Assurance Co. of Canada</w:t>
      </w:r>
      <w:r>
        <w:rPr>
          <w:rFonts w:ascii="Times New Roman" w:hAnsi="Times New Roman" w:cs="Times New Roman"/>
          <w:bCs/>
          <w:sz w:val="28"/>
          <w:szCs w:val="28"/>
        </w:rPr>
        <w:t>, 2016 ONSC 592 [</w:t>
      </w:r>
      <w:r w:rsidRPr="007A3B69">
        <w:rPr>
          <w:rFonts w:ascii="Times New Roman" w:hAnsi="Times New Roman" w:cs="Times New Roman"/>
          <w:bCs/>
          <w:i/>
          <w:iCs/>
          <w:sz w:val="28"/>
          <w:szCs w:val="28"/>
        </w:rPr>
        <w:t>Richards</w:t>
      </w:r>
      <w:r>
        <w:rPr>
          <w:rFonts w:ascii="Times New Roman" w:hAnsi="Times New Roman" w:cs="Times New Roman"/>
          <w:bCs/>
          <w:sz w:val="28"/>
          <w:szCs w:val="28"/>
        </w:rPr>
        <w:t>], a case involving a claim for disability benefits under a group policy insurance. Th</w:t>
      </w:r>
      <w:r w:rsidR="00BE6A2E">
        <w:rPr>
          <w:rFonts w:ascii="Times New Roman" w:hAnsi="Times New Roman" w:cs="Times New Roman"/>
          <w:bCs/>
          <w:sz w:val="28"/>
          <w:szCs w:val="28"/>
        </w:rPr>
        <w:t>at</w:t>
      </w:r>
      <w:r>
        <w:rPr>
          <w:rFonts w:ascii="Times New Roman" w:hAnsi="Times New Roman" w:cs="Times New Roman"/>
          <w:bCs/>
          <w:sz w:val="28"/>
          <w:szCs w:val="28"/>
        </w:rPr>
        <w:t xml:space="preserve"> decision makes a distinction between</w:t>
      </w:r>
      <w:r w:rsidR="00100797">
        <w:rPr>
          <w:rFonts w:ascii="Times New Roman" w:hAnsi="Times New Roman" w:cs="Times New Roman"/>
          <w:bCs/>
          <w:sz w:val="28"/>
          <w:szCs w:val="28"/>
        </w:rPr>
        <w:t xml:space="preserve"> two types of</w:t>
      </w:r>
      <w:r>
        <w:rPr>
          <w:rFonts w:ascii="Times New Roman" w:hAnsi="Times New Roman" w:cs="Times New Roman"/>
          <w:bCs/>
          <w:sz w:val="28"/>
          <w:szCs w:val="28"/>
        </w:rPr>
        <w:t xml:space="preserve"> cases</w:t>
      </w:r>
      <w:r w:rsidR="00100797">
        <w:rPr>
          <w:rFonts w:ascii="Times New Roman" w:hAnsi="Times New Roman" w:cs="Times New Roman"/>
          <w:bCs/>
          <w:sz w:val="28"/>
          <w:szCs w:val="28"/>
        </w:rPr>
        <w:t xml:space="preserve">. </w:t>
      </w:r>
      <w:r w:rsidR="009025A0">
        <w:rPr>
          <w:rFonts w:ascii="Times New Roman" w:hAnsi="Times New Roman" w:cs="Times New Roman"/>
          <w:bCs/>
          <w:sz w:val="28"/>
          <w:szCs w:val="28"/>
        </w:rPr>
        <w:t xml:space="preserve">The first </w:t>
      </w:r>
      <w:r w:rsidR="009025A0">
        <w:rPr>
          <w:rFonts w:ascii="Times New Roman" w:hAnsi="Times New Roman" w:cs="Times New Roman"/>
          <w:bCs/>
          <w:sz w:val="28"/>
          <w:szCs w:val="28"/>
        </w:rPr>
        <w:lastRenderedPageBreak/>
        <w:t>type of</w:t>
      </w:r>
      <w:r w:rsidR="00100797">
        <w:rPr>
          <w:rFonts w:ascii="Times New Roman" w:hAnsi="Times New Roman" w:cs="Times New Roman"/>
          <w:bCs/>
          <w:sz w:val="28"/>
          <w:szCs w:val="28"/>
        </w:rPr>
        <w:t xml:space="preserve"> cases</w:t>
      </w:r>
      <w:r w:rsidR="00244FB1">
        <w:rPr>
          <w:rFonts w:ascii="Times New Roman" w:hAnsi="Times New Roman" w:cs="Times New Roman"/>
          <w:bCs/>
          <w:sz w:val="28"/>
          <w:szCs w:val="28"/>
        </w:rPr>
        <w:t xml:space="preserve"> is</w:t>
      </w:r>
      <w:r>
        <w:rPr>
          <w:rFonts w:ascii="Times New Roman" w:hAnsi="Times New Roman" w:cs="Times New Roman"/>
          <w:bCs/>
          <w:sz w:val="28"/>
          <w:szCs w:val="28"/>
        </w:rPr>
        <w:t xml:space="preserve"> </w:t>
      </w:r>
      <w:r w:rsidR="00795EE2">
        <w:rPr>
          <w:rFonts w:ascii="Times New Roman" w:hAnsi="Times New Roman" w:cs="Times New Roman"/>
          <w:bCs/>
          <w:sz w:val="28"/>
          <w:szCs w:val="28"/>
        </w:rPr>
        <w:t>when</w:t>
      </w:r>
      <w:r>
        <w:rPr>
          <w:rFonts w:ascii="Times New Roman" w:hAnsi="Times New Roman" w:cs="Times New Roman"/>
          <w:bCs/>
          <w:sz w:val="28"/>
          <w:szCs w:val="28"/>
        </w:rPr>
        <w:t xml:space="preserve"> the issue is whether certain payments to which the plaintiff is entitled have been made</w:t>
      </w:r>
      <w:r w:rsidR="00A914A2">
        <w:rPr>
          <w:rFonts w:ascii="Times New Roman" w:hAnsi="Times New Roman" w:cs="Times New Roman"/>
          <w:bCs/>
          <w:sz w:val="28"/>
          <w:szCs w:val="28"/>
        </w:rPr>
        <w:t>,</w:t>
      </w:r>
      <w:r w:rsidR="005C726D">
        <w:rPr>
          <w:rFonts w:ascii="Times New Roman" w:hAnsi="Times New Roman" w:cs="Times New Roman"/>
          <w:bCs/>
          <w:sz w:val="28"/>
          <w:szCs w:val="28"/>
        </w:rPr>
        <w:t xml:space="preserve"> </w:t>
      </w:r>
      <w:r w:rsidR="00A914A2">
        <w:rPr>
          <w:rFonts w:ascii="Times New Roman" w:hAnsi="Times New Roman" w:cs="Times New Roman"/>
          <w:bCs/>
          <w:sz w:val="28"/>
          <w:szCs w:val="28"/>
        </w:rPr>
        <w:t xml:space="preserve">where </w:t>
      </w:r>
      <w:r>
        <w:rPr>
          <w:rFonts w:ascii="Times New Roman" w:hAnsi="Times New Roman" w:cs="Times New Roman"/>
          <w:bCs/>
          <w:sz w:val="28"/>
          <w:szCs w:val="28"/>
        </w:rPr>
        <w:t>the material facts arise on a periodic basis</w:t>
      </w:r>
      <w:r w:rsidR="00824463">
        <w:rPr>
          <w:rFonts w:ascii="Times New Roman" w:hAnsi="Times New Roman" w:cs="Times New Roman"/>
          <w:bCs/>
          <w:sz w:val="28"/>
          <w:szCs w:val="28"/>
        </w:rPr>
        <w:t xml:space="preserve">. </w:t>
      </w:r>
      <w:r w:rsidR="00244FB1">
        <w:rPr>
          <w:rFonts w:ascii="Times New Roman" w:hAnsi="Times New Roman" w:cs="Times New Roman"/>
          <w:bCs/>
          <w:sz w:val="28"/>
          <w:szCs w:val="28"/>
        </w:rPr>
        <w:t>The second type of</w:t>
      </w:r>
      <w:r>
        <w:rPr>
          <w:rFonts w:ascii="Times New Roman" w:hAnsi="Times New Roman" w:cs="Times New Roman"/>
          <w:bCs/>
          <w:sz w:val="28"/>
          <w:szCs w:val="28"/>
        </w:rPr>
        <w:t xml:space="preserve"> </w:t>
      </w:r>
      <w:r w:rsidRPr="00C66AD9">
        <w:rPr>
          <w:rFonts w:ascii="Times New Roman" w:hAnsi="Times New Roman" w:cs="Times New Roman"/>
          <w:bCs/>
          <w:sz w:val="28"/>
          <w:szCs w:val="28"/>
        </w:rPr>
        <w:t>cases</w:t>
      </w:r>
      <w:r w:rsidR="00244FB1" w:rsidRPr="00C66AD9">
        <w:rPr>
          <w:rFonts w:ascii="Times New Roman" w:hAnsi="Times New Roman" w:cs="Times New Roman"/>
          <w:bCs/>
          <w:sz w:val="28"/>
          <w:szCs w:val="28"/>
        </w:rPr>
        <w:t xml:space="preserve"> arise</w:t>
      </w:r>
      <w:r w:rsidR="00244FB1">
        <w:rPr>
          <w:rFonts w:ascii="Times New Roman" w:hAnsi="Times New Roman" w:cs="Times New Roman"/>
          <w:bCs/>
          <w:sz w:val="28"/>
          <w:szCs w:val="28"/>
        </w:rPr>
        <w:t xml:space="preserve"> when</w:t>
      </w:r>
      <w:r>
        <w:rPr>
          <w:rFonts w:ascii="Times New Roman" w:hAnsi="Times New Roman" w:cs="Times New Roman"/>
          <w:bCs/>
          <w:sz w:val="28"/>
          <w:szCs w:val="28"/>
        </w:rPr>
        <w:t xml:space="preserve"> the question is whether the plaintiff was entitled to the period</w:t>
      </w:r>
      <w:r w:rsidR="001B1154">
        <w:rPr>
          <w:rFonts w:ascii="Times New Roman" w:hAnsi="Times New Roman" w:cs="Times New Roman"/>
          <w:bCs/>
          <w:sz w:val="28"/>
          <w:szCs w:val="28"/>
        </w:rPr>
        <w:t>ic</w:t>
      </w:r>
      <w:r>
        <w:rPr>
          <w:rFonts w:ascii="Times New Roman" w:hAnsi="Times New Roman" w:cs="Times New Roman"/>
          <w:bCs/>
          <w:sz w:val="28"/>
          <w:szCs w:val="28"/>
        </w:rPr>
        <w:t xml:space="preserve"> payments in the first place, where the material facts arise when the plaintiff alleges it became entitled to the period</w:t>
      </w:r>
      <w:r w:rsidR="00B573B8">
        <w:rPr>
          <w:rFonts w:ascii="Times New Roman" w:hAnsi="Times New Roman" w:cs="Times New Roman"/>
          <w:bCs/>
          <w:sz w:val="28"/>
          <w:szCs w:val="28"/>
        </w:rPr>
        <w:t>ic</w:t>
      </w:r>
      <w:r>
        <w:rPr>
          <w:rFonts w:ascii="Times New Roman" w:hAnsi="Times New Roman" w:cs="Times New Roman"/>
          <w:bCs/>
          <w:sz w:val="28"/>
          <w:szCs w:val="28"/>
        </w:rPr>
        <w:t xml:space="preserve"> payments. </w:t>
      </w:r>
      <w:r w:rsidR="00031FA3">
        <w:rPr>
          <w:rFonts w:ascii="Times New Roman" w:hAnsi="Times New Roman" w:cs="Times New Roman"/>
          <w:bCs/>
          <w:sz w:val="28"/>
          <w:szCs w:val="28"/>
        </w:rPr>
        <w:t>The</w:t>
      </w:r>
      <w:r>
        <w:rPr>
          <w:rFonts w:ascii="Times New Roman" w:hAnsi="Times New Roman" w:cs="Times New Roman"/>
          <w:bCs/>
          <w:sz w:val="28"/>
          <w:szCs w:val="28"/>
        </w:rPr>
        <w:t xml:space="preserve"> </w:t>
      </w:r>
      <w:r w:rsidR="00B53FDF">
        <w:rPr>
          <w:rFonts w:ascii="Times New Roman" w:hAnsi="Times New Roman" w:cs="Times New Roman"/>
          <w:bCs/>
          <w:sz w:val="28"/>
          <w:szCs w:val="28"/>
        </w:rPr>
        <w:t>c</w:t>
      </w:r>
      <w:r>
        <w:rPr>
          <w:rFonts w:ascii="Times New Roman" w:hAnsi="Times New Roman" w:cs="Times New Roman"/>
          <w:bCs/>
          <w:sz w:val="28"/>
          <w:szCs w:val="28"/>
        </w:rPr>
        <w:t xml:space="preserve">ourt </w:t>
      </w:r>
      <w:r w:rsidR="003721EC">
        <w:rPr>
          <w:rFonts w:ascii="Times New Roman" w:hAnsi="Times New Roman" w:cs="Times New Roman"/>
          <w:bCs/>
          <w:sz w:val="28"/>
          <w:szCs w:val="28"/>
        </w:rPr>
        <w:t>found</w:t>
      </w:r>
      <w:r>
        <w:rPr>
          <w:rFonts w:ascii="Times New Roman" w:hAnsi="Times New Roman" w:cs="Times New Roman"/>
          <w:bCs/>
          <w:sz w:val="28"/>
          <w:szCs w:val="28"/>
        </w:rPr>
        <w:t xml:space="preserve"> that a rolling limitation period does not apply in the later as “it would be unfair to require the defendant to litigate those facts, for a potentially unlimited period of time” (para 26). In the present </w:t>
      </w:r>
      <w:r w:rsidR="00A36A26">
        <w:rPr>
          <w:rFonts w:ascii="Times New Roman" w:hAnsi="Times New Roman" w:cs="Times New Roman"/>
          <w:bCs/>
          <w:sz w:val="28"/>
          <w:szCs w:val="28"/>
        </w:rPr>
        <w:t>matter</w:t>
      </w:r>
      <w:r>
        <w:rPr>
          <w:rFonts w:ascii="Times New Roman" w:hAnsi="Times New Roman" w:cs="Times New Roman"/>
          <w:bCs/>
          <w:sz w:val="28"/>
          <w:szCs w:val="28"/>
        </w:rPr>
        <w:t>, the issue is not whether certain payments were made. The parties agree Paramount</w:t>
      </w:r>
      <w:r w:rsidR="00DD64FE">
        <w:rPr>
          <w:rFonts w:ascii="Times New Roman" w:hAnsi="Times New Roman" w:cs="Times New Roman"/>
          <w:bCs/>
          <w:sz w:val="28"/>
          <w:szCs w:val="28"/>
        </w:rPr>
        <w:t xml:space="preserve"> only</w:t>
      </w:r>
      <w:r>
        <w:rPr>
          <w:rFonts w:ascii="Times New Roman" w:hAnsi="Times New Roman" w:cs="Times New Roman"/>
          <w:bCs/>
          <w:sz w:val="28"/>
          <w:szCs w:val="28"/>
        </w:rPr>
        <w:t xml:space="preserve"> made the annual payments from 2000 to 2008. The question is whether ADK was entitled to any further payments following the </w:t>
      </w:r>
      <w:proofErr w:type="spellStart"/>
      <w:r>
        <w:rPr>
          <w:rFonts w:ascii="Times New Roman" w:hAnsi="Times New Roman" w:cs="Times New Roman"/>
          <w:bCs/>
          <w:sz w:val="28"/>
          <w:szCs w:val="28"/>
        </w:rPr>
        <w:t>Shiha</w:t>
      </w:r>
      <w:proofErr w:type="spellEnd"/>
      <w:r>
        <w:rPr>
          <w:rFonts w:ascii="Times New Roman" w:hAnsi="Times New Roman" w:cs="Times New Roman"/>
          <w:bCs/>
          <w:sz w:val="28"/>
          <w:szCs w:val="28"/>
        </w:rPr>
        <w:t xml:space="preserve"> </w:t>
      </w:r>
      <w:r w:rsidR="005B0F9C">
        <w:rPr>
          <w:rFonts w:ascii="Times New Roman" w:hAnsi="Times New Roman" w:cs="Times New Roman"/>
          <w:bCs/>
          <w:sz w:val="28"/>
          <w:szCs w:val="28"/>
        </w:rPr>
        <w:t>D</w:t>
      </w:r>
      <w:r>
        <w:rPr>
          <w:rFonts w:ascii="Times New Roman" w:hAnsi="Times New Roman" w:cs="Times New Roman"/>
          <w:bCs/>
          <w:sz w:val="28"/>
          <w:szCs w:val="28"/>
        </w:rPr>
        <w:t xml:space="preserve">istribution, making this case fall into the second type of cases described in </w:t>
      </w:r>
      <w:r w:rsidRPr="00891832">
        <w:rPr>
          <w:rFonts w:ascii="Times New Roman" w:hAnsi="Times New Roman" w:cs="Times New Roman"/>
          <w:bCs/>
          <w:i/>
          <w:iCs/>
          <w:sz w:val="28"/>
          <w:szCs w:val="28"/>
        </w:rPr>
        <w:t>Richards</w:t>
      </w:r>
      <w:r>
        <w:rPr>
          <w:rFonts w:ascii="Times New Roman" w:hAnsi="Times New Roman" w:cs="Times New Roman"/>
          <w:bCs/>
          <w:sz w:val="28"/>
          <w:szCs w:val="28"/>
        </w:rPr>
        <w:t xml:space="preserve"> where a rolling limitation does not apply. </w:t>
      </w:r>
    </w:p>
    <w:p w14:paraId="2D931BDF" w14:textId="77777777" w:rsidR="008F0A37" w:rsidRPr="008F0A37" w:rsidRDefault="008F0A37" w:rsidP="008F0A37">
      <w:pPr>
        <w:pStyle w:val="ListParagraph"/>
        <w:rPr>
          <w:rFonts w:ascii="Times New Roman" w:hAnsi="Times New Roman" w:cs="Times New Roman"/>
          <w:bCs/>
          <w:sz w:val="28"/>
          <w:szCs w:val="28"/>
        </w:rPr>
      </w:pPr>
    </w:p>
    <w:p w14:paraId="02C880F2" w14:textId="0B6DA679" w:rsidR="00974108" w:rsidRDefault="00784611" w:rsidP="002D067B">
      <w:pPr>
        <w:pStyle w:val="ListParagraph"/>
        <w:numPr>
          <w:ilvl w:val="0"/>
          <w:numId w:val="1"/>
        </w:numPr>
        <w:spacing w:after="0" w:line="240" w:lineRule="auto"/>
        <w:jc w:val="both"/>
        <w:rPr>
          <w:rFonts w:ascii="Times New Roman" w:hAnsi="Times New Roman" w:cs="Times New Roman"/>
          <w:bCs/>
          <w:sz w:val="28"/>
          <w:szCs w:val="28"/>
        </w:rPr>
      </w:pPr>
      <w:r w:rsidRPr="00147BD1">
        <w:rPr>
          <w:rFonts w:ascii="Times New Roman" w:hAnsi="Times New Roman" w:cs="Times New Roman"/>
          <w:bCs/>
          <w:sz w:val="28"/>
          <w:szCs w:val="28"/>
        </w:rPr>
        <w:t xml:space="preserve">In </w:t>
      </w:r>
      <w:proofErr w:type="spellStart"/>
      <w:r w:rsidRPr="00147BD1">
        <w:rPr>
          <w:rFonts w:ascii="Times New Roman" w:hAnsi="Times New Roman" w:cs="Times New Roman"/>
          <w:bCs/>
          <w:i/>
          <w:iCs/>
          <w:sz w:val="28"/>
          <w:szCs w:val="28"/>
        </w:rPr>
        <w:t>Karkhanechi</w:t>
      </w:r>
      <w:proofErr w:type="spellEnd"/>
      <w:r w:rsidRPr="00147BD1">
        <w:rPr>
          <w:rFonts w:ascii="Times New Roman" w:hAnsi="Times New Roman" w:cs="Times New Roman"/>
          <w:bCs/>
          <w:i/>
          <w:iCs/>
          <w:sz w:val="28"/>
          <w:szCs w:val="28"/>
        </w:rPr>
        <w:t xml:space="preserve"> v Connor, Clark &amp; Lunn Financial Group Ltd</w:t>
      </w:r>
      <w:r w:rsidRPr="00147BD1">
        <w:rPr>
          <w:rFonts w:ascii="Times New Roman" w:hAnsi="Times New Roman" w:cs="Times New Roman"/>
          <w:bCs/>
          <w:sz w:val="28"/>
          <w:szCs w:val="28"/>
        </w:rPr>
        <w:t>, 2022 ONCA 518</w:t>
      </w:r>
      <w:r w:rsidR="00147BD1" w:rsidRPr="00147BD1">
        <w:rPr>
          <w:rFonts w:ascii="Times New Roman" w:hAnsi="Times New Roman" w:cs="Times New Roman"/>
          <w:bCs/>
          <w:sz w:val="28"/>
          <w:szCs w:val="28"/>
        </w:rPr>
        <w:t xml:space="preserve"> [</w:t>
      </w:r>
      <w:proofErr w:type="spellStart"/>
      <w:r w:rsidR="00147BD1" w:rsidRPr="00147BD1">
        <w:rPr>
          <w:rFonts w:ascii="Times New Roman" w:hAnsi="Times New Roman" w:cs="Times New Roman"/>
          <w:bCs/>
          <w:i/>
          <w:iCs/>
          <w:sz w:val="28"/>
          <w:szCs w:val="28"/>
        </w:rPr>
        <w:t>Karkhanechi</w:t>
      </w:r>
      <w:proofErr w:type="spellEnd"/>
      <w:r w:rsidR="00147BD1" w:rsidRPr="00147BD1">
        <w:rPr>
          <w:rFonts w:ascii="Times New Roman" w:hAnsi="Times New Roman" w:cs="Times New Roman"/>
          <w:bCs/>
          <w:sz w:val="28"/>
          <w:szCs w:val="28"/>
        </w:rPr>
        <w:t>]</w:t>
      </w:r>
      <w:r w:rsidR="003A7BD5">
        <w:rPr>
          <w:rFonts w:ascii="Times New Roman" w:hAnsi="Times New Roman" w:cs="Times New Roman"/>
          <w:bCs/>
          <w:sz w:val="28"/>
          <w:szCs w:val="28"/>
        </w:rPr>
        <w:t xml:space="preserve"> (application for leave to appeal to the </w:t>
      </w:r>
      <w:r w:rsidR="008A4B69">
        <w:rPr>
          <w:rFonts w:ascii="Times New Roman" w:hAnsi="Times New Roman" w:cs="Times New Roman"/>
          <w:bCs/>
          <w:sz w:val="28"/>
          <w:szCs w:val="28"/>
        </w:rPr>
        <w:t xml:space="preserve">SCC refused, </w:t>
      </w:r>
      <w:r w:rsidR="008A4B69" w:rsidRPr="008A4B69">
        <w:rPr>
          <w:rFonts w:ascii="Times New Roman" w:hAnsi="Times New Roman" w:cs="Times New Roman"/>
          <w:bCs/>
          <w:sz w:val="28"/>
          <w:szCs w:val="28"/>
        </w:rPr>
        <w:t>2023 CanLII 31583 (SCC)</w:t>
      </w:r>
      <w:r w:rsidR="003A7BD5">
        <w:rPr>
          <w:rFonts w:ascii="Times New Roman" w:hAnsi="Times New Roman" w:cs="Times New Roman"/>
          <w:bCs/>
          <w:sz w:val="28"/>
          <w:szCs w:val="28"/>
        </w:rPr>
        <w:t>)</w:t>
      </w:r>
      <w:r w:rsidRPr="00147BD1">
        <w:rPr>
          <w:rFonts w:ascii="Times New Roman" w:hAnsi="Times New Roman" w:cs="Times New Roman"/>
          <w:bCs/>
          <w:sz w:val="28"/>
          <w:szCs w:val="28"/>
        </w:rPr>
        <w:t xml:space="preserve">, </w:t>
      </w:r>
      <w:r w:rsidR="00223DC7" w:rsidRPr="00147BD1">
        <w:rPr>
          <w:rFonts w:ascii="Times New Roman" w:hAnsi="Times New Roman" w:cs="Times New Roman"/>
          <w:bCs/>
          <w:sz w:val="28"/>
          <w:szCs w:val="28"/>
        </w:rPr>
        <w:t>the plaintiff alleged a breach of a post-retirement agreement</w:t>
      </w:r>
      <w:r w:rsidR="00415DF2" w:rsidRPr="00147BD1">
        <w:rPr>
          <w:rFonts w:ascii="Times New Roman" w:hAnsi="Times New Roman" w:cs="Times New Roman"/>
          <w:bCs/>
          <w:sz w:val="28"/>
          <w:szCs w:val="28"/>
        </w:rPr>
        <w:t>.</w:t>
      </w:r>
      <w:r w:rsidR="00FA0364" w:rsidRPr="00147BD1">
        <w:rPr>
          <w:rFonts w:ascii="Times New Roman" w:hAnsi="Times New Roman" w:cs="Times New Roman"/>
          <w:bCs/>
          <w:sz w:val="28"/>
          <w:szCs w:val="28"/>
        </w:rPr>
        <w:t xml:space="preserve"> </w:t>
      </w:r>
      <w:r w:rsidR="00BC6C4B" w:rsidRPr="00147BD1">
        <w:rPr>
          <w:rFonts w:ascii="Times New Roman" w:hAnsi="Times New Roman" w:cs="Times New Roman"/>
          <w:bCs/>
          <w:sz w:val="28"/>
          <w:szCs w:val="28"/>
        </w:rPr>
        <w:t xml:space="preserve">Shortly after the date of retirement, </w:t>
      </w:r>
      <w:r w:rsidR="006B4112" w:rsidRPr="00147BD1">
        <w:rPr>
          <w:rFonts w:ascii="Times New Roman" w:hAnsi="Times New Roman" w:cs="Times New Roman"/>
          <w:bCs/>
          <w:sz w:val="28"/>
          <w:szCs w:val="28"/>
        </w:rPr>
        <w:t xml:space="preserve">the plaintiff </w:t>
      </w:r>
      <w:r w:rsidR="00B954FB" w:rsidRPr="00147BD1">
        <w:rPr>
          <w:rFonts w:ascii="Times New Roman" w:hAnsi="Times New Roman" w:cs="Times New Roman"/>
          <w:bCs/>
          <w:sz w:val="28"/>
          <w:szCs w:val="28"/>
        </w:rPr>
        <w:t xml:space="preserve">received </w:t>
      </w:r>
      <w:r w:rsidR="00A25831" w:rsidRPr="00147BD1">
        <w:rPr>
          <w:rFonts w:ascii="Times New Roman" w:hAnsi="Times New Roman" w:cs="Times New Roman"/>
          <w:bCs/>
          <w:sz w:val="28"/>
          <w:szCs w:val="28"/>
        </w:rPr>
        <w:t>the first of payments that</w:t>
      </w:r>
      <w:r w:rsidR="00B954FB" w:rsidRPr="00147BD1">
        <w:rPr>
          <w:rFonts w:ascii="Times New Roman" w:hAnsi="Times New Roman" w:cs="Times New Roman"/>
          <w:bCs/>
          <w:sz w:val="28"/>
          <w:szCs w:val="28"/>
        </w:rPr>
        <w:t xml:space="preserve"> were to be made each fiscal quarter</w:t>
      </w:r>
      <w:r w:rsidR="00BC6C4B" w:rsidRPr="00147BD1">
        <w:rPr>
          <w:rFonts w:ascii="Times New Roman" w:hAnsi="Times New Roman" w:cs="Times New Roman"/>
          <w:bCs/>
          <w:sz w:val="28"/>
          <w:szCs w:val="28"/>
        </w:rPr>
        <w:t xml:space="preserve"> </w:t>
      </w:r>
      <w:r w:rsidR="003041CC" w:rsidRPr="00147BD1">
        <w:rPr>
          <w:rFonts w:ascii="Times New Roman" w:hAnsi="Times New Roman" w:cs="Times New Roman"/>
          <w:bCs/>
          <w:sz w:val="28"/>
          <w:szCs w:val="28"/>
        </w:rPr>
        <w:t>for a limited period</w:t>
      </w:r>
      <w:r w:rsidR="00147BD1" w:rsidRPr="00147BD1">
        <w:rPr>
          <w:rFonts w:ascii="Times New Roman" w:hAnsi="Times New Roman" w:cs="Times New Roman"/>
          <w:bCs/>
          <w:sz w:val="28"/>
          <w:szCs w:val="28"/>
        </w:rPr>
        <w:t xml:space="preserve">. There </w:t>
      </w:r>
      <w:r w:rsidR="00BC6C4B" w:rsidRPr="00147BD1">
        <w:rPr>
          <w:rFonts w:ascii="Times New Roman" w:hAnsi="Times New Roman" w:cs="Times New Roman"/>
          <w:bCs/>
          <w:sz w:val="28"/>
          <w:szCs w:val="28"/>
        </w:rPr>
        <w:t xml:space="preserve">was a disagreement between the parties on the plaintiff’s entitlement to </w:t>
      </w:r>
      <w:r w:rsidR="00DA2885" w:rsidRPr="00147BD1">
        <w:rPr>
          <w:rFonts w:ascii="Times New Roman" w:hAnsi="Times New Roman" w:cs="Times New Roman"/>
          <w:bCs/>
          <w:sz w:val="28"/>
          <w:szCs w:val="28"/>
        </w:rPr>
        <w:t xml:space="preserve">receive additional amounts. </w:t>
      </w:r>
      <w:r w:rsidR="00534D4B" w:rsidRPr="00147BD1">
        <w:rPr>
          <w:rFonts w:ascii="Times New Roman" w:hAnsi="Times New Roman" w:cs="Times New Roman"/>
          <w:bCs/>
          <w:sz w:val="28"/>
          <w:szCs w:val="28"/>
        </w:rPr>
        <w:t>The plaintiff</w:t>
      </w:r>
      <w:r w:rsidR="00C90B42" w:rsidRPr="00147BD1">
        <w:rPr>
          <w:rFonts w:ascii="Times New Roman" w:hAnsi="Times New Roman" w:cs="Times New Roman"/>
          <w:bCs/>
          <w:sz w:val="28"/>
          <w:szCs w:val="28"/>
        </w:rPr>
        <w:t xml:space="preserve"> raised concerns about the amounts paid but after receiving </w:t>
      </w:r>
      <w:r w:rsidR="003B2BF5" w:rsidRPr="00147BD1">
        <w:rPr>
          <w:rFonts w:ascii="Times New Roman" w:hAnsi="Times New Roman" w:cs="Times New Roman"/>
          <w:bCs/>
          <w:sz w:val="28"/>
          <w:szCs w:val="28"/>
        </w:rPr>
        <w:t xml:space="preserve">a response </w:t>
      </w:r>
      <w:r w:rsidR="00D75892" w:rsidRPr="00147BD1">
        <w:rPr>
          <w:rFonts w:ascii="Times New Roman" w:hAnsi="Times New Roman" w:cs="Times New Roman"/>
          <w:bCs/>
          <w:sz w:val="28"/>
          <w:szCs w:val="28"/>
        </w:rPr>
        <w:t xml:space="preserve">from the </w:t>
      </w:r>
      <w:r w:rsidR="005F0076">
        <w:rPr>
          <w:rFonts w:ascii="Times New Roman" w:hAnsi="Times New Roman" w:cs="Times New Roman"/>
          <w:bCs/>
          <w:sz w:val="28"/>
          <w:szCs w:val="28"/>
        </w:rPr>
        <w:t>respondent’s</w:t>
      </w:r>
      <w:r w:rsidR="00D75892" w:rsidRPr="00147BD1">
        <w:rPr>
          <w:rFonts w:ascii="Times New Roman" w:hAnsi="Times New Roman" w:cs="Times New Roman"/>
          <w:bCs/>
          <w:sz w:val="28"/>
          <w:szCs w:val="28"/>
        </w:rPr>
        <w:t xml:space="preserve"> counsel, took no action for over two years (the statutory limitation period). </w:t>
      </w:r>
      <w:r w:rsidR="006B4112" w:rsidRPr="00147BD1">
        <w:rPr>
          <w:rFonts w:ascii="Times New Roman" w:hAnsi="Times New Roman" w:cs="Times New Roman"/>
          <w:bCs/>
          <w:sz w:val="28"/>
          <w:szCs w:val="28"/>
        </w:rPr>
        <w:t>The motion judge found the action was statute barred</w:t>
      </w:r>
      <w:r w:rsidR="00AF7BC0">
        <w:rPr>
          <w:rFonts w:ascii="Times New Roman" w:hAnsi="Times New Roman" w:cs="Times New Roman"/>
          <w:bCs/>
          <w:sz w:val="28"/>
          <w:szCs w:val="28"/>
        </w:rPr>
        <w:t xml:space="preserve">, </w:t>
      </w:r>
      <w:r w:rsidR="00337A68" w:rsidRPr="00147BD1">
        <w:rPr>
          <w:rFonts w:ascii="Times New Roman" w:hAnsi="Times New Roman" w:cs="Times New Roman"/>
          <w:bCs/>
          <w:sz w:val="28"/>
          <w:szCs w:val="28"/>
        </w:rPr>
        <w:t>ruling that no fresh cause of action arose with each quarterly payment the plaintiff claimed was deficient</w:t>
      </w:r>
      <w:r w:rsidR="006B4112" w:rsidRPr="00147BD1">
        <w:rPr>
          <w:rFonts w:ascii="Times New Roman" w:hAnsi="Times New Roman" w:cs="Times New Roman"/>
          <w:bCs/>
          <w:sz w:val="28"/>
          <w:szCs w:val="28"/>
        </w:rPr>
        <w:t>. The plaintiff appealed</w:t>
      </w:r>
      <w:r w:rsidR="005F0076">
        <w:rPr>
          <w:rFonts w:ascii="Times New Roman" w:hAnsi="Times New Roman" w:cs="Times New Roman"/>
          <w:bCs/>
          <w:sz w:val="28"/>
          <w:szCs w:val="28"/>
        </w:rPr>
        <w:t>,</w:t>
      </w:r>
      <w:r w:rsidR="006B4112" w:rsidRPr="00147BD1">
        <w:rPr>
          <w:rFonts w:ascii="Times New Roman" w:hAnsi="Times New Roman" w:cs="Times New Roman"/>
          <w:bCs/>
          <w:sz w:val="28"/>
          <w:szCs w:val="28"/>
        </w:rPr>
        <w:t xml:space="preserve"> alleging the motion judge failed to </w:t>
      </w:r>
      <w:r w:rsidR="00534D4B" w:rsidRPr="00147BD1">
        <w:rPr>
          <w:rFonts w:ascii="Times New Roman" w:hAnsi="Times New Roman" w:cs="Times New Roman"/>
          <w:bCs/>
          <w:sz w:val="28"/>
          <w:szCs w:val="28"/>
        </w:rPr>
        <w:t>apply a rolling limitation perio</w:t>
      </w:r>
      <w:r w:rsidR="00D019D7" w:rsidRPr="00147BD1">
        <w:rPr>
          <w:rFonts w:ascii="Times New Roman" w:hAnsi="Times New Roman" w:cs="Times New Roman"/>
          <w:bCs/>
          <w:sz w:val="28"/>
          <w:szCs w:val="28"/>
        </w:rPr>
        <w:t>d</w:t>
      </w:r>
      <w:r w:rsidR="00337A68" w:rsidRPr="00147BD1">
        <w:rPr>
          <w:rFonts w:ascii="Times New Roman" w:hAnsi="Times New Roman" w:cs="Times New Roman"/>
          <w:bCs/>
          <w:sz w:val="28"/>
          <w:szCs w:val="28"/>
        </w:rPr>
        <w:t xml:space="preserve">. </w:t>
      </w:r>
    </w:p>
    <w:p w14:paraId="610765C8" w14:textId="77777777" w:rsidR="00974108" w:rsidRPr="00974108" w:rsidRDefault="00974108" w:rsidP="00974108">
      <w:pPr>
        <w:pStyle w:val="ListParagraph"/>
        <w:rPr>
          <w:rFonts w:ascii="Times New Roman" w:hAnsi="Times New Roman" w:cs="Times New Roman"/>
          <w:bCs/>
          <w:sz w:val="28"/>
          <w:szCs w:val="28"/>
        </w:rPr>
      </w:pPr>
    </w:p>
    <w:p w14:paraId="4B924B97" w14:textId="4037F78A" w:rsidR="00147BD1" w:rsidRPr="002D067B" w:rsidRDefault="006141EE" w:rsidP="002D067B">
      <w:pPr>
        <w:pStyle w:val="ListParagraph"/>
        <w:numPr>
          <w:ilvl w:val="0"/>
          <w:numId w:val="1"/>
        </w:numPr>
        <w:spacing w:after="0" w:line="240" w:lineRule="auto"/>
        <w:jc w:val="both"/>
        <w:rPr>
          <w:rFonts w:ascii="Times New Roman" w:hAnsi="Times New Roman" w:cs="Times New Roman"/>
          <w:bCs/>
          <w:sz w:val="28"/>
          <w:szCs w:val="28"/>
        </w:rPr>
      </w:pPr>
      <w:r w:rsidRPr="0017219B">
        <w:rPr>
          <w:rFonts w:ascii="Times New Roman" w:hAnsi="Times New Roman" w:cs="Times New Roman"/>
          <w:bCs/>
          <w:sz w:val="28"/>
          <w:szCs w:val="28"/>
        </w:rPr>
        <w:t xml:space="preserve">The </w:t>
      </w:r>
      <w:r w:rsidR="0099731D">
        <w:rPr>
          <w:rFonts w:ascii="Times New Roman" w:hAnsi="Times New Roman" w:cs="Times New Roman"/>
          <w:bCs/>
          <w:sz w:val="28"/>
          <w:szCs w:val="28"/>
        </w:rPr>
        <w:t xml:space="preserve">Ontario </w:t>
      </w:r>
      <w:r w:rsidRPr="0017219B">
        <w:rPr>
          <w:rFonts w:ascii="Times New Roman" w:hAnsi="Times New Roman" w:cs="Times New Roman"/>
          <w:bCs/>
          <w:sz w:val="28"/>
          <w:szCs w:val="28"/>
        </w:rPr>
        <w:t>Court of Appeal helpfully review</w:t>
      </w:r>
      <w:r w:rsidR="00323970">
        <w:rPr>
          <w:rFonts w:ascii="Times New Roman" w:hAnsi="Times New Roman" w:cs="Times New Roman"/>
          <w:bCs/>
          <w:sz w:val="28"/>
          <w:szCs w:val="28"/>
        </w:rPr>
        <w:t>ed</w:t>
      </w:r>
      <w:r w:rsidRPr="0017219B">
        <w:rPr>
          <w:rFonts w:ascii="Times New Roman" w:hAnsi="Times New Roman" w:cs="Times New Roman"/>
          <w:bCs/>
          <w:sz w:val="28"/>
          <w:szCs w:val="28"/>
        </w:rPr>
        <w:t xml:space="preserve"> several of the authorities ADK relies on and summarized the legal principles that apply to periodic contractual obligations and rolling limitation periods.</w:t>
      </w:r>
      <w:r w:rsidR="00F37AD6">
        <w:rPr>
          <w:rFonts w:ascii="Times New Roman" w:hAnsi="Times New Roman" w:cs="Times New Roman"/>
          <w:bCs/>
          <w:sz w:val="28"/>
          <w:szCs w:val="28"/>
        </w:rPr>
        <w:t xml:space="preserve"> </w:t>
      </w:r>
      <w:r w:rsidR="00773401">
        <w:rPr>
          <w:rFonts w:ascii="Times New Roman" w:hAnsi="Times New Roman" w:cs="Times New Roman"/>
          <w:bCs/>
          <w:sz w:val="28"/>
          <w:szCs w:val="28"/>
        </w:rPr>
        <w:t xml:space="preserve">It </w:t>
      </w:r>
      <w:r w:rsidR="00943D83">
        <w:rPr>
          <w:rFonts w:ascii="Times New Roman" w:hAnsi="Times New Roman" w:cs="Times New Roman"/>
          <w:bCs/>
          <w:sz w:val="28"/>
          <w:szCs w:val="28"/>
        </w:rPr>
        <w:t>found that a rolling limitation period does no</w:t>
      </w:r>
      <w:r w:rsidR="008931A0">
        <w:rPr>
          <w:rFonts w:ascii="Times New Roman" w:hAnsi="Times New Roman" w:cs="Times New Roman"/>
          <w:bCs/>
          <w:sz w:val="28"/>
          <w:szCs w:val="28"/>
        </w:rPr>
        <w:t>t apply in all cases that involve a breach of a periodic obligation</w:t>
      </w:r>
      <w:r w:rsidR="00C157CC">
        <w:rPr>
          <w:rFonts w:ascii="Times New Roman" w:hAnsi="Times New Roman" w:cs="Times New Roman"/>
          <w:bCs/>
          <w:sz w:val="28"/>
          <w:szCs w:val="28"/>
        </w:rPr>
        <w:t xml:space="preserve"> (para</w:t>
      </w:r>
      <w:r w:rsidR="00974108">
        <w:rPr>
          <w:rFonts w:ascii="Times New Roman" w:hAnsi="Times New Roman" w:cs="Times New Roman"/>
          <w:bCs/>
          <w:sz w:val="28"/>
          <w:szCs w:val="28"/>
        </w:rPr>
        <w:t xml:space="preserve"> 23)</w:t>
      </w:r>
      <w:r w:rsidR="00B317BF">
        <w:rPr>
          <w:rFonts w:ascii="Times New Roman" w:hAnsi="Times New Roman" w:cs="Times New Roman"/>
          <w:bCs/>
          <w:sz w:val="28"/>
          <w:szCs w:val="28"/>
        </w:rPr>
        <w:t xml:space="preserve"> and rejected the proposition that the three categories of breaches identified above operate as </w:t>
      </w:r>
      <w:r w:rsidR="00B317BF" w:rsidRPr="00AA58D4">
        <w:rPr>
          <w:rFonts w:ascii="Times New Roman" w:hAnsi="Times New Roman" w:cs="Times New Roman"/>
          <w:bCs/>
          <w:sz w:val="28"/>
          <w:szCs w:val="28"/>
          <w:u w:val="single"/>
        </w:rPr>
        <w:t>the</w:t>
      </w:r>
      <w:r w:rsidR="00B317BF">
        <w:rPr>
          <w:rFonts w:ascii="Times New Roman" w:hAnsi="Times New Roman" w:cs="Times New Roman"/>
          <w:bCs/>
          <w:sz w:val="28"/>
          <w:szCs w:val="28"/>
        </w:rPr>
        <w:t xml:space="preserve"> test for identifying when a rolling limitation period applies (para 25). </w:t>
      </w:r>
      <w:r w:rsidR="0099731D">
        <w:rPr>
          <w:rFonts w:ascii="Times New Roman" w:hAnsi="Times New Roman" w:cs="Times New Roman"/>
          <w:bCs/>
          <w:sz w:val="28"/>
          <w:szCs w:val="28"/>
        </w:rPr>
        <w:t>The Court of Appeal</w:t>
      </w:r>
      <w:r w:rsidR="00781DDD">
        <w:rPr>
          <w:rFonts w:ascii="Times New Roman" w:hAnsi="Times New Roman" w:cs="Times New Roman"/>
          <w:bCs/>
          <w:sz w:val="28"/>
          <w:szCs w:val="28"/>
        </w:rPr>
        <w:t xml:space="preserve"> emphasized </w:t>
      </w:r>
      <w:r w:rsidR="00E5080B">
        <w:rPr>
          <w:rFonts w:ascii="Times New Roman" w:hAnsi="Times New Roman" w:cs="Times New Roman"/>
          <w:bCs/>
          <w:sz w:val="28"/>
          <w:szCs w:val="28"/>
        </w:rPr>
        <w:t>that because</w:t>
      </w:r>
      <w:r w:rsidR="00C157CC">
        <w:rPr>
          <w:rFonts w:ascii="Times New Roman" w:hAnsi="Times New Roman" w:cs="Times New Roman"/>
          <w:bCs/>
          <w:sz w:val="28"/>
          <w:szCs w:val="28"/>
        </w:rPr>
        <w:t xml:space="preserve"> rolling limitation is premised on the notion that</w:t>
      </w:r>
      <w:r w:rsidR="00D5024E">
        <w:rPr>
          <w:rFonts w:ascii="Times New Roman" w:hAnsi="Times New Roman" w:cs="Times New Roman"/>
          <w:bCs/>
          <w:sz w:val="28"/>
          <w:szCs w:val="28"/>
        </w:rPr>
        <w:t xml:space="preserve"> from</w:t>
      </w:r>
      <w:r w:rsidR="00C157CC">
        <w:rPr>
          <w:rFonts w:ascii="Times New Roman" w:hAnsi="Times New Roman" w:cs="Times New Roman"/>
          <w:bCs/>
          <w:sz w:val="28"/>
          <w:szCs w:val="28"/>
        </w:rPr>
        <w:t xml:space="preserve"> each new </w:t>
      </w:r>
      <w:r w:rsidR="00D5024E">
        <w:rPr>
          <w:rFonts w:ascii="Times New Roman" w:hAnsi="Times New Roman" w:cs="Times New Roman"/>
          <w:bCs/>
          <w:sz w:val="28"/>
          <w:szCs w:val="28"/>
        </w:rPr>
        <w:t xml:space="preserve">breach arises a new cause of action, </w:t>
      </w:r>
      <w:r w:rsidR="00781DDD">
        <w:rPr>
          <w:rFonts w:ascii="Times New Roman" w:hAnsi="Times New Roman" w:cs="Times New Roman"/>
          <w:bCs/>
          <w:sz w:val="28"/>
          <w:szCs w:val="28"/>
        </w:rPr>
        <w:t>t</w:t>
      </w:r>
      <w:r w:rsidR="00986132">
        <w:rPr>
          <w:rFonts w:ascii="Times New Roman" w:hAnsi="Times New Roman" w:cs="Times New Roman"/>
          <w:bCs/>
          <w:sz w:val="28"/>
          <w:szCs w:val="28"/>
        </w:rPr>
        <w:t>here is a material distinction between</w:t>
      </w:r>
      <w:r w:rsidR="00D5024E">
        <w:rPr>
          <w:rFonts w:ascii="Times New Roman" w:hAnsi="Times New Roman" w:cs="Times New Roman"/>
          <w:bCs/>
          <w:sz w:val="28"/>
          <w:szCs w:val="28"/>
        </w:rPr>
        <w:t xml:space="preserve"> </w:t>
      </w:r>
      <w:r w:rsidR="008006E4">
        <w:rPr>
          <w:rFonts w:ascii="Times New Roman" w:hAnsi="Times New Roman" w:cs="Times New Roman"/>
          <w:bCs/>
          <w:sz w:val="28"/>
          <w:szCs w:val="28"/>
        </w:rPr>
        <w:t>case</w:t>
      </w:r>
      <w:r w:rsidR="004E0D6F">
        <w:rPr>
          <w:rFonts w:ascii="Times New Roman" w:hAnsi="Times New Roman" w:cs="Times New Roman"/>
          <w:bCs/>
          <w:sz w:val="28"/>
          <w:szCs w:val="28"/>
        </w:rPr>
        <w:t xml:space="preserve">s </w:t>
      </w:r>
      <w:r w:rsidR="00D5024E">
        <w:rPr>
          <w:rFonts w:ascii="Times New Roman" w:hAnsi="Times New Roman" w:cs="Times New Roman"/>
          <w:bCs/>
          <w:sz w:val="28"/>
          <w:szCs w:val="28"/>
        </w:rPr>
        <w:t>that</w:t>
      </w:r>
      <w:r w:rsidR="008006E4">
        <w:rPr>
          <w:rFonts w:ascii="Times New Roman" w:hAnsi="Times New Roman" w:cs="Times New Roman"/>
          <w:bCs/>
          <w:sz w:val="28"/>
          <w:szCs w:val="28"/>
        </w:rPr>
        <w:t xml:space="preserve"> allege a </w:t>
      </w:r>
      <w:r w:rsidR="00D5024E">
        <w:rPr>
          <w:rFonts w:ascii="Times New Roman" w:hAnsi="Times New Roman" w:cs="Times New Roman"/>
          <w:bCs/>
          <w:sz w:val="28"/>
          <w:szCs w:val="28"/>
        </w:rPr>
        <w:t xml:space="preserve">single </w:t>
      </w:r>
      <w:r w:rsidR="008006E4">
        <w:rPr>
          <w:rFonts w:ascii="Times New Roman" w:hAnsi="Times New Roman" w:cs="Times New Roman"/>
          <w:bCs/>
          <w:sz w:val="28"/>
          <w:szCs w:val="28"/>
        </w:rPr>
        <w:t>breach gi</w:t>
      </w:r>
      <w:r w:rsidR="00D5024E">
        <w:rPr>
          <w:rFonts w:ascii="Times New Roman" w:hAnsi="Times New Roman" w:cs="Times New Roman"/>
          <w:bCs/>
          <w:sz w:val="28"/>
          <w:szCs w:val="28"/>
        </w:rPr>
        <w:t>ving</w:t>
      </w:r>
      <w:r w:rsidR="008006E4">
        <w:rPr>
          <w:rFonts w:ascii="Times New Roman" w:hAnsi="Times New Roman" w:cs="Times New Roman"/>
          <w:bCs/>
          <w:sz w:val="28"/>
          <w:szCs w:val="28"/>
        </w:rPr>
        <w:t xml:space="preserve"> rise to continuing loss and those where </w:t>
      </w:r>
      <w:r w:rsidR="005F2D3E">
        <w:rPr>
          <w:rFonts w:ascii="Times New Roman" w:hAnsi="Times New Roman" w:cs="Times New Roman"/>
          <w:bCs/>
          <w:sz w:val="28"/>
          <w:szCs w:val="28"/>
        </w:rPr>
        <w:t>more than one breach is alleged</w:t>
      </w:r>
      <w:r w:rsidR="00E5080B">
        <w:rPr>
          <w:rFonts w:ascii="Times New Roman" w:hAnsi="Times New Roman" w:cs="Times New Roman"/>
          <w:bCs/>
          <w:sz w:val="28"/>
          <w:szCs w:val="28"/>
        </w:rPr>
        <w:t xml:space="preserve"> with separate damage claims</w:t>
      </w:r>
      <w:r w:rsidR="00974108">
        <w:rPr>
          <w:rFonts w:ascii="Times New Roman" w:hAnsi="Times New Roman" w:cs="Times New Roman"/>
          <w:bCs/>
          <w:sz w:val="28"/>
          <w:szCs w:val="28"/>
        </w:rPr>
        <w:t xml:space="preserve"> (para 27)</w:t>
      </w:r>
      <w:r w:rsidR="00E5080B">
        <w:rPr>
          <w:rFonts w:ascii="Times New Roman" w:hAnsi="Times New Roman" w:cs="Times New Roman"/>
          <w:bCs/>
          <w:sz w:val="28"/>
          <w:szCs w:val="28"/>
        </w:rPr>
        <w:t>.</w:t>
      </w:r>
      <w:r w:rsidRPr="0017219B">
        <w:rPr>
          <w:rFonts w:ascii="Times New Roman" w:hAnsi="Times New Roman" w:cs="Times New Roman"/>
          <w:bCs/>
          <w:sz w:val="28"/>
          <w:szCs w:val="28"/>
        </w:rPr>
        <w:t xml:space="preserve"> </w:t>
      </w:r>
      <w:r w:rsidR="004E0D6F">
        <w:rPr>
          <w:rFonts w:ascii="Times New Roman" w:hAnsi="Times New Roman" w:cs="Times New Roman"/>
          <w:bCs/>
          <w:sz w:val="28"/>
          <w:szCs w:val="28"/>
        </w:rPr>
        <w:t>It stresse</w:t>
      </w:r>
      <w:r w:rsidR="00C0438E">
        <w:rPr>
          <w:rFonts w:ascii="Times New Roman" w:hAnsi="Times New Roman" w:cs="Times New Roman"/>
          <w:bCs/>
          <w:sz w:val="28"/>
          <w:szCs w:val="28"/>
        </w:rPr>
        <w:t>d</w:t>
      </w:r>
      <w:r w:rsidR="004E0D6F">
        <w:rPr>
          <w:rFonts w:ascii="Times New Roman" w:hAnsi="Times New Roman" w:cs="Times New Roman"/>
          <w:bCs/>
          <w:sz w:val="28"/>
          <w:szCs w:val="28"/>
        </w:rPr>
        <w:t xml:space="preserve"> </w:t>
      </w:r>
      <w:r w:rsidR="00823053">
        <w:rPr>
          <w:rFonts w:ascii="Times New Roman" w:hAnsi="Times New Roman" w:cs="Times New Roman"/>
          <w:bCs/>
          <w:sz w:val="28"/>
          <w:szCs w:val="28"/>
        </w:rPr>
        <w:t>the importance of discoverab</w:t>
      </w:r>
      <w:r w:rsidR="00AF5186">
        <w:rPr>
          <w:rFonts w:ascii="Times New Roman" w:hAnsi="Times New Roman" w:cs="Times New Roman"/>
          <w:bCs/>
          <w:sz w:val="28"/>
          <w:szCs w:val="28"/>
        </w:rPr>
        <w:t>ility in determining the type of limitation that applies</w:t>
      </w:r>
      <w:r w:rsidR="00F76AB7">
        <w:rPr>
          <w:rFonts w:ascii="Times New Roman" w:hAnsi="Times New Roman" w:cs="Times New Roman"/>
          <w:bCs/>
          <w:sz w:val="28"/>
          <w:szCs w:val="28"/>
        </w:rPr>
        <w:t xml:space="preserve"> (para 28)</w:t>
      </w:r>
      <w:r w:rsidR="00C0438E">
        <w:rPr>
          <w:rFonts w:ascii="Times New Roman" w:hAnsi="Times New Roman" w:cs="Times New Roman"/>
          <w:bCs/>
          <w:sz w:val="28"/>
          <w:szCs w:val="28"/>
        </w:rPr>
        <w:t xml:space="preserve"> </w:t>
      </w:r>
      <w:r w:rsidR="00B161BA">
        <w:rPr>
          <w:rFonts w:ascii="Times New Roman" w:hAnsi="Times New Roman" w:cs="Times New Roman"/>
          <w:bCs/>
          <w:sz w:val="28"/>
          <w:szCs w:val="28"/>
        </w:rPr>
        <w:t xml:space="preserve">and </w:t>
      </w:r>
      <w:r w:rsidR="00D63639">
        <w:rPr>
          <w:rFonts w:ascii="Times New Roman" w:hAnsi="Times New Roman" w:cs="Times New Roman"/>
          <w:bCs/>
          <w:sz w:val="28"/>
          <w:szCs w:val="28"/>
        </w:rPr>
        <w:t xml:space="preserve">decided </w:t>
      </w:r>
      <w:r w:rsidR="00C0438E">
        <w:rPr>
          <w:rFonts w:ascii="Times New Roman" w:hAnsi="Times New Roman" w:cs="Times New Roman"/>
          <w:bCs/>
          <w:sz w:val="28"/>
          <w:szCs w:val="28"/>
        </w:rPr>
        <w:t>that “once the</w:t>
      </w:r>
      <w:r w:rsidR="00DA0FB0">
        <w:rPr>
          <w:rFonts w:ascii="Times New Roman" w:hAnsi="Times New Roman" w:cs="Times New Roman"/>
          <w:bCs/>
          <w:sz w:val="28"/>
          <w:szCs w:val="28"/>
        </w:rPr>
        <w:t xml:space="preserve"> plaintiff has sustained a loss from a breach of contract, and the plaintiff knew or had the means of knowing </w:t>
      </w:r>
      <w:r w:rsidR="00DA0FB0">
        <w:rPr>
          <w:rFonts w:ascii="Times New Roman" w:hAnsi="Times New Roman" w:cs="Times New Roman"/>
          <w:bCs/>
          <w:sz w:val="28"/>
          <w:szCs w:val="28"/>
        </w:rPr>
        <w:lastRenderedPageBreak/>
        <w:t>that there would be ongoing damage arising from that</w:t>
      </w:r>
      <w:r w:rsidR="00E03616">
        <w:rPr>
          <w:rFonts w:ascii="Times New Roman" w:hAnsi="Times New Roman" w:cs="Times New Roman"/>
          <w:bCs/>
          <w:sz w:val="28"/>
          <w:szCs w:val="28"/>
        </w:rPr>
        <w:t xml:space="preserve"> breach, there is no basis for applying rolling limitation periods relating to that ongoing damage”</w:t>
      </w:r>
      <w:r w:rsidR="001C601B">
        <w:rPr>
          <w:rFonts w:ascii="Times New Roman" w:hAnsi="Times New Roman" w:cs="Times New Roman"/>
          <w:bCs/>
          <w:sz w:val="28"/>
          <w:szCs w:val="28"/>
        </w:rPr>
        <w:t xml:space="preserve"> (para</w:t>
      </w:r>
      <w:r w:rsidR="00C31BC0">
        <w:rPr>
          <w:rFonts w:ascii="Times New Roman" w:hAnsi="Times New Roman" w:cs="Times New Roman"/>
          <w:bCs/>
          <w:sz w:val="28"/>
          <w:szCs w:val="28"/>
        </w:rPr>
        <w:t xml:space="preserve"> 29)</w:t>
      </w:r>
      <w:r w:rsidR="00E03616">
        <w:rPr>
          <w:rFonts w:ascii="Times New Roman" w:hAnsi="Times New Roman" w:cs="Times New Roman"/>
          <w:bCs/>
          <w:sz w:val="28"/>
          <w:szCs w:val="28"/>
        </w:rPr>
        <w:t xml:space="preserve">. </w:t>
      </w:r>
      <w:r w:rsidR="0052772D">
        <w:rPr>
          <w:rFonts w:ascii="Times New Roman" w:hAnsi="Times New Roman" w:cs="Times New Roman"/>
          <w:bCs/>
          <w:sz w:val="28"/>
          <w:szCs w:val="28"/>
        </w:rPr>
        <w:t>The Court of Appeal</w:t>
      </w:r>
      <w:r w:rsidR="00F44789">
        <w:rPr>
          <w:rFonts w:ascii="Times New Roman" w:hAnsi="Times New Roman" w:cs="Times New Roman"/>
          <w:bCs/>
          <w:sz w:val="28"/>
          <w:szCs w:val="28"/>
        </w:rPr>
        <w:t xml:space="preserve"> concluded that</w:t>
      </w:r>
      <w:r w:rsidR="00B161BA">
        <w:rPr>
          <w:rFonts w:ascii="Times New Roman" w:hAnsi="Times New Roman" w:cs="Times New Roman"/>
          <w:bCs/>
          <w:sz w:val="28"/>
          <w:szCs w:val="28"/>
        </w:rPr>
        <w:t xml:space="preserve"> </w:t>
      </w:r>
      <w:r w:rsidR="00EF6556">
        <w:rPr>
          <w:rFonts w:ascii="Times New Roman" w:hAnsi="Times New Roman" w:cs="Times New Roman"/>
          <w:bCs/>
          <w:sz w:val="28"/>
          <w:szCs w:val="28"/>
        </w:rPr>
        <w:t>in that case there was a</w:t>
      </w:r>
      <w:r w:rsidR="00B10131">
        <w:rPr>
          <w:rFonts w:ascii="Times New Roman" w:hAnsi="Times New Roman" w:cs="Times New Roman"/>
          <w:bCs/>
          <w:sz w:val="28"/>
          <w:szCs w:val="28"/>
        </w:rPr>
        <w:t xml:space="preserve"> single breach with continuing consequences and consequently,</w:t>
      </w:r>
      <w:r w:rsidR="002D067B">
        <w:rPr>
          <w:rFonts w:ascii="Times New Roman" w:hAnsi="Times New Roman" w:cs="Times New Roman"/>
          <w:bCs/>
          <w:sz w:val="28"/>
          <w:szCs w:val="28"/>
        </w:rPr>
        <w:t xml:space="preserve"> </w:t>
      </w:r>
      <w:r w:rsidR="00415DF2" w:rsidRPr="00147BD1">
        <w:rPr>
          <w:rFonts w:ascii="Times New Roman" w:hAnsi="Times New Roman" w:cs="Times New Roman"/>
          <w:bCs/>
          <w:sz w:val="28"/>
          <w:szCs w:val="28"/>
        </w:rPr>
        <w:t xml:space="preserve">upheld the </w:t>
      </w:r>
      <w:r w:rsidR="00D3314C" w:rsidRPr="00147BD1">
        <w:rPr>
          <w:rFonts w:ascii="Times New Roman" w:hAnsi="Times New Roman" w:cs="Times New Roman"/>
          <w:bCs/>
          <w:sz w:val="28"/>
          <w:szCs w:val="28"/>
        </w:rPr>
        <w:t xml:space="preserve">decision of the motion </w:t>
      </w:r>
      <w:r w:rsidR="006E4FFF" w:rsidRPr="00147BD1">
        <w:rPr>
          <w:rFonts w:ascii="Times New Roman" w:hAnsi="Times New Roman" w:cs="Times New Roman"/>
          <w:bCs/>
          <w:sz w:val="28"/>
          <w:szCs w:val="28"/>
        </w:rPr>
        <w:t>judge</w:t>
      </w:r>
      <w:r w:rsidR="00EF6556">
        <w:rPr>
          <w:rFonts w:ascii="Times New Roman" w:hAnsi="Times New Roman" w:cs="Times New Roman"/>
          <w:bCs/>
          <w:sz w:val="28"/>
          <w:szCs w:val="28"/>
        </w:rPr>
        <w:t xml:space="preserve"> to refuse to apply a rolling limitation period</w:t>
      </w:r>
      <w:r w:rsidR="00B10131">
        <w:rPr>
          <w:rFonts w:ascii="Times New Roman" w:hAnsi="Times New Roman" w:cs="Times New Roman"/>
          <w:bCs/>
          <w:sz w:val="28"/>
          <w:szCs w:val="28"/>
        </w:rPr>
        <w:t xml:space="preserve">. </w:t>
      </w:r>
    </w:p>
    <w:p w14:paraId="5C4B308C" w14:textId="77777777" w:rsidR="00147BD1" w:rsidRPr="008521A4" w:rsidRDefault="00147BD1" w:rsidP="00AE0584">
      <w:pPr>
        <w:pStyle w:val="ListParagraph"/>
        <w:spacing w:after="0" w:line="240" w:lineRule="auto"/>
        <w:ind w:left="0"/>
        <w:jc w:val="both"/>
        <w:rPr>
          <w:rFonts w:ascii="Times New Roman" w:hAnsi="Times New Roman" w:cs="Times New Roman"/>
          <w:bCs/>
          <w:sz w:val="28"/>
          <w:szCs w:val="28"/>
        </w:rPr>
      </w:pPr>
    </w:p>
    <w:p w14:paraId="58D614E2" w14:textId="1C173D24" w:rsidR="00A13A87" w:rsidRDefault="00AF7BC0" w:rsidP="005A357F">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circumstances of the present case are </w:t>
      </w:r>
      <w:proofErr w:type="gramStart"/>
      <w:r>
        <w:rPr>
          <w:rFonts w:ascii="Times New Roman" w:hAnsi="Times New Roman" w:cs="Times New Roman"/>
          <w:bCs/>
          <w:sz w:val="28"/>
          <w:szCs w:val="28"/>
        </w:rPr>
        <w:t>similar to</w:t>
      </w:r>
      <w:proofErr w:type="gramEnd"/>
      <w:r>
        <w:rPr>
          <w:rFonts w:ascii="Times New Roman" w:hAnsi="Times New Roman" w:cs="Times New Roman"/>
          <w:bCs/>
          <w:sz w:val="28"/>
          <w:szCs w:val="28"/>
        </w:rPr>
        <w:t xml:space="preserve"> those of</w:t>
      </w:r>
      <w:r w:rsidRPr="00AF7BC0">
        <w:rPr>
          <w:rFonts w:ascii="Times New Roman" w:hAnsi="Times New Roman" w:cs="Times New Roman"/>
          <w:bCs/>
          <w:i/>
          <w:iCs/>
          <w:sz w:val="28"/>
          <w:szCs w:val="28"/>
        </w:rPr>
        <w:t xml:space="preserve"> </w:t>
      </w:r>
      <w:proofErr w:type="spellStart"/>
      <w:r w:rsidRPr="00147BD1">
        <w:rPr>
          <w:rFonts w:ascii="Times New Roman" w:hAnsi="Times New Roman" w:cs="Times New Roman"/>
          <w:bCs/>
          <w:i/>
          <w:iCs/>
          <w:sz w:val="28"/>
          <w:szCs w:val="28"/>
        </w:rPr>
        <w:t>Karkhanechi</w:t>
      </w:r>
      <w:proofErr w:type="spellEnd"/>
      <w:r>
        <w:rPr>
          <w:rFonts w:ascii="Times New Roman" w:hAnsi="Times New Roman" w:cs="Times New Roman"/>
          <w:bCs/>
          <w:sz w:val="28"/>
          <w:szCs w:val="28"/>
        </w:rPr>
        <w:t>. A</w:t>
      </w:r>
      <w:r w:rsidR="00EB5E95" w:rsidRPr="00D053FB">
        <w:rPr>
          <w:rFonts w:ascii="Times New Roman" w:hAnsi="Times New Roman" w:cs="Times New Roman"/>
          <w:bCs/>
          <w:sz w:val="28"/>
          <w:szCs w:val="28"/>
        </w:rPr>
        <w:t xml:space="preserve">lthough the CIP </w:t>
      </w:r>
      <w:r w:rsidR="00B24E8F">
        <w:rPr>
          <w:rFonts w:ascii="Times New Roman" w:hAnsi="Times New Roman" w:cs="Times New Roman"/>
          <w:bCs/>
          <w:sz w:val="28"/>
          <w:szCs w:val="28"/>
        </w:rPr>
        <w:t xml:space="preserve">Agreement </w:t>
      </w:r>
      <w:r w:rsidR="00B50C15" w:rsidRPr="00D053FB">
        <w:rPr>
          <w:rFonts w:ascii="Times New Roman" w:hAnsi="Times New Roman" w:cs="Times New Roman"/>
          <w:bCs/>
          <w:sz w:val="28"/>
          <w:szCs w:val="28"/>
        </w:rPr>
        <w:t>created an obligation for periodic payments, it was</w:t>
      </w:r>
      <w:r w:rsidR="00943F43">
        <w:rPr>
          <w:rFonts w:ascii="Times New Roman" w:hAnsi="Times New Roman" w:cs="Times New Roman"/>
          <w:bCs/>
          <w:sz w:val="28"/>
          <w:szCs w:val="28"/>
        </w:rPr>
        <w:t xml:space="preserve"> a single event,</w:t>
      </w:r>
      <w:r w:rsidR="00B50C15" w:rsidRPr="00D053FB">
        <w:rPr>
          <w:rFonts w:ascii="Times New Roman" w:hAnsi="Times New Roman" w:cs="Times New Roman"/>
          <w:bCs/>
          <w:sz w:val="28"/>
          <w:szCs w:val="28"/>
        </w:rPr>
        <w:t xml:space="preserve"> the </w:t>
      </w:r>
      <w:proofErr w:type="spellStart"/>
      <w:r w:rsidR="00B50C15" w:rsidRPr="00D053FB">
        <w:rPr>
          <w:rFonts w:ascii="Times New Roman" w:hAnsi="Times New Roman" w:cs="Times New Roman"/>
          <w:bCs/>
          <w:sz w:val="28"/>
          <w:szCs w:val="28"/>
        </w:rPr>
        <w:t>Shiha</w:t>
      </w:r>
      <w:proofErr w:type="spellEnd"/>
      <w:r w:rsidR="00B50C15" w:rsidRPr="00D053FB">
        <w:rPr>
          <w:rFonts w:ascii="Times New Roman" w:hAnsi="Times New Roman" w:cs="Times New Roman"/>
          <w:bCs/>
          <w:sz w:val="28"/>
          <w:szCs w:val="28"/>
        </w:rPr>
        <w:t xml:space="preserve"> </w:t>
      </w:r>
      <w:r w:rsidR="005B0F9C">
        <w:rPr>
          <w:rFonts w:ascii="Times New Roman" w:hAnsi="Times New Roman" w:cs="Times New Roman"/>
          <w:bCs/>
          <w:sz w:val="28"/>
          <w:szCs w:val="28"/>
        </w:rPr>
        <w:t>D</w:t>
      </w:r>
      <w:r w:rsidR="00B50C15" w:rsidRPr="00D053FB">
        <w:rPr>
          <w:rFonts w:ascii="Times New Roman" w:hAnsi="Times New Roman" w:cs="Times New Roman"/>
          <w:bCs/>
          <w:sz w:val="28"/>
          <w:szCs w:val="28"/>
        </w:rPr>
        <w:t>istribution</w:t>
      </w:r>
      <w:r w:rsidR="007A3C48">
        <w:rPr>
          <w:rFonts w:ascii="Times New Roman" w:hAnsi="Times New Roman" w:cs="Times New Roman"/>
          <w:bCs/>
          <w:sz w:val="28"/>
          <w:szCs w:val="28"/>
        </w:rPr>
        <w:t xml:space="preserve"> of December 19, 2008</w:t>
      </w:r>
      <w:r w:rsidR="00E6684A">
        <w:rPr>
          <w:rFonts w:ascii="Times New Roman" w:hAnsi="Times New Roman" w:cs="Times New Roman"/>
          <w:bCs/>
          <w:sz w:val="28"/>
          <w:szCs w:val="28"/>
        </w:rPr>
        <w:t>,</w:t>
      </w:r>
      <w:r w:rsidR="00B50C15" w:rsidRPr="00D053FB">
        <w:rPr>
          <w:rFonts w:ascii="Times New Roman" w:hAnsi="Times New Roman" w:cs="Times New Roman"/>
          <w:bCs/>
          <w:sz w:val="28"/>
          <w:szCs w:val="28"/>
        </w:rPr>
        <w:t xml:space="preserve"> that </w:t>
      </w:r>
      <w:r w:rsidR="007A3C48">
        <w:rPr>
          <w:rFonts w:ascii="Times New Roman" w:hAnsi="Times New Roman" w:cs="Times New Roman"/>
          <w:bCs/>
          <w:sz w:val="28"/>
          <w:szCs w:val="28"/>
        </w:rPr>
        <w:t xml:space="preserve">triggered the cessation of the annual </w:t>
      </w:r>
      <w:r w:rsidR="007A3C48" w:rsidRPr="007A2605">
        <w:rPr>
          <w:rFonts w:ascii="Times New Roman" w:hAnsi="Times New Roman" w:cs="Times New Roman"/>
          <w:bCs/>
          <w:sz w:val="28"/>
          <w:szCs w:val="28"/>
        </w:rPr>
        <w:t>payments</w:t>
      </w:r>
      <w:r w:rsidR="007A2605" w:rsidRPr="007A2605">
        <w:rPr>
          <w:rFonts w:ascii="Times New Roman" w:hAnsi="Times New Roman" w:cs="Times New Roman"/>
          <w:bCs/>
          <w:sz w:val="28"/>
          <w:szCs w:val="28"/>
        </w:rPr>
        <w:t>.</w:t>
      </w:r>
      <w:r w:rsidR="000272F5" w:rsidRPr="007A2605">
        <w:rPr>
          <w:rFonts w:ascii="Times New Roman" w:hAnsi="Times New Roman" w:cs="Times New Roman"/>
          <w:bCs/>
          <w:sz w:val="28"/>
          <w:szCs w:val="28"/>
        </w:rPr>
        <w:t xml:space="preserve"> </w:t>
      </w:r>
      <w:r w:rsidR="00E6684A" w:rsidRPr="007A2605">
        <w:rPr>
          <w:rFonts w:ascii="Times New Roman" w:hAnsi="Times New Roman" w:cs="Times New Roman"/>
          <w:bCs/>
          <w:sz w:val="28"/>
          <w:szCs w:val="28"/>
        </w:rPr>
        <w:t>By</w:t>
      </w:r>
      <w:r w:rsidR="00E6684A">
        <w:rPr>
          <w:rFonts w:ascii="Times New Roman" w:hAnsi="Times New Roman" w:cs="Times New Roman"/>
          <w:bCs/>
          <w:sz w:val="28"/>
          <w:szCs w:val="28"/>
        </w:rPr>
        <w:t xml:space="preserve"> the end of the year 2009, when Paramount did not make the next annual payment, ADK </w:t>
      </w:r>
      <w:r w:rsidR="00710FE9">
        <w:rPr>
          <w:rFonts w:ascii="Times New Roman" w:hAnsi="Times New Roman" w:cs="Times New Roman"/>
          <w:bCs/>
          <w:sz w:val="28"/>
          <w:szCs w:val="28"/>
        </w:rPr>
        <w:t>knew, or ought to have known,</w:t>
      </w:r>
      <w:r w:rsidR="00FD7184">
        <w:rPr>
          <w:rFonts w:ascii="Times New Roman" w:hAnsi="Times New Roman" w:cs="Times New Roman"/>
          <w:bCs/>
          <w:sz w:val="28"/>
          <w:szCs w:val="28"/>
        </w:rPr>
        <w:t xml:space="preserve"> all the material facts</w:t>
      </w:r>
      <w:r w:rsidR="009D2008">
        <w:rPr>
          <w:rFonts w:ascii="Times New Roman" w:hAnsi="Times New Roman" w:cs="Times New Roman"/>
          <w:bCs/>
          <w:sz w:val="28"/>
          <w:szCs w:val="28"/>
        </w:rPr>
        <w:t xml:space="preserve"> that give rise to </w:t>
      </w:r>
      <w:r w:rsidR="00601DC7">
        <w:rPr>
          <w:rFonts w:ascii="Times New Roman" w:hAnsi="Times New Roman" w:cs="Times New Roman"/>
          <w:bCs/>
          <w:sz w:val="28"/>
          <w:szCs w:val="28"/>
        </w:rPr>
        <w:t>this action</w:t>
      </w:r>
      <w:r w:rsidR="00FD7184">
        <w:rPr>
          <w:rFonts w:ascii="Times New Roman" w:hAnsi="Times New Roman" w:cs="Times New Roman"/>
          <w:bCs/>
          <w:sz w:val="28"/>
          <w:szCs w:val="28"/>
        </w:rPr>
        <w:t xml:space="preserve">. </w:t>
      </w:r>
      <w:r w:rsidR="007A2605">
        <w:rPr>
          <w:rFonts w:ascii="Times New Roman" w:hAnsi="Times New Roman" w:cs="Times New Roman"/>
          <w:bCs/>
          <w:sz w:val="28"/>
          <w:szCs w:val="28"/>
        </w:rPr>
        <w:t xml:space="preserve">A rolling limitation period does not apply in this case. </w:t>
      </w:r>
    </w:p>
    <w:p w14:paraId="27EBFB0B" w14:textId="77777777" w:rsidR="00A13A87" w:rsidRPr="00A13A87" w:rsidRDefault="00A13A87" w:rsidP="00A13A87">
      <w:pPr>
        <w:pStyle w:val="ListParagraph"/>
        <w:rPr>
          <w:rFonts w:ascii="Times New Roman" w:hAnsi="Times New Roman" w:cs="Times New Roman"/>
          <w:bCs/>
          <w:sz w:val="28"/>
          <w:szCs w:val="28"/>
        </w:rPr>
      </w:pPr>
    </w:p>
    <w:p w14:paraId="4775C96B" w14:textId="5AD74762" w:rsidR="00A13A87" w:rsidRPr="00C5365E" w:rsidRDefault="00A13A87" w:rsidP="00C5365E">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Even if ADK did not have knowledge of all the materials facts by the end of 2009, there is no doubt that it did </w:t>
      </w:r>
      <w:r w:rsidRPr="000014DB">
        <w:rPr>
          <w:rFonts w:ascii="Times New Roman" w:hAnsi="Times New Roman" w:cs="Times New Roman"/>
          <w:bCs/>
          <w:sz w:val="28"/>
          <w:szCs w:val="28"/>
        </w:rPr>
        <w:t>on April 9, 2014</w:t>
      </w:r>
      <w:r>
        <w:rPr>
          <w:rFonts w:ascii="Times New Roman" w:hAnsi="Times New Roman" w:cs="Times New Roman"/>
          <w:bCs/>
          <w:sz w:val="28"/>
          <w:szCs w:val="28"/>
        </w:rPr>
        <w:t>,</w:t>
      </w:r>
      <w:r w:rsidRPr="000014DB">
        <w:rPr>
          <w:rFonts w:ascii="Times New Roman" w:hAnsi="Times New Roman" w:cs="Times New Roman"/>
          <w:bCs/>
          <w:sz w:val="28"/>
          <w:szCs w:val="28"/>
        </w:rPr>
        <w:t xml:space="preserve"> when</w:t>
      </w:r>
      <w:r>
        <w:rPr>
          <w:rFonts w:ascii="Times New Roman" w:hAnsi="Times New Roman" w:cs="Times New Roman"/>
          <w:bCs/>
          <w:sz w:val="28"/>
          <w:szCs w:val="28"/>
        </w:rPr>
        <w:t xml:space="preserve"> it received the letter from Paramount explaining why Paramount took the position that its obligation to make annual payments under the CIP Agreement was extinguished by the </w:t>
      </w:r>
      <w:proofErr w:type="spellStart"/>
      <w:r>
        <w:rPr>
          <w:rFonts w:ascii="Times New Roman" w:hAnsi="Times New Roman" w:cs="Times New Roman"/>
          <w:bCs/>
          <w:sz w:val="28"/>
          <w:szCs w:val="28"/>
        </w:rPr>
        <w:t>Shiha</w:t>
      </w:r>
      <w:proofErr w:type="spellEnd"/>
      <w:r>
        <w:rPr>
          <w:rFonts w:ascii="Times New Roman" w:hAnsi="Times New Roman" w:cs="Times New Roman"/>
          <w:bCs/>
          <w:sz w:val="28"/>
          <w:szCs w:val="28"/>
        </w:rPr>
        <w:t xml:space="preserve"> </w:t>
      </w:r>
      <w:r w:rsidR="005B0F9C">
        <w:rPr>
          <w:rFonts w:ascii="Times New Roman" w:hAnsi="Times New Roman" w:cs="Times New Roman"/>
          <w:bCs/>
          <w:sz w:val="28"/>
          <w:szCs w:val="28"/>
        </w:rPr>
        <w:t>D</w:t>
      </w:r>
      <w:r>
        <w:rPr>
          <w:rFonts w:ascii="Times New Roman" w:hAnsi="Times New Roman" w:cs="Times New Roman"/>
          <w:bCs/>
          <w:sz w:val="28"/>
          <w:szCs w:val="28"/>
        </w:rPr>
        <w:t>istribution. At that time, Paramount unequivocally rejected ADK’s claim it was entitled to additional payments. More than six years elapsed between this letter and the filing of the Statement of Claim.</w:t>
      </w:r>
      <w:r w:rsidR="00C5365E" w:rsidRPr="00C5365E">
        <w:rPr>
          <w:rFonts w:ascii="Times New Roman" w:hAnsi="Times New Roman" w:cs="Times New Roman"/>
          <w:bCs/>
          <w:sz w:val="28"/>
          <w:szCs w:val="28"/>
        </w:rPr>
        <w:t xml:space="preserve"> </w:t>
      </w:r>
      <w:r w:rsidR="00C5365E">
        <w:rPr>
          <w:rFonts w:ascii="Times New Roman" w:hAnsi="Times New Roman" w:cs="Times New Roman"/>
          <w:bCs/>
          <w:sz w:val="28"/>
          <w:szCs w:val="28"/>
        </w:rPr>
        <w:t>Pursuant to</w:t>
      </w:r>
      <w:r w:rsidR="00C5365E" w:rsidRPr="00D053FB">
        <w:rPr>
          <w:rFonts w:ascii="Times New Roman" w:hAnsi="Times New Roman" w:cs="Times New Roman"/>
          <w:bCs/>
          <w:sz w:val="28"/>
          <w:szCs w:val="28"/>
        </w:rPr>
        <w:t xml:space="preserve"> </w:t>
      </w:r>
      <w:r w:rsidR="00C5365E">
        <w:rPr>
          <w:rFonts w:ascii="Times New Roman" w:hAnsi="Times New Roman" w:cs="Times New Roman"/>
          <w:bCs/>
          <w:sz w:val="28"/>
          <w:szCs w:val="28"/>
        </w:rPr>
        <w:t xml:space="preserve">Section </w:t>
      </w:r>
      <w:r w:rsidR="00C5365E" w:rsidRPr="00D053FB">
        <w:rPr>
          <w:rFonts w:ascii="Times New Roman" w:hAnsi="Times New Roman" w:cs="Times New Roman"/>
          <w:bCs/>
          <w:sz w:val="28"/>
          <w:szCs w:val="28"/>
        </w:rPr>
        <w:t>2</w:t>
      </w:r>
      <w:r w:rsidR="00C5365E">
        <w:rPr>
          <w:rFonts w:ascii="Times New Roman" w:hAnsi="Times New Roman" w:cs="Times New Roman"/>
          <w:bCs/>
          <w:sz w:val="28"/>
          <w:szCs w:val="28"/>
        </w:rPr>
        <w:t>(1)(</w:t>
      </w:r>
      <w:r w:rsidR="00C5365E" w:rsidRPr="00D053FB">
        <w:rPr>
          <w:rFonts w:ascii="Times New Roman" w:hAnsi="Times New Roman" w:cs="Times New Roman"/>
          <w:bCs/>
          <w:sz w:val="28"/>
          <w:szCs w:val="28"/>
        </w:rPr>
        <w:t xml:space="preserve">f) of the </w:t>
      </w:r>
      <w:r w:rsidR="00C5365E" w:rsidRPr="00FD7184">
        <w:rPr>
          <w:rFonts w:ascii="Times New Roman" w:hAnsi="Times New Roman" w:cs="Times New Roman"/>
          <w:bCs/>
          <w:i/>
          <w:iCs/>
          <w:sz w:val="28"/>
          <w:szCs w:val="28"/>
        </w:rPr>
        <w:t>Limitation of Actions Act</w:t>
      </w:r>
      <w:r w:rsidR="00C5365E" w:rsidRPr="00D053FB">
        <w:rPr>
          <w:rFonts w:ascii="Times New Roman" w:hAnsi="Times New Roman" w:cs="Times New Roman"/>
          <w:bCs/>
          <w:sz w:val="28"/>
          <w:szCs w:val="28"/>
        </w:rPr>
        <w:t xml:space="preserve">, the limitation period had expired when ADK launched this action on </w:t>
      </w:r>
      <w:r w:rsidR="00C5365E">
        <w:rPr>
          <w:rFonts w:ascii="Times New Roman" w:hAnsi="Times New Roman" w:cs="Times New Roman"/>
          <w:bCs/>
          <w:sz w:val="28"/>
          <w:szCs w:val="28"/>
        </w:rPr>
        <w:t xml:space="preserve">September 3, </w:t>
      </w:r>
      <w:r w:rsidR="00C5365E" w:rsidRPr="00D053FB">
        <w:rPr>
          <w:rFonts w:ascii="Times New Roman" w:hAnsi="Times New Roman" w:cs="Times New Roman"/>
          <w:bCs/>
          <w:sz w:val="28"/>
          <w:szCs w:val="28"/>
        </w:rPr>
        <w:t xml:space="preserve">2020. </w:t>
      </w:r>
    </w:p>
    <w:p w14:paraId="0CBCDBBA" w14:textId="77777777" w:rsidR="00A13A87" w:rsidRPr="00A13A87" w:rsidRDefault="00A13A87" w:rsidP="00A13A87">
      <w:pPr>
        <w:pStyle w:val="ListParagraph"/>
        <w:rPr>
          <w:rFonts w:ascii="Times New Roman" w:hAnsi="Times New Roman" w:cs="Times New Roman"/>
          <w:bCs/>
          <w:sz w:val="28"/>
          <w:szCs w:val="28"/>
        </w:rPr>
      </w:pPr>
    </w:p>
    <w:p w14:paraId="14087581" w14:textId="7AE1D6CB" w:rsidR="00A13A87" w:rsidRDefault="00A13A87" w:rsidP="00F778AC">
      <w:pPr>
        <w:pStyle w:val="ListParagraph"/>
        <w:numPr>
          <w:ilvl w:val="0"/>
          <w:numId w:val="1"/>
        </w:numPr>
        <w:spacing w:after="0" w:line="240" w:lineRule="auto"/>
        <w:jc w:val="both"/>
        <w:rPr>
          <w:rFonts w:ascii="Times New Roman" w:hAnsi="Times New Roman" w:cs="Times New Roman"/>
          <w:bCs/>
          <w:sz w:val="28"/>
          <w:szCs w:val="28"/>
        </w:rPr>
      </w:pPr>
      <w:r w:rsidRPr="00F778AC">
        <w:rPr>
          <w:rFonts w:ascii="Times New Roman" w:hAnsi="Times New Roman" w:cs="Times New Roman"/>
          <w:bCs/>
          <w:sz w:val="28"/>
          <w:szCs w:val="28"/>
        </w:rPr>
        <w:t xml:space="preserve">ADK also </w:t>
      </w:r>
      <w:r w:rsidR="000403DE" w:rsidRPr="00F778AC">
        <w:rPr>
          <w:rFonts w:ascii="Times New Roman" w:hAnsi="Times New Roman" w:cs="Times New Roman"/>
          <w:bCs/>
          <w:sz w:val="28"/>
          <w:szCs w:val="28"/>
        </w:rPr>
        <w:t>advances</w:t>
      </w:r>
      <w:r w:rsidRPr="00F778AC">
        <w:rPr>
          <w:rFonts w:ascii="Times New Roman" w:hAnsi="Times New Roman" w:cs="Times New Roman"/>
          <w:bCs/>
          <w:sz w:val="28"/>
          <w:szCs w:val="28"/>
        </w:rPr>
        <w:t xml:space="preserve"> the argument that the limitation period could not have been triggered by the </w:t>
      </w:r>
      <w:proofErr w:type="spellStart"/>
      <w:r w:rsidRPr="00F778AC">
        <w:rPr>
          <w:rFonts w:ascii="Times New Roman" w:hAnsi="Times New Roman" w:cs="Times New Roman"/>
          <w:bCs/>
          <w:sz w:val="28"/>
          <w:szCs w:val="28"/>
        </w:rPr>
        <w:t>Shiha</w:t>
      </w:r>
      <w:proofErr w:type="spellEnd"/>
      <w:r w:rsidRPr="00F778AC">
        <w:rPr>
          <w:rFonts w:ascii="Times New Roman" w:hAnsi="Times New Roman" w:cs="Times New Roman"/>
          <w:bCs/>
          <w:sz w:val="28"/>
          <w:szCs w:val="28"/>
        </w:rPr>
        <w:t xml:space="preserve"> Distribution because </w:t>
      </w:r>
      <w:r w:rsidR="000403DE" w:rsidRPr="00F778AC">
        <w:rPr>
          <w:rFonts w:ascii="Times New Roman" w:hAnsi="Times New Roman" w:cs="Times New Roman"/>
          <w:bCs/>
          <w:sz w:val="28"/>
          <w:szCs w:val="28"/>
        </w:rPr>
        <w:t xml:space="preserve">the </w:t>
      </w:r>
      <w:r w:rsidRPr="00F778AC">
        <w:rPr>
          <w:rFonts w:ascii="Times New Roman" w:hAnsi="Times New Roman" w:cs="Times New Roman"/>
          <w:bCs/>
          <w:sz w:val="28"/>
          <w:szCs w:val="28"/>
        </w:rPr>
        <w:t>CIP Agreement did not contemplate a single distribution.</w:t>
      </w:r>
      <w:r w:rsidR="000403DE" w:rsidRPr="00F778AC">
        <w:rPr>
          <w:rFonts w:ascii="Times New Roman" w:hAnsi="Times New Roman" w:cs="Times New Roman"/>
          <w:bCs/>
          <w:sz w:val="28"/>
          <w:szCs w:val="28"/>
        </w:rPr>
        <w:t xml:space="preserve"> ADK </w:t>
      </w:r>
      <w:r w:rsidRPr="00F778AC">
        <w:rPr>
          <w:rFonts w:ascii="Times New Roman" w:hAnsi="Times New Roman" w:cs="Times New Roman"/>
          <w:bCs/>
          <w:sz w:val="28"/>
          <w:szCs w:val="28"/>
        </w:rPr>
        <w:t>claims that the word “distributions”, in the plural form</w:t>
      </w:r>
      <w:r w:rsidR="000403DE" w:rsidRPr="00F778AC">
        <w:rPr>
          <w:rFonts w:ascii="Times New Roman" w:hAnsi="Times New Roman" w:cs="Times New Roman"/>
          <w:bCs/>
          <w:sz w:val="28"/>
          <w:szCs w:val="28"/>
        </w:rPr>
        <w:t>,</w:t>
      </w:r>
      <w:r w:rsidRPr="00F778AC">
        <w:rPr>
          <w:rFonts w:ascii="Times New Roman" w:hAnsi="Times New Roman" w:cs="Times New Roman"/>
          <w:bCs/>
          <w:sz w:val="28"/>
          <w:szCs w:val="28"/>
        </w:rPr>
        <w:t xml:space="preserve"> in </w:t>
      </w:r>
      <w:r w:rsidR="00565ED8">
        <w:rPr>
          <w:rFonts w:ascii="Times New Roman" w:hAnsi="Times New Roman" w:cs="Times New Roman"/>
          <w:bCs/>
          <w:sz w:val="28"/>
          <w:szCs w:val="28"/>
        </w:rPr>
        <w:t xml:space="preserve">the </w:t>
      </w:r>
      <w:r w:rsidRPr="00F778AC">
        <w:rPr>
          <w:rFonts w:ascii="Times New Roman" w:hAnsi="Times New Roman" w:cs="Times New Roman"/>
          <w:bCs/>
          <w:sz w:val="28"/>
          <w:szCs w:val="28"/>
        </w:rPr>
        <w:t xml:space="preserve">relevant clause of the </w:t>
      </w:r>
      <w:r w:rsidR="00565ED8">
        <w:rPr>
          <w:rFonts w:ascii="Times New Roman" w:hAnsi="Times New Roman" w:cs="Times New Roman"/>
          <w:bCs/>
          <w:sz w:val="28"/>
          <w:szCs w:val="28"/>
        </w:rPr>
        <w:t>agreement</w:t>
      </w:r>
      <w:r w:rsidR="00DA2545" w:rsidRPr="00F778AC">
        <w:rPr>
          <w:rFonts w:ascii="Times New Roman" w:hAnsi="Times New Roman" w:cs="Times New Roman"/>
          <w:bCs/>
          <w:sz w:val="28"/>
          <w:szCs w:val="28"/>
        </w:rPr>
        <w:t xml:space="preserve"> establishes that the obligation </w:t>
      </w:r>
      <w:r w:rsidR="00F778AC" w:rsidRPr="00F778AC">
        <w:rPr>
          <w:rFonts w:ascii="Times New Roman" w:hAnsi="Times New Roman" w:cs="Times New Roman"/>
          <w:bCs/>
          <w:sz w:val="28"/>
          <w:szCs w:val="28"/>
        </w:rPr>
        <w:t>to make annual payments was not extinguished by a single distribution. W</w:t>
      </w:r>
      <w:r w:rsidRPr="00F778AC">
        <w:rPr>
          <w:rFonts w:ascii="Times New Roman" w:hAnsi="Times New Roman" w:cs="Times New Roman"/>
          <w:bCs/>
          <w:sz w:val="28"/>
          <w:szCs w:val="28"/>
        </w:rPr>
        <w:t xml:space="preserve">hether this interpretation of the </w:t>
      </w:r>
      <w:r w:rsidR="005B0F9C">
        <w:rPr>
          <w:rFonts w:ascii="Times New Roman" w:hAnsi="Times New Roman" w:cs="Times New Roman"/>
          <w:bCs/>
          <w:sz w:val="28"/>
          <w:szCs w:val="28"/>
        </w:rPr>
        <w:t>agreement</w:t>
      </w:r>
      <w:r w:rsidRPr="00F778AC">
        <w:rPr>
          <w:rFonts w:ascii="Times New Roman" w:hAnsi="Times New Roman" w:cs="Times New Roman"/>
          <w:bCs/>
          <w:sz w:val="28"/>
          <w:szCs w:val="28"/>
        </w:rPr>
        <w:t xml:space="preserve"> is valid or not does not change when the cause of action arose</w:t>
      </w:r>
      <w:r w:rsidR="005A41E2">
        <w:rPr>
          <w:rFonts w:ascii="Times New Roman" w:hAnsi="Times New Roman" w:cs="Times New Roman"/>
          <w:bCs/>
          <w:sz w:val="28"/>
          <w:szCs w:val="28"/>
        </w:rPr>
        <w:t>.</w:t>
      </w:r>
      <w:r w:rsidRPr="00F778AC">
        <w:rPr>
          <w:rFonts w:ascii="Times New Roman" w:hAnsi="Times New Roman" w:cs="Times New Roman"/>
          <w:bCs/>
          <w:sz w:val="28"/>
          <w:szCs w:val="28"/>
        </w:rPr>
        <w:t xml:space="preserve"> This is </w:t>
      </w:r>
      <w:r w:rsidR="007E20C4">
        <w:rPr>
          <w:rFonts w:ascii="Times New Roman" w:hAnsi="Times New Roman" w:cs="Times New Roman"/>
          <w:bCs/>
          <w:sz w:val="28"/>
          <w:szCs w:val="28"/>
        </w:rPr>
        <w:t>a position</w:t>
      </w:r>
      <w:r w:rsidRPr="00F778AC">
        <w:rPr>
          <w:rFonts w:ascii="Times New Roman" w:hAnsi="Times New Roman" w:cs="Times New Roman"/>
          <w:bCs/>
          <w:sz w:val="28"/>
          <w:szCs w:val="28"/>
        </w:rPr>
        <w:t xml:space="preserve"> that ADK could have put forward to argue that Paramount failed to comply with the CIP Agreement </w:t>
      </w:r>
      <w:r w:rsidR="007E20C4">
        <w:rPr>
          <w:rFonts w:ascii="Times New Roman" w:hAnsi="Times New Roman" w:cs="Times New Roman"/>
          <w:bCs/>
          <w:sz w:val="28"/>
          <w:szCs w:val="28"/>
        </w:rPr>
        <w:t xml:space="preserve">if the action was not time-barred </w:t>
      </w:r>
      <w:r w:rsidRPr="00F778AC">
        <w:rPr>
          <w:rFonts w:ascii="Times New Roman" w:hAnsi="Times New Roman" w:cs="Times New Roman"/>
          <w:bCs/>
          <w:sz w:val="28"/>
          <w:szCs w:val="28"/>
        </w:rPr>
        <w:t xml:space="preserve">but it has </w:t>
      </w:r>
      <w:r w:rsidR="00F778AC" w:rsidRPr="00F778AC">
        <w:rPr>
          <w:rFonts w:ascii="Times New Roman" w:hAnsi="Times New Roman" w:cs="Times New Roman"/>
          <w:bCs/>
          <w:sz w:val="28"/>
          <w:szCs w:val="28"/>
        </w:rPr>
        <w:t>no</w:t>
      </w:r>
      <w:r w:rsidRPr="00F778AC">
        <w:rPr>
          <w:rFonts w:ascii="Times New Roman" w:hAnsi="Times New Roman" w:cs="Times New Roman"/>
          <w:bCs/>
          <w:sz w:val="28"/>
          <w:szCs w:val="28"/>
        </w:rPr>
        <w:t xml:space="preserve"> </w:t>
      </w:r>
      <w:r w:rsidR="00105E7A">
        <w:rPr>
          <w:rFonts w:ascii="Times New Roman" w:hAnsi="Times New Roman" w:cs="Times New Roman"/>
          <w:bCs/>
          <w:sz w:val="28"/>
          <w:szCs w:val="28"/>
        </w:rPr>
        <w:t>bearing</w:t>
      </w:r>
      <w:r w:rsidRPr="00F778AC">
        <w:rPr>
          <w:rFonts w:ascii="Times New Roman" w:hAnsi="Times New Roman" w:cs="Times New Roman"/>
          <w:bCs/>
          <w:sz w:val="28"/>
          <w:szCs w:val="28"/>
        </w:rPr>
        <w:t xml:space="preserve"> on </w:t>
      </w:r>
      <w:r w:rsidR="00F14952">
        <w:rPr>
          <w:rFonts w:ascii="Times New Roman" w:hAnsi="Times New Roman" w:cs="Times New Roman"/>
          <w:bCs/>
          <w:sz w:val="28"/>
          <w:szCs w:val="28"/>
        </w:rPr>
        <w:t xml:space="preserve">the issue of </w:t>
      </w:r>
      <w:r w:rsidRPr="00F778AC">
        <w:rPr>
          <w:rFonts w:ascii="Times New Roman" w:hAnsi="Times New Roman" w:cs="Times New Roman"/>
          <w:bCs/>
          <w:sz w:val="28"/>
          <w:szCs w:val="28"/>
        </w:rPr>
        <w:t xml:space="preserve">limitation. </w:t>
      </w:r>
    </w:p>
    <w:p w14:paraId="5AF7DA03" w14:textId="77777777" w:rsidR="00404B6B" w:rsidRPr="00EC77F9" w:rsidRDefault="00404B6B" w:rsidP="00EC77F9">
      <w:pPr>
        <w:pStyle w:val="ListParagraph"/>
        <w:rPr>
          <w:rFonts w:ascii="Times New Roman" w:hAnsi="Times New Roman" w:cs="Times New Roman"/>
          <w:bCs/>
          <w:sz w:val="28"/>
          <w:szCs w:val="28"/>
        </w:rPr>
      </w:pPr>
    </w:p>
    <w:p w14:paraId="009122FC" w14:textId="592F1D80" w:rsidR="00404B6B" w:rsidRPr="00F778AC" w:rsidRDefault="00404B6B" w:rsidP="00F778AC">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Considering </w:t>
      </w:r>
      <w:r w:rsidR="00EC77F9">
        <w:rPr>
          <w:rFonts w:ascii="Times New Roman" w:hAnsi="Times New Roman" w:cs="Times New Roman"/>
          <w:bCs/>
          <w:sz w:val="28"/>
          <w:szCs w:val="28"/>
        </w:rPr>
        <w:t xml:space="preserve">my conclusion that this action is </w:t>
      </w:r>
      <w:r w:rsidR="007C5D0D">
        <w:rPr>
          <w:rFonts w:ascii="Times New Roman" w:hAnsi="Times New Roman" w:cs="Times New Roman"/>
          <w:bCs/>
          <w:sz w:val="28"/>
          <w:szCs w:val="28"/>
        </w:rPr>
        <w:t xml:space="preserve">statute </w:t>
      </w:r>
      <w:r w:rsidR="00EC77F9">
        <w:rPr>
          <w:rFonts w:ascii="Times New Roman" w:hAnsi="Times New Roman" w:cs="Times New Roman"/>
          <w:bCs/>
          <w:sz w:val="28"/>
          <w:szCs w:val="28"/>
        </w:rPr>
        <w:t xml:space="preserve">barred, I do not need to address </w:t>
      </w:r>
      <w:r w:rsidR="00977C03">
        <w:rPr>
          <w:rFonts w:ascii="Times New Roman" w:hAnsi="Times New Roman" w:cs="Times New Roman"/>
          <w:bCs/>
          <w:sz w:val="28"/>
          <w:szCs w:val="28"/>
        </w:rPr>
        <w:t xml:space="preserve">the </w:t>
      </w:r>
      <w:r>
        <w:rPr>
          <w:rFonts w:ascii="Times New Roman" w:hAnsi="Times New Roman" w:cs="Times New Roman"/>
          <w:bCs/>
          <w:sz w:val="28"/>
          <w:szCs w:val="28"/>
        </w:rPr>
        <w:t>issues</w:t>
      </w:r>
      <w:r w:rsidR="00EC77F9">
        <w:rPr>
          <w:rFonts w:ascii="Times New Roman" w:hAnsi="Times New Roman" w:cs="Times New Roman"/>
          <w:bCs/>
          <w:sz w:val="28"/>
          <w:szCs w:val="28"/>
        </w:rPr>
        <w:t xml:space="preserve"> related to the interpretation and the performance of the CIP Agreement</w:t>
      </w:r>
      <w:r>
        <w:rPr>
          <w:rFonts w:ascii="Times New Roman" w:hAnsi="Times New Roman" w:cs="Times New Roman"/>
          <w:bCs/>
          <w:sz w:val="28"/>
          <w:szCs w:val="28"/>
        </w:rPr>
        <w:t>.</w:t>
      </w:r>
    </w:p>
    <w:p w14:paraId="4C816BEC" w14:textId="77777777" w:rsidR="002D1290" w:rsidRDefault="002D1290" w:rsidP="00925F03">
      <w:pPr>
        <w:spacing w:after="0" w:line="240" w:lineRule="auto"/>
        <w:jc w:val="both"/>
        <w:rPr>
          <w:rFonts w:ascii="Times New Roman" w:hAnsi="Times New Roman" w:cs="Times New Roman"/>
          <w:bCs/>
          <w:sz w:val="28"/>
          <w:szCs w:val="28"/>
        </w:rPr>
      </w:pPr>
    </w:p>
    <w:p w14:paraId="175E0E3D" w14:textId="1CCAFE52" w:rsidR="00925F03" w:rsidRPr="00D053FB" w:rsidRDefault="00925F03" w:rsidP="00925F03">
      <w:pPr>
        <w:spacing w:after="0" w:line="240" w:lineRule="auto"/>
        <w:jc w:val="both"/>
        <w:rPr>
          <w:rFonts w:ascii="Times New Roman" w:hAnsi="Times New Roman" w:cs="Times New Roman"/>
          <w:b/>
          <w:sz w:val="28"/>
          <w:szCs w:val="28"/>
        </w:rPr>
      </w:pPr>
      <w:r w:rsidRPr="00D053FB">
        <w:rPr>
          <w:rFonts w:ascii="Times New Roman" w:hAnsi="Times New Roman" w:cs="Times New Roman"/>
          <w:b/>
          <w:sz w:val="28"/>
          <w:szCs w:val="28"/>
        </w:rPr>
        <w:lastRenderedPageBreak/>
        <w:t>CONCLUSION</w:t>
      </w:r>
    </w:p>
    <w:p w14:paraId="5E73B63C" w14:textId="77777777" w:rsidR="00925F03" w:rsidRPr="00D053FB" w:rsidRDefault="00925F03" w:rsidP="00925F03">
      <w:pPr>
        <w:spacing w:after="0" w:line="240" w:lineRule="auto"/>
        <w:jc w:val="both"/>
        <w:rPr>
          <w:rFonts w:ascii="Times New Roman" w:hAnsi="Times New Roman" w:cs="Times New Roman"/>
          <w:bCs/>
          <w:sz w:val="28"/>
          <w:szCs w:val="28"/>
        </w:rPr>
      </w:pPr>
    </w:p>
    <w:p w14:paraId="33E8119F" w14:textId="20A08BAA" w:rsidR="003D2230" w:rsidRPr="005004F1" w:rsidRDefault="008C176F" w:rsidP="003D2230">
      <w:pPr>
        <w:pStyle w:val="ListParagraph"/>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plaintiff, ADK, applied for the summary disposition of this action for breach of contract arguing that </w:t>
      </w:r>
      <w:r w:rsidR="00F8612F">
        <w:rPr>
          <w:rFonts w:ascii="Times New Roman" w:hAnsi="Times New Roman" w:cs="Times New Roman"/>
          <w:bCs/>
          <w:sz w:val="28"/>
          <w:szCs w:val="28"/>
        </w:rPr>
        <w:t xml:space="preserve">Paramount failed to comply with a term of the CIP Agreement when it ceased to make annual </w:t>
      </w:r>
      <w:r w:rsidR="00F86F40">
        <w:rPr>
          <w:rFonts w:ascii="Times New Roman" w:hAnsi="Times New Roman" w:cs="Times New Roman"/>
          <w:bCs/>
          <w:sz w:val="28"/>
          <w:szCs w:val="28"/>
        </w:rPr>
        <w:t>payments of $100,000 in 2008.</w:t>
      </w:r>
      <w:r w:rsidR="007A06AA">
        <w:rPr>
          <w:rFonts w:ascii="Times New Roman" w:hAnsi="Times New Roman" w:cs="Times New Roman"/>
          <w:bCs/>
          <w:sz w:val="28"/>
          <w:szCs w:val="28"/>
        </w:rPr>
        <w:t xml:space="preserve"> </w:t>
      </w:r>
      <w:r w:rsidR="00F86F40">
        <w:rPr>
          <w:rFonts w:ascii="Times New Roman" w:hAnsi="Times New Roman" w:cs="Times New Roman"/>
          <w:bCs/>
          <w:sz w:val="28"/>
          <w:szCs w:val="28"/>
        </w:rPr>
        <w:t xml:space="preserve">I find that </w:t>
      </w:r>
      <w:r w:rsidR="003D2230" w:rsidRPr="00D053FB">
        <w:rPr>
          <w:rFonts w:ascii="Times New Roman" w:hAnsi="Times New Roman" w:cs="Times New Roman"/>
          <w:bCs/>
          <w:sz w:val="28"/>
          <w:szCs w:val="28"/>
        </w:rPr>
        <w:t>ADK is not entitled to damages for breach of contract because it did not</w:t>
      </w:r>
      <w:r w:rsidR="003D2230">
        <w:rPr>
          <w:rFonts w:ascii="Times New Roman" w:hAnsi="Times New Roman" w:cs="Times New Roman"/>
          <w:bCs/>
          <w:sz w:val="28"/>
          <w:szCs w:val="28"/>
        </w:rPr>
        <w:t xml:space="preserve"> bring this claim within the limitation period</w:t>
      </w:r>
      <w:r w:rsidR="003D2230" w:rsidRPr="00D053FB">
        <w:rPr>
          <w:rFonts w:ascii="Times New Roman" w:hAnsi="Times New Roman" w:cs="Times New Roman"/>
          <w:bCs/>
          <w:sz w:val="28"/>
          <w:szCs w:val="28"/>
        </w:rPr>
        <w:t xml:space="preserve">. This conclusion is dispositive </w:t>
      </w:r>
      <w:r w:rsidR="003D2230">
        <w:rPr>
          <w:rFonts w:ascii="Times New Roman" w:hAnsi="Times New Roman" w:cs="Times New Roman"/>
          <w:bCs/>
          <w:sz w:val="28"/>
          <w:szCs w:val="28"/>
        </w:rPr>
        <w:t>of ADK’s</w:t>
      </w:r>
      <w:r w:rsidR="003D2230" w:rsidRPr="00D053FB">
        <w:rPr>
          <w:rFonts w:ascii="Times New Roman" w:hAnsi="Times New Roman" w:cs="Times New Roman"/>
          <w:bCs/>
          <w:sz w:val="28"/>
          <w:szCs w:val="28"/>
        </w:rPr>
        <w:t xml:space="preserve"> application</w:t>
      </w:r>
      <w:r w:rsidR="003D2230">
        <w:rPr>
          <w:rFonts w:ascii="Times New Roman" w:hAnsi="Times New Roman" w:cs="Times New Roman"/>
          <w:bCs/>
          <w:sz w:val="28"/>
          <w:szCs w:val="28"/>
        </w:rPr>
        <w:t xml:space="preserve"> for summary judgment, </w:t>
      </w:r>
      <w:r w:rsidR="001523F7">
        <w:rPr>
          <w:rFonts w:ascii="Times New Roman" w:hAnsi="Times New Roman" w:cs="Times New Roman"/>
          <w:bCs/>
          <w:sz w:val="28"/>
          <w:szCs w:val="28"/>
        </w:rPr>
        <w:t>and</w:t>
      </w:r>
      <w:r w:rsidR="003D2230">
        <w:rPr>
          <w:rFonts w:ascii="Times New Roman" w:hAnsi="Times New Roman" w:cs="Times New Roman"/>
          <w:bCs/>
          <w:sz w:val="28"/>
          <w:szCs w:val="28"/>
        </w:rPr>
        <w:t xml:space="preserve"> it is also dispositive of the action. </w:t>
      </w:r>
      <w:r w:rsidR="0073068D">
        <w:rPr>
          <w:rFonts w:ascii="Times New Roman" w:hAnsi="Times New Roman" w:cs="Times New Roman"/>
          <w:bCs/>
          <w:sz w:val="28"/>
          <w:szCs w:val="28"/>
        </w:rPr>
        <w:t>Considering my conclusion that the action is statute barred, I grant Paramount’s application for summary judgment</w:t>
      </w:r>
      <w:r w:rsidR="004C5989">
        <w:rPr>
          <w:rFonts w:ascii="Times New Roman" w:hAnsi="Times New Roman" w:cs="Times New Roman"/>
          <w:bCs/>
          <w:sz w:val="28"/>
          <w:szCs w:val="28"/>
        </w:rPr>
        <w:t>,</w:t>
      </w:r>
      <w:r w:rsidR="0073068D">
        <w:rPr>
          <w:rFonts w:ascii="Times New Roman" w:hAnsi="Times New Roman" w:cs="Times New Roman"/>
          <w:bCs/>
          <w:sz w:val="28"/>
          <w:szCs w:val="28"/>
        </w:rPr>
        <w:t xml:space="preserve"> and</w:t>
      </w:r>
      <w:r w:rsidR="000F6330">
        <w:rPr>
          <w:rFonts w:ascii="Times New Roman" w:hAnsi="Times New Roman" w:cs="Times New Roman"/>
          <w:bCs/>
          <w:sz w:val="28"/>
          <w:szCs w:val="28"/>
        </w:rPr>
        <w:t xml:space="preserve"> I</w:t>
      </w:r>
      <w:r w:rsidR="0073068D">
        <w:rPr>
          <w:rFonts w:ascii="Times New Roman" w:hAnsi="Times New Roman" w:cs="Times New Roman"/>
          <w:bCs/>
          <w:sz w:val="28"/>
          <w:szCs w:val="28"/>
        </w:rPr>
        <w:t xml:space="preserve"> dismiss the action. </w:t>
      </w:r>
    </w:p>
    <w:p w14:paraId="051C90B5" w14:textId="77777777" w:rsidR="003D2230" w:rsidRDefault="003D2230" w:rsidP="003D2230">
      <w:pPr>
        <w:pStyle w:val="ListParagraph"/>
        <w:spacing w:after="0" w:line="240" w:lineRule="auto"/>
        <w:ind w:left="0"/>
        <w:contextualSpacing w:val="0"/>
        <w:jc w:val="both"/>
        <w:rPr>
          <w:rFonts w:ascii="Times New Roman" w:hAnsi="Times New Roman" w:cs="Times New Roman"/>
          <w:bCs/>
          <w:sz w:val="28"/>
          <w:szCs w:val="28"/>
        </w:rPr>
      </w:pPr>
    </w:p>
    <w:p w14:paraId="433082B8" w14:textId="2D7DB378" w:rsidR="009B7CED" w:rsidRPr="00D053FB" w:rsidRDefault="009B7CED" w:rsidP="009B7CED">
      <w:pPr>
        <w:pStyle w:val="ListParagraph"/>
        <w:numPr>
          <w:ilvl w:val="0"/>
          <w:numId w:val="1"/>
        </w:numPr>
        <w:spacing w:after="0" w:line="240" w:lineRule="auto"/>
        <w:contextualSpacing w:val="0"/>
        <w:jc w:val="both"/>
        <w:rPr>
          <w:rFonts w:ascii="Times New Roman" w:hAnsi="Times New Roman" w:cs="Times New Roman"/>
          <w:bCs/>
          <w:sz w:val="28"/>
          <w:szCs w:val="28"/>
        </w:rPr>
      </w:pPr>
      <w:r w:rsidRPr="00D053FB">
        <w:rPr>
          <w:rFonts w:ascii="Times New Roman" w:hAnsi="Times New Roman" w:cs="Times New Roman"/>
          <w:bCs/>
          <w:sz w:val="28"/>
          <w:szCs w:val="28"/>
        </w:rPr>
        <w:t>I make the following order</w:t>
      </w:r>
      <w:r w:rsidR="00775907">
        <w:rPr>
          <w:rFonts w:ascii="Times New Roman" w:hAnsi="Times New Roman" w:cs="Times New Roman"/>
          <w:bCs/>
          <w:sz w:val="28"/>
          <w:szCs w:val="28"/>
        </w:rPr>
        <w:t>s</w:t>
      </w:r>
      <w:r w:rsidRPr="00D053FB">
        <w:rPr>
          <w:rFonts w:ascii="Times New Roman" w:hAnsi="Times New Roman" w:cs="Times New Roman"/>
          <w:bCs/>
          <w:sz w:val="28"/>
          <w:szCs w:val="28"/>
        </w:rPr>
        <w:t xml:space="preserve">: </w:t>
      </w:r>
    </w:p>
    <w:p w14:paraId="371394B3" w14:textId="77777777" w:rsidR="009B7CED" w:rsidRPr="00D053FB" w:rsidRDefault="009B7CED" w:rsidP="009B7CED">
      <w:pPr>
        <w:pStyle w:val="ListParagraph"/>
        <w:spacing w:after="0" w:line="240" w:lineRule="auto"/>
        <w:ind w:left="0"/>
        <w:contextualSpacing w:val="0"/>
        <w:jc w:val="both"/>
        <w:rPr>
          <w:rFonts w:ascii="Times New Roman" w:hAnsi="Times New Roman" w:cs="Times New Roman"/>
          <w:bCs/>
          <w:sz w:val="28"/>
          <w:szCs w:val="28"/>
        </w:rPr>
      </w:pPr>
    </w:p>
    <w:p w14:paraId="053C784A" w14:textId="179CFEE8" w:rsidR="0006064A" w:rsidRPr="00D053FB" w:rsidRDefault="0006064A" w:rsidP="004B6C5D">
      <w:pPr>
        <w:pStyle w:val="ListParagraph"/>
        <w:numPr>
          <w:ilvl w:val="1"/>
          <w:numId w:val="1"/>
        </w:num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I dismiss Acho Dene Koe First Nation’s application for summary </w:t>
      </w:r>
      <w:proofErr w:type="gramStart"/>
      <w:r>
        <w:rPr>
          <w:rFonts w:ascii="Times New Roman" w:hAnsi="Times New Roman" w:cs="Times New Roman"/>
          <w:bCs/>
          <w:sz w:val="28"/>
          <w:szCs w:val="28"/>
        </w:rPr>
        <w:t>judgment;</w:t>
      </w:r>
      <w:proofErr w:type="gramEnd"/>
    </w:p>
    <w:p w14:paraId="23090F79" w14:textId="6E8FFCE5" w:rsidR="009B7CED" w:rsidRDefault="0006064A" w:rsidP="004B6C5D">
      <w:pPr>
        <w:pStyle w:val="ListParagraph"/>
        <w:numPr>
          <w:ilvl w:val="1"/>
          <w:numId w:val="1"/>
        </w:num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I grant </w:t>
      </w:r>
      <w:r w:rsidR="007B369C">
        <w:rPr>
          <w:rFonts w:ascii="Times New Roman" w:hAnsi="Times New Roman" w:cs="Times New Roman"/>
          <w:bCs/>
          <w:sz w:val="28"/>
          <w:szCs w:val="28"/>
        </w:rPr>
        <w:t xml:space="preserve">Paramount Resources Ltd.’s application for summary </w:t>
      </w:r>
      <w:proofErr w:type="gramStart"/>
      <w:r w:rsidR="007B369C">
        <w:rPr>
          <w:rFonts w:ascii="Times New Roman" w:hAnsi="Times New Roman" w:cs="Times New Roman"/>
          <w:bCs/>
          <w:sz w:val="28"/>
          <w:szCs w:val="28"/>
        </w:rPr>
        <w:t>judgment;</w:t>
      </w:r>
      <w:proofErr w:type="gramEnd"/>
    </w:p>
    <w:p w14:paraId="2DA35A44" w14:textId="55E1782A" w:rsidR="009B7CED" w:rsidRPr="00161F16" w:rsidRDefault="007B369C" w:rsidP="004B6C5D">
      <w:pPr>
        <w:pStyle w:val="ListParagraph"/>
        <w:numPr>
          <w:ilvl w:val="1"/>
          <w:numId w:val="1"/>
        </w:numPr>
        <w:spacing w:after="0"/>
        <w:jc w:val="both"/>
        <w:rPr>
          <w:rFonts w:ascii="Times New Roman" w:hAnsi="Times New Roman" w:cs="Times New Roman"/>
          <w:bCs/>
          <w:sz w:val="28"/>
          <w:szCs w:val="28"/>
        </w:rPr>
      </w:pPr>
      <w:r>
        <w:rPr>
          <w:rFonts w:ascii="Times New Roman" w:hAnsi="Times New Roman" w:cs="Times New Roman"/>
          <w:bCs/>
          <w:sz w:val="28"/>
          <w:szCs w:val="28"/>
        </w:rPr>
        <w:t>I dismiss the action</w:t>
      </w:r>
      <w:r w:rsidR="006B3804">
        <w:rPr>
          <w:rFonts w:ascii="Times New Roman" w:hAnsi="Times New Roman" w:cs="Times New Roman"/>
          <w:bCs/>
          <w:sz w:val="28"/>
          <w:szCs w:val="28"/>
        </w:rPr>
        <w:t xml:space="preserve">, with costs. </w:t>
      </w:r>
    </w:p>
    <w:p w14:paraId="6ECABD37" w14:textId="77777777" w:rsidR="009B7CED" w:rsidRPr="00D053FB" w:rsidRDefault="009B7CED" w:rsidP="004B6C5D">
      <w:pPr>
        <w:pStyle w:val="ListParagraph"/>
        <w:spacing w:after="0"/>
        <w:ind w:left="0"/>
        <w:contextualSpacing w:val="0"/>
        <w:jc w:val="both"/>
        <w:rPr>
          <w:rFonts w:ascii="Times New Roman" w:hAnsi="Times New Roman" w:cs="Times New Roman"/>
          <w:bCs/>
          <w:sz w:val="28"/>
          <w:szCs w:val="28"/>
        </w:rPr>
      </w:pPr>
    </w:p>
    <w:p w14:paraId="72C9D100" w14:textId="77777777" w:rsidR="009B7CED" w:rsidRPr="00D053FB" w:rsidRDefault="009B7CED" w:rsidP="009B7CED">
      <w:pPr>
        <w:pStyle w:val="ListParagraph"/>
        <w:spacing w:after="0" w:line="240" w:lineRule="auto"/>
        <w:ind w:left="0"/>
        <w:contextualSpacing w:val="0"/>
        <w:jc w:val="both"/>
        <w:rPr>
          <w:rFonts w:ascii="Times New Roman" w:hAnsi="Times New Roman" w:cs="Times New Roman"/>
          <w:sz w:val="28"/>
          <w:szCs w:val="28"/>
        </w:rPr>
      </w:pPr>
    </w:p>
    <w:p w14:paraId="4363EE1A" w14:textId="77777777" w:rsidR="009B7CED" w:rsidRPr="00D053FB" w:rsidRDefault="009B7CED" w:rsidP="009B7CED">
      <w:pPr>
        <w:pStyle w:val="ListParagraph"/>
        <w:spacing w:after="0" w:line="240" w:lineRule="auto"/>
        <w:ind w:left="0"/>
        <w:contextualSpacing w:val="0"/>
        <w:jc w:val="both"/>
        <w:rPr>
          <w:rFonts w:ascii="Times New Roman" w:hAnsi="Times New Roman" w:cs="Times New Roman"/>
          <w:sz w:val="28"/>
          <w:szCs w:val="28"/>
        </w:rPr>
      </w:pPr>
    </w:p>
    <w:p w14:paraId="2E850543" w14:textId="77777777" w:rsidR="009B7CED" w:rsidRPr="00D053FB" w:rsidRDefault="009B7CED" w:rsidP="009B7CED">
      <w:pPr>
        <w:pStyle w:val="ListParagraph"/>
        <w:spacing w:after="0" w:line="240" w:lineRule="auto"/>
        <w:ind w:left="0"/>
        <w:contextualSpacing w:val="0"/>
        <w:jc w:val="both"/>
        <w:rPr>
          <w:rFonts w:ascii="Times New Roman" w:hAnsi="Times New Roman" w:cs="Times New Roman"/>
          <w:sz w:val="28"/>
          <w:szCs w:val="28"/>
        </w:rPr>
      </w:pPr>
    </w:p>
    <w:p w14:paraId="4027AA17" w14:textId="5D849C5D" w:rsidR="009B7CED" w:rsidRPr="00A27F7C" w:rsidRDefault="009B7CED" w:rsidP="009B7CED">
      <w:pPr>
        <w:autoSpaceDE w:val="0"/>
        <w:autoSpaceDN w:val="0"/>
        <w:adjustRightInd w:val="0"/>
        <w:spacing w:after="0" w:line="240" w:lineRule="auto"/>
        <w:rPr>
          <w:rFonts w:ascii="MS Shell Dlg 2" w:hAnsi="MS Shell Dlg 2" w:cs="MS Shell Dlg 2"/>
          <w:sz w:val="16"/>
          <w:szCs w:val="16"/>
          <w:lang w:val="fr-CA"/>
        </w:rPr>
      </w:pPr>
      <w:r w:rsidRPr="00D053FB">
        <w:rPr>
          <w:rFonts w:ascii="Times New Roman" w:hAnsi="Times New Roman" w:cs="Times New Roman"/>
          <w:sz w:val="28"/>
          <w:szCs w:val="28"/>
        </w:rPr>
        <w:fldChar w:fldCharType="begin"/>
      </w:r>
      <w:r w:rsidRPr="00221F3A">
        <w:rPr>
          <w:rFonts w:ascii="Times New Roman" w:hAnsi="Times New Roman" w:cs="Times New Roman"/>
          <w:sz w:val="28"/>
          <w:szCs w:val="28"/>
          <w:lang w:val="fr-CA"/>
        </w:rPr>
        <w:instrText xml:space="preserve"> SEQ CHAPTER \h \r 1</w:instrText>
      </w:r>
      <w:r w:rsidRPr="00D053FB">
        <w:rPr>
          <w:rFonts w:ascii="Times New Roman" w:hAnsi="Times New Roman" w:cs="Times New Roman"/>
          <w:sz w:val="28"/>
          <w:szCs w:val="28"/>
        </w:rPr>
        <w:fldChar w:fldCharType="end"/>
      </w:r>
      <w:r w:rsidRPr="00221F3A">
        <w:rPr>
          <w:rFonts w:ascii="Times New Roman" w:hAnsi="Times New Roman" w:cs="Times New Roman"/>
          <w:sz w:val="28"/>
          <w:szCs w:val="28"/>
          <w:lang w:val="fr-CA"/>
        </w:rPr>
        <w:tab/>
      </w:r>
      <w:r w:rsidRPr="00221F3A">
        <w:rPr>
          <w:rFonts w:ascii="Times New Roman" w:hAnsi="Times New Roman" w:cs="Times New Roman"/>
          <w:sz w:val="28"/>
          <w:szCs w:val="28"/>
          <w:lang w:val="fr-CA"/>
        </w:rPr>
        <w:tab/>
      </w:r>
      <w:r w:rsidRPr="00221F3A">
        <w:rPr>
          <w:rFonts w:ascii="Times New Roman" w:hAnsi="Times New Roman" w:cs="Times New Roman"/>
          <w:sz w:val="28"/>
          <w:szCs w:val="28"/>
          <w:lang w:val="fr-CA"/>
        </w:rPr>
        <w:tab/>
      </w:r>
      <w:r w:rsidRPr="00221F3A">
        <w:rPr>
          <w:rFonts w:ascii="Times New Roman" w:hAnsi="Times New Roman" w:cs="Times New Roman"/>
          <w:sz w:val="28"/>
          <w:szCs w:val="28"/>
          <w:lang w:val="fr-CA"/>
        </w:rPr>
        <w:tab/>
      </w:r>
      <w:r w:rsidRPr="00221F3A">
        <w:rPr>
          <w:rFonts w:ascii="Times New Roman" w:hAnsi="Times New Roman" w:cs="Times New Roman"/>
          <w:sz w:val="28"/>
          <w:szCs w:val="28"/>
          <w:lang w:val="fr-CA"/>
        </w:rPr>
        <w:tab/>
      </w:r>
      <w:r w:rsidRPr="00221F3A">
        <w:rPr>
          <w:rFonts w:ascii="Times New Roman" w:hAnsi="Times New Roman" w:cs="Times New Roman"/>
          <w:sz w:val="28"/>
          <w:szCs w:val="28"/>
          <w:lang w:val="fr-CA"/>
        </w:rPr>
        <w:tab/>
      </w:r>
      <w:r w:rsidRPr="00221F3A">
        <w:rPr>
          <w:rFonts w:ascii="Times New Roman" w:hAnsi="Times New Roman" w:cs="Times New Roman"/>
          <w:sz w:val="28"/>
          <w:szCs w:val="28"/>
          <w:lang w:val="fr-CA"/>
        </w:rPr>
        <w:tab/>
      </w:r>
      <w:r w:rsidRPr="00221F3A">
        <w:rPr>
          <w:rFonts w:ascii="Times New Roman" w:hAnsi="Times New Roman" w:cs="Times New Roman"/>
          <w:sz w:val="28"/>
          <w:szCs w:val="28"/>
          <w:lang w:val="fr-CA"/>
        </w:rPr>
        <w:tab/>
      </w:r>
      <w:r w:rsidRPr="00A27F7C">
        <w:rPr>
          <w:rFonts w:ascii="Times New Roman" w:hAnsi="Times New Roman" w:cs="Times New Roman"/>
          <w:sz w:val="28"/>
          <w:szCs w:val="28"/>
          <w:lang w:val="fr-CA"/>
        </w:rPr>
        <w:t>Annie Piché</w:t>
      </w:r>
    </w:p>
    <w:p w14:paraId="4CB50A86" w14:textId="77777777" w:rsidR="009B7CED" w:rsidRPr="00A27F7C" w:rsidRDefault="009B7CED" w:rsidP="009B7CED">
      <w:pPr>
        <w:spacing w:after="0" w:line="240" w:lineRule="auto"/>
        <w:jc w:val="both"/>
        <w:rPr>
          <w:rFonts w:ascii="Times New Roman" w:hAnsi="Times New Roman" w:cs="Times New Roman"/>
          <w:sz w:val="28"/>
          <w:szCs w:val="28"/>
          <w:lang w:val="fr-CA"/>
        </w:rPr>
      </w:pP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r>
      <w:r w:rsidRPr="00A27F7C">
        <w:rPr>
          <w:rFonts w:ascii="Times New Roman" w:hAnsi="Times New Roman" w:cs="Times New Roman"/>
          <w:sz w:val="28"/>
          <w:szCs w:val="28"/>
          <w:lang w:val="fr-CA"/>
        </w:rPr>
        <w:tab/>
        <w:t xml:space="preserve">    J.S.C.</w:t>
      </w:r>
    </w:p>
    <w:p w14:paraId="58618C2C" w14:textId="77777777" w:rsidR="009B7CED" w:rsidRPr="00A27F7C" w:rsidRDefault="009B7CED" w:rsidP="009B7CED">
      <w:pPr>
        <w:spacing w:after="0" w:line="240" w:lineRule="auto"/>
        <w:jc w:val="both"/>
        <w:rPr>
          <w:rFonts w:ascii="Times New Roman" w:hAnsi="Times New Roman" w:cs="Times New Roman"/>
          <w:sz w:val="28"/>
          <w:szCs w:val="28"/>
          <w:lang w:val="fr-CA"/>
        </w:rPr>
      </w:pPr>
    </w:p>
    <w:p w14:paraId="314B577E" w14:textId="77777777" w:rsidR="009B7CED" w:rsidRPr="00D053FB" w:rsidRDefault="009B7CED" w:rsidP="009B7CED">
      <w:pPr>
        <w:spacing w:after="0" w:line="240" w:lineRule="auto"/>
        <w:jc w:val="both"/>
        <w:rPr>
          <w:rFonts w:ascii="Times New Roman" w:hAnsi="Times New Roman" w:cs="Times New Roman"/>
          <w:sz w:val="28"/>
          <w:szCs w:val="28"/>
        </w:rPr>
      </w:pPr>
      <w:r w:rsidRPr="00D053FB">
        <w:rPr>
          <w:rFonts w:ascii="Times New Roman" w:hAnsi="Times New Roman" w:cs="Times New Roman"/>
          <w:sz w:val="28"/>
          <w:szCs w:val="28"/>
        </w:rPr>
        <w:t>Dated at Yellowknife, NT, this</w:t>
      </w:r>
    </w:p>
    <w:p w14:paraId="6351CA6F" w14:textId="4025D7F1" w:rsidR="009B7CED" w:rsidRPr="00D053FB" w:rsidRDefault="00A67646" w:rsidP="009B7C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r w:rsidR="007D6AE7" w:rsidRPr="00083CBC">
        <w:rPr>
          <w:rFonts w:ascii="Times New Roman" w:hAnsi="Times New Roman" w:cs="Times New Roman"/>
          <w:sz w:val="28"/>
          <w:szCs w:val="28"/>
          <w:vertAlign w:val="superscript"/>
        </w:rPr>
        <w:t>th</w:t>
      </w:r>
      <w:r w:rsidR="00AB4193" w:rsidRPr="00A67646">
        <w:rPr>
          <w:rFonts w:ascii="Times New Roman" w:hAnsi="Times New Roman" w:cs="Times New Roman"/>
          <w:sz w:val="28"/>
          <w:szCs w:val="28"/>
        </w:rPr>
        <w:t xml:space="preserve"> day</w:t>
      </w:r>
      <w:r w:rsidR="00AB4193">
        <w:rPr>
          <w:rFonts w:ascii="Times New Roman" w:hAnsi="Times New Roman" w:cs="Times New Roman"/>
          <w:sz w:val="28"/>
          <w:szCs w:val="28"/>
        </w:rPr>
        <w:t xml:space="preserve"> of September 2025</w:t>
      </w:r>
    </w:p>
    <w:p w14:paraId="53D002E1" w14:textId="77777777" w:rsidR="009B7CED" w:rsidRPr="00D053FB" w:rsidRDefault="009B7CED" w:rsidP="009B7CED">
      <w:pPr>
        <w:tabs>
          <w:tab w:val="left" w:pos="720"/>
          <w:tab w:val="left" w:pos="1440"/>
          <w:tab w:val="left" w:pos="2160"/>
          <w:tab w:val="left" w:pos="2880"/>
          <w:tab w:val="left" w:pos="3600"/>
        </w:tabs>
        <w:spacing w:after="0" w:line="240" w:lineRule="auto"/>
        <w:ind w:left="3600" w:hanging="3600"/>
        <w:jc w:val="both"/>
        <w:rPr>
          <w:rFonts w:ascii="Times New Roman" w:hAnsi="Times New Roman" w:cs="Times New Roman"/>
          <w:sz w:val="28"/>
          <w:szCs w:val="28"/>
        </w:rPr>
      </w:pPr>
    </w:p>
    <w:p w14:paraId="6E0B438F" w14:textId="7EC78BAA" w:rsidR="009B7CED" w:rsidRPr="00D053FB" w:rsidRDefault="009B7CED" w:rsidP="009B7CED">
      <w:pPr>
        <w:tabs>
          <w:tab w:val="left" w:pos="720"/>
          <w:tab w:val="left" w:pos="1440"/>
          <w:tab w:val="left" w:pos="2160"/>
          <w:tab w:val="left" w:pos="2880"/>
          <w:tab w:val="left" w:pos="3510"/>
          <w:tab w:val="left" w:pos="3600"/>
        </w:tabs>
        <w:spacing w:after="0" w:line="240" w:lineRule="auto"/>
        <w:ind w:left="3600" w:hanging="3600"/>
        <w:jc w:val="both"/>
        <w:rPr>
          <w:rFonts w:ascii="Times New Roman" w:hAnsi="Times New Roman" w:cs="Times New Roman"/>
          <w:sz w:val="28"/>
          <w:szCs w:val="28"/>
        </w:rPr>
      </w:pPr>
      <w:r w:rsidRPr="00D053FB">
        <w:rPr>
          <w:rFonts w:ascii="Times New Roman" w:hAnsi="Times New Roman" w:cs="Times New Roman"/>
          <w:sz w:val="28"/>
          <w:szCs w:val="28"/>
        </w:rPr>
        <w:t>Counsel for Plaintiff:</w:t>
      </w:r>
      <w:r w:rsidR="0006064A">
        <w:rPr>
          <w:rFonts w:ascii="Times New Roman" w:hAnsi="Times New Roman" w:cs="Times New Roman"/>
          <w:sz w:val="28"/>
          <w:szCs w:val="28"/>
        </w:rPr>
        <w:tab/>
        <w:t>L. Douglas Rae</w:t>
      </w:r>
    </w:p>
    <w:p w14:paraId="412BAC47" w14:textId="77777777" w:rsidR="009B7CED" w:rsidRPr="00D053FB" w:rsidRDefault="009B7CED" w:rsidP="009B7CED">
      <w:pPr>
        <w:tabs>
          <w:tab w:val="left" w:pos="720"/>
          <w:tab w:val="left" w:pos="1440"/>
          <w:tab w:val="left" w:pos="2160"/>
          <w:tab w:val="left" w:pos="2880"/>
          <w:tab w:val="left" w:pos="3510"/>
          <w:tab w:val="left" w:pos="3600"/>
        </w:tabs>
        <w:spacing w:after="0" w:line="240" w:lineRule="auto"/>
        <w:ind w:left="3600" w:hanging="3600"/>
        <w:jc w:val="both"/>
        <w:rPr>
          <w:rFonts w:ascii="Times New Roman" w:hAnsi="Times New Roman" w:cs="Times New Roman"/>
          <w:sz w:val="28"/>
          <w:szCs w:val="28"/>
        </w:rPr>
      </w:pPr>
    </w:p>
    <w:p w14:paraId="437CE5DA" w14:textId="39B9E8FE" w:rsidR="009B7CED" w:rsidRPr="00D053FB" w:rsidRDefault="009B7CED" w:rsidP="009B7CED">
      <w:pPr>
        <w:tabs>
          <w:tab w:val="left" w:pos="720"/>
          <w:tab w:val="left" w:pos="1440"/>
          <w:tab w:val="left" w:pos="2160"/>
          <w:tab w:val="left" w:pos="2880"/>
          <w:tab w:val="left" w:pos="3510"/>
          <w:tab w:val="left" w:pos="3600"/>
        </w:tabs>
        <w:spacing w:after="0" w:line="240" w:lineRule="auto"/>
        <w:jc w:val="both"/>
        <w:rPr>
          <w:rFonts w:ascii="Times New Roman" w:hAnsi="Times New Roman" w:cs="Times New Roman"/>
          <w:sz w:val="28"/>
          <w:szCs w:val="28"/>
        </w:rPr>
      </w:pPr>
      <w:r w:rsidRPr="00D053FB">
        <w:rPr>
          <w:rFonts w:ascii="Times New Roman" w:hAnsi="Times New Roman" w:cs="Times New Roman"/>
          <w:sz w:val="28"/>
          <w:szCs w:val="28"/>
        </w:rPr>
        <w:t>Counsel for Defendant</w:t>
      </w:r>
      <w:r w:rsidR="0006064A">
        <w:rPr>
          <w:rFonts w:ascii="Times New Roman" w:hAnsi="Times New Roman" w:cs="Times New Roman"/>
          <w:sz w:val="28"/>
          <w:szCs w:val="28"/>
        </w:rPr>
        <w:t xml:space="preserve">:  </w:t>
      </w:r>
      <w:r w:rsidR="0006064A">
        <w:rPr>
          <w:rFonts w:ascii="Times New Roman" w:hAnsi="Times New Roman" w:cs="Times New Roman"/>
          <w:sz w:val="28"/>
          <w:szCs w:val="28"/>
        </w:rPr>
        <w:tab/>
      </w:r>
      <w:proofErr w:type="spellStart"/>
      <w:r w:rsidR="0006064A">
        <w:rPr>
          <w:rFonts w:ascii="Times New Roman" w:hAnsi="Times New Roman" w:cs="Times New Roman"/>
          <w:sz w:val="28"/>
          <w:szCs w:val="28"/>
        </w:rPr>
        <w:t>Wenqi</w:t>
      </w:r>
      <w:proofErr w:type="spellEnd"/>
      <w:r w:rsidR="0006064A">
        <w:rPr>
          <w:rFonts w:ascii="Times New Roman" w:hAnsi="Times New Roman" w:cs="Times New Roman"/>
          <w:sz w:val="28"/>
          <w:szCs w:val="28"/>
        </w:rPr>
        <w:t xml:space="preserve"> (Wendy) Zhang </w:t>
      </w:r>
      <w:r w:rsidR="007E5A2A">
        <w:rPr>
          <w:rFonts w:ascii="Times New Roman" w:hAnsi="Times New Roman" w:cs="Times New Roman"/>
          <w:sz w:val="28"/>
          <w:szCs w:val="28"/>
        </w:rPr>
        <w:t>and Nathania Ng</w:t>
      </w:r>
    </w:p>
    <w:p w14:paraId="016EB5BC" w14:textId="77777777" w:rsidR="009B7CED" w:rsidRDefault="009B7CED" w:rsidP="00925F03">
      <w:pPr>
        <w:spacing w:after="0" w:line="240" w:lineRule="auto"/>
        <w:jc w:val="both"/>
        <w:rPr>
          <w:rFonts w:ascii="Times New Roman" w:hAnsi="Times New Roman" w:cs="Times New Roman"/>
          <w:bCs/>
          <w:sz w:val="28"/>
          <w:szCs w:val="28"/>
        </w:rPr>
      </w:pPr>
    </w:p>
    <w:p w14:paraId="35E69ADB" w14:textId="77777777" w:rsidR="00EA038F" w:rsidRDefault="00EA038F" w:rsidP="00925F03">
      <w:pPr>
        <w:spacing w:after="0" w:line="240" w:lineRule="auto"/>
        <w:jc w:val="both"/>
        <w:rPr>
          <w:rFonts w:ascii="Times New Roman" w:hAnsi="Times New Roman" w:cs="Times New Roman"/>
          <w:bCs/>
          <w:sz w:val="28"/>
          <w:szCs w:val="28"/>
        </w:rPr>
      </w:pPr>
    </w:p>
    <w:p w14:paraId="0E79BE91" w14:textId="77777777" w:rsidR="00135F1E" w:rsidRDefault="00135F1E" w:rsidP="00925F03">
      <w:pPr>
        <w:spacing w:after="0" w:line="240" w:lineRule="auto"/>
        <w:jc w:val="both"/>
        <w:rPr>
          <w:rFonts w:ascii="Times New Roman" w:hAnsi="Times New Roman" w:cs="Times New Roman"/>
          <w:bCs/>
          <w:sz w:val="28"/>
          <w:szCs w:val="28"/>
        </w:rPr>
        <w:sectPr w:rsidR="00135F1E" w:rsidSect="00C819BC">
          <w:headerReference w:type="default" r:id="rId11"/>
          <w:headerReference w:type="first" r:id="rId12"/>
          <w:pgSz w:w="12240" w:h="15840"/>
          <w:pgMar w:top="813" w:right="1467" w:bottom="1440" w:left="1440" w:header="680" w:footer="720" w:gutter="0"/>
          <w:cols w:space="720"/>
          <w:titlePg/>
          <w:docGrid w:linePitch="360"/>
        </w:sectPr>
      </w:pPr>
    </w:p>
    <w:p w14:paraId="3B1D5ECB" w14:textId="77777777" w:rsidR="0073068D" w:rsidRDefault="0073068D" w:rsidP="00925F03">
      <w:pPr>
        <w:spacing w:after="0" w:line="240" w:lineRule="auto"/>
        <w:jc w:val="both"/>
        <w:rPr>
          <w:rFonts w:ascii="Times New Roman" w:hAnsi="Times New Roman" w:cs="Times New Roman"/>
          <w:bCs/>
          <w:sz w:val="28"/>
          <w:szCs w:val="28"/>
        </w:rPr>
      </w:pPr>
    </w:p>
    <w:p w14:paraId="5B99A1B9" w14:textId="77777777" w:rsidR="00EA038F" w:rsidRDefault="00EA038F" w:rsidP="00925F03">
      <w:pPr>
        <w:spacing w:after="0" w:line="240" w:lineRule="auto"/>
        <w:jc w:val="both"/>
        <w:rPr>
          <w:rFonts w:ascii="Times New Roman" w:hAnsi="Times New Roman" w:cs="Times New Roman"/>
          <w:bCs/>
          <w:sz w:val="28"/>
          <w:szCs w:val="28"/>
        </w:rPr>
      </w:pPr>
    </w:p>
    <w:p w14:paraId="79BAB8BF" w14:textId="77777777" w:rsidR="00EA038F" w:rsidRDefault="00EA038F" w:rsidP="00925F03">
      <w:pPr>
        <w:spacing w:after="0" w:line="240" w:lineRule="auto"/>
        <w:jc w:val="both"/>
        <w:rPr>
          <w:rFonts w:ascii="Times New Roman" w:hAnsi="Times New Roman" w:cs="Times New Roman"/>
          <w:bCs/>
          <w:sz w:val="28"/>
          <w:szCs w:val="28"/>
        </w:rPr>
      </w:pPr>
    </w:p>
    <w:p w14:paraId="56E9D742" w14:textId="77777777" w:rsidR="00BD5D9C" w:rsidRPr="00D053FB" w:rsidRDefault="00BD5D9C" w:rsidP="00BD5D9C">
      <w:pPr>
        <w:spacing w:after="0" w:line="240" w:lineRule="auto"/>
        <w:jc w:val="both"/>
        <w:rPr>
          <w:rFonts w:ascii="Times New Roman" w:hAnsi="Times New Roman" w:cs="Times New Roman"/>
          <w:sz w:val="28"/>
          <w:szCs w:val="28"/>
        </w:rPr>
      </w:pPr>
    </w:p>
    <w:tbl>
      <w:tblPr>
        <w:tblStyle w:val="TableGrid"/>
        <w:tblpPr w:leftFromText="180" w:rightFromText="180" w:horzAnchor="margin" w:tblpXSpec="right" w:tblpY="510"/>
        <w:tblW w:w="0" w:type="auto"/>
        <w:tblBorders>
          <w:top w:val="none" w:sz="0" w:space="0" w:color="auto"/>
          <w:left w:val="none" w:sz="0" w:space="0" w:color="auto"/>
          <w:right w:val="none" w:sz="0" w:space="0" w:color="auto"/>
        </w:tblBorders>
        <w:tblLook w:val="04A0" w:firstRow="1" w:lastRow="0" w:firstColumn="1" w:lastColumn="0" w:noHBand="0" w:noVBand="1"/>
      </w:tblPr>
      <w:tblGrid>
        <w:gridCol w:w="6408"/>
      </w:tblGrid>
      <w:tr w:rsidR="00BD5D9C" w:rsidRPr="00D053FB" w14:paraId="1F24A0D4" w14:textId="77777777" w:rsidTr="002F16E5">
        <w:tc>
          <w:tcPr>
            <w:tcW w:w="6408" w:type="dxa"/>
          </w:tcPr>
          <w:p w14:paraId="63F3E853" w14:textId="029E51BD" w:rsidR="00BD5D9C" w:rsidRPr="00D053FB" w:rsidRDefault="005E3D87" w:rsidP="00DF4FE6">
            <w:pPr>
              <w:jc w:val="right"/>
              <w:rPr>
                <w:rFonts w:ascii="Times New Roman" w:hAnsi="Times New Roman" w:cs="Times New Roman"/>
                <w:sz w:val="28"/>
                <w:szCs w:val="28"/>
                <w:lang w:val="en-CA"/>
              </w:rPr>
            </w:pPr>
            <w:r w:rsidRPr="005E3D87">
              <w:rPr>
                <w:rFonts w:ascii="Times New Roman" w:hAnsi="Times New Roman" w:cs="Times New Roman"/>
                <w:sz w:val="28"/>
                <w:szCs w:val="28"/>
                <w:lang w:val="en-CA"/>
              </w:rPr>
              <w:t>S-1-CV-2020-000239</w:t>
            </w:r>
          </w:p>
        </w:tc>
      </w:tr>
      <w:tr w:rsidR="00BD5D9C" w:rsidRPr="00D053FB" w14:paraId="452F245F" w14:textId="77777777" w:rsidTr="002F16E5">
        <w:tc>
          <w:tcPr>
            <w:tcW w:w="6408" w:type="dxa"/>
          </w:tcPr>
          <w:p w14:paraId="5B3AB556" w14:textId="77777777" w:rsidR="00BD5D9C" w:rsidRPr="00D053FB" w:rsidRDefault="00BD5D9C" w:rsidP="002F16E5">
            <w:pPr>
              <w:tabs>
                <w:tab w:val="center" w:pos="2784"/>
              </w:tabs>
              <w:jc w:val="center"/>
              <w:rPr>
                <w:rFonts w:ascii="Times New Roman" w:hAnsi="Times New Roman" w:cs="Times New Roman"/>
                <w:b/>
                <w:bCs/>
                <w:sz w:val="28"/>
                <w:szCs w:val="28"/>
                <w:lang w:val="en-CA"/>
              </w:rPr>
            </w:pPr>
          </w:p>
          <w:p w14:paraId="764B99A7" w14:textId="77777777" w:rsidR="00BD5D9C" w:rsidRPr="00D053FB" w:rsidRDefault="00BD5D9C" w:rsidP="002F16E5">
            <w:pPr>
              <w:tabs>
                <w:tab w:val="center" w:pos="2784"/>
              </w:tabs>
              <w:jc w:val="center"/>
              <w:rPr>
                <w:rFonts w:ascii="Times New Roman" w:hAnsi="Times New Roman" w:cs="Times New Roman"/>
                <w:b/>
                <w:bCs/>
                <w:sz w:val="28"/>
                <w:szCs w:val="28"/>
                <w:lang w:val="en-CA"/>
              </w:rPr>
            </w:pPr>
            <w:r w:rsidRPr="00D053FB">
              <w:rPr>
                <w:rFonts w:ascii="Times New Roman" w:hAnsi="Times New Roman" w:cs="Times New Roman"/>
                <w:b/>
                <w:bCs/>
                <w:sz w:val="28"/>
                <w:szCs w:val="28"/>
                <w:lang w:val="en-CA"/>
              </w:rPr>
              <w:t>IN THE SUPREME COURT OF THE</w:t>
            </w:r>
          </w:p>
          <w:p w14:paraId="4D528DB5" w14:textId="77777777" w:rsidR="00BD5D9C" w:rsidRPr="00D053FB" w:rsidRDefault="00BD5D9C" w:rsidP="002F16E5">
            <w:pPr>
              <w:tabs>
                <w:tab w:val="center" w:pos="2784"/>
                <w:tab w:val="left" w:pos="4740"/>
              </w:tabs>
              <w:jc w:val="center"/>
              <w:rPr>
                <w:rFonts w:ascii="Times New Roman" w:hAnsi="Times New Roman" w:cs="Times New Roman"/>
                <w:b/>
                <w:bCs/>
                <w:sz w:val="28"/>
                <w:szCs w:val="28"/>
                <w:lang w:val="en-CA"/>
              </w:rPr>
            </w:pPr>
            <w:r w:rsidRPr="00D053FB">
              <w:rPr>
                <w:rFonts w:ascii="Times New Roman" w:hAnsi="Times New Roman" w:cs="Times New Roman"/>
                <w:b/>
                <w:bCs/>
                <w:sz w:val="28"/>
                <w:szCs w:val="28"/>
                <w:lang w:val="en-CA"/>
              </w:rPr>
              <w:t>NORTHWEST TERRITORIES</w:t>
            </w:r>
          </w:p>
          <w:p w14:paraId="73134446" w14:textId="77777777" w:rsidR="00BD5D9C" w:rsidRPr="00D053FB" w:rsidRDefault="00BD5D9C" w:rsidP="002F16E5">
            <w:pPr>
              <w:pStyle w:val="NoSpacing"/>
              <w:jc w:val="center"/>
              <w:rPr>
                <w:rFonts w:ascii="Times New Roman" w:hAnsi="Times New Roman" w:cs="Times New Roman"/>
                <w:sz w:val="28"/>
                <w:szCs w:val="28"/>
                <w:lang w:val="en-CA"/>
              </w:rPr>
            </w:pPr>
          </w:p>
        </w:tc>
      </w:tr>
      <w:tr w:rsidR="00BD5D9C" w:rsidRPr="00D053FB" w14:paraId="609D3607" w14:textId="77777777" w:rsidTr="002F16E5">
        <w:tc>
          <w:tcPr>
            <w:tcW w:w="6408" w:type="dxa"/>
          </w:tcPr>
          <w:p w14:paraId="3C931C91" w14:textId="15978E37" w:rsidR="00BD5D9C" w:rsidRPr="00200BA2" w:rsidRDefault="00200BA2" w:rsidP="002F16E5">
            <w:pPr>
              <w:jc w:val="both"/>
              <w:rPr>
                <w:rFonts w:ascii="Times New Roman" w:hAnsi="Times New Roman" w:cs="Times New Roman"/>
                <w:b/>
                <w:bCs/>
                <w:sz w:val="28"/>
                <w:szCs w:val="28"/>
                <w:lang w:val="en-CA"/>
              </w:rPr>
            </w:pPr>
            <w:r w:rsidRPr="00200BA2">
              <w:rPr>
                <w:rFonts w:ascii="Times New Roman" w:hAnsi="Times New Roman" w:cs="Times New Roman"/>
                <w:b/>
                <w:bCs/>
                <w:sz w:val="28"/>
                <w:szCs w:val="28"/>
                <w:lang w:val="en-CA"/>
              </w:rPr>
              <w:t>Between:</w:t>
            </w:r>
          </w:p>
          <w:p w14:paraId="2FB91A7D" w14:textId="77777777" w:rsidR="005E3D87" w:rsidRPr="00D053FB" w:rsidRDefault="005E3D87" w:rsidP="005E3D87">
            <w:pPr>
              <w:spacing w:line="240" w:lineRule="auto"/>
              <w:jc w:val="center"/>
              <w:rPr>
                <w:rFonts w:ascii="Times New Roman" w:hAnsi="Times New Roman" w:cs="Times New Roman"/>
                <w:sz w:val="28"/>
                <w:szCs w:val="28"/>
              </w:rPr>
            </w:pPr>
            <w:r w:rsidRPr="00D053FB">
              <w:rPr>
                <w:rFonts w:ascii="Times New Roman" w:hAnsi="Times New Roman" w:cs="Times New Roman"/>
                <w:sz w:val="28"/>
                <w:szCs w:val="28"/>
              </w:rPr>
              <w:t>ACHO DENE KOE FIRST NATION</w:t>
            </w:r>
          </w:p>
          <w:p w14:paraId="6B3A0141" w14:textId="77777777" w:rsidR="005E3D87" w:rsidRPr="00D053FB" w:rsidRDefault="005E3D87" w:rsidP="005E3D87">
            <w:pPr>
              <w:spacing w:line="240" w:lineRule="auto"/>
              <w:contextualSpacing/>
              <w:jc w:val="right"/>
              <w:rPr>
                <w:rFonts w:ascii="Times New Roman" w:eastAsia="Calibri" w:hAnsi="Times New Roman" w:cs="Times New Roman"/>
                <w:sz w:val="28"/>
                <w:szCs w:val="28"/>
              </w:rPr>
            </w:pPr>
            <w:r w:rsidRPr="00D053FB">
              <w:rPr>
                <w:rFonts w:ascii="Times New Roman" w:eastAsia="Calibri" w:hAnsi="Times New Roman" w:cs="Times New Roman"/>
                <w:sz w:val="28"/>
                <w:szCs w:val="28"/>
              </w:rPr>
              <w:t>Plaintiff/Applicant</w:t>
            </w:r>
          </w:p>
          <w:p w14:paraId="2B4EFE45" w14:textId="77777777" w:rsidR="005E3D87" w:rsidRPr="00D053FB" w:rsidRDefault="005E3D87" w:rsidP="005E3D87">
            <w:pPr>
              <w:spacing w:line="240" w:lineRule="auto"/>
              <w:jc w:val="center"/>
              <w:rPr>
                <w:rFonts w:ascii="Times New Roman" w:hAnsi="Times New Roman" w:cs="Times New Roman"/>
                <w:sz w:val="28"/>
                <w:szCs w:val="28"/>
              </w:rPr>
            </w:pPr>
          </w:p>
          <w:p w14:paraId="107D6706" w14:textId="77777777" w:rsidR="005E3D87" w:rsidRPr="00D053FB" w:rsidRDefault="005E3D87" w:rsidP="005E3D87">
            <w:pPr>
              <w:spacing w:line="240" w:lineRule="auto"/>
              <w:jc w:val="center"/>
              <w:rPr>
                <w:rFonts w:ascii="Times New Roman" w:hAnsi="Times New Roman" w:cs="Times New Roman"/>
                <w:sz w:val="28"/>
                <w:szCs w:val="28"/>
              </w:rPr>
            </w:pPr>
            <w:r w:rsidRPr="00D053FB">
              <w:rPr>
                <w:rFonts w:ascii="Times New Roman" w:hAnsi="Times New Roman" w:cs="Times New Roman"/>
                <w:sz w:val="28"/>
                <w:szCs w:val="28"/>
              </w:rPr>
              <w:t>-and-</w:t>
            </w:r>
          </w:p>
          <w:p w14:paraId="35E60F5F" w14:textId="77777777" w:rsidR="005E3D87" w:rsidRPr="00D053FB" w:rsidRDefault="005E3D87" w:rsidP="005E3D87">
            <w:pPr>
              <w:spacing w:line="240" w:lineRule="auto"/>
              <w:jc w:val="center"/>
              <w:rPr>
                <w:rFonts w:ascii="Times New Roman" w:hAnsi="Times New Roman" w:cs="Times New Roman"/>
                <w:sz w:val="28"/>
                <w:szCs w:val="28"/>
              </w:rPr>
            </w:pPr>
          </w:p>
          <w:p w14:paraId="55E88035" w14:textId="77777777" w:rsidR="005E3D87" w:rsidRPr="00D053FB" w:rsidRDefault="005E3D87" w:rsidP="005E3D87">
            <w:pPr>
              <w:spacing w:line="240" w:lineRule="auto"/>
              <w:jc w:val="center"/>
              <w:rPr>
                <w:rFonts w:ascii="Times New Roman" w:hAnsi="Times New Roman" w:cs="Times New Roman"/>
                <w:sz w:val="28"/>
                <w:szCs w:val="28"/>
              </w:rPr>
            </w:pPr>
            <w:r w:rsidRPr="00D053FB">
              <w:rPr>
                <w:rFonts w:ascii="Times New Roman" w:hAnsi="Times New Roman" w:cs="Times New Roman"/>
                <w:sz w:val="28"/>
                <w:szCs w:val="28"/>
              </w:rPr>
              <w:t>PARAMOUNT RESOURCES LTD.</w:t>
            </w:r>
          </w:p>
          <w:p w14:paraId="538B6325" w14:textId="77777777" w:rsidR="005E3D87" w:rsidRPr="00D053FB" w:rsidRDefault="005E3D87" w:rsidP="005E3D87">
            <w:pPr>
              <w:spacing w:line="240" w:lineRule="auto"/>
              <w:contextualSpacing/>
              <w:jc w:val="right"/>
              <w:rPr>
                <w:rFonts w:ascii="Times New Roman" w:hAnsi="Times New Roman" w:cs="Times New Roman"/>
                <w:sz w:val="28"/>
                <w:szCs w:val="28"/>
              </w:rPr>
            </w:pPr>
            <w:r w:rsidRPr="00D053FB">
              <w:rPr>
                <w:rFonts w:ascii="Times New Roman" w:hAnsi="Times New Roman" w:cs="Times New Roman"/>
                <w:sz w:val="28"/>
                <w:szCs w:val="28"/>
              </w:rPr>
              <w:t>Defendant/Respondent</w:t>
            </w:r>
          </w:p>
          <w:p w14:paraId="557E129F" w14:textId="1C4F77F1" w:rsidR="00BD5D9C" w:rsidRPr="005E3D87" w:rsidRDefault="00BD5D9C" w:rsidP="00B21448">
            <w:pPr>
              <w:jc w:val="right"/>
              <w:rPr>
                <w:rFonts w:ascii="Times New Roman" w:eastAsia="Calibri" w:hAnsi="Times New Roman" w:cs="Times New Roman"/>
                <w:sz w:val="28"/>
                <w:szCs w:val="28"/>
              </w:rPr>
            </w:pPr>
          </w:p>
        </w:tc>
      </w:tr>
      <w:tr w:rsidR="00BD5D9C" w:rsidRPr="00D053FB" w14:paraId="2D4B0F52" w14:textId="77777777" w:rsidTr="00785CCD">
        <w:trPr>
          <w:trHeight w:val="2605"/>
        </w:trPr>
        <w:tc>
          <w:tcPr>
            <w:tcW w:w="6408" w:type="dxa"/>
          </w:tcPr>
          <w:p w14:paraId="0A2E9A57" w14:textId="77777777" w:rsidR="00BD5D9C" w:rsidRPr="005E3D87" w:rsidRDefault="00BD5D9C" w:rsidP="002F16E5">
            <w:pPr>
              <w:tabs>
                <w:tab w:val="left" w:pos="720"/>
                <w:tab w:val="left" w:pos="1452"/>
                <w:tab w:val="left" w:pos="2392"/>
              </w:tabs>
              <w:jc w:val="center"/>
              <w:rPr>
                <w:rFonts w:ascii="Times New Roman" w:hAnsi="Times New Roman" w:cs="Times New Roman"/>
                <w:sz w:val="28"/>
                <w:szCs w:val="28"/>
                <w:lang w:val="en-CA"/>
              </w:rPr>
            </w:pPr>
          </w:p>
          <w:p w14:paraId="28C95C79" w14:textId="77777777" w:rsidR="00200BA2" w:rsidRDefault="00BD5D9C" w:rsidP="005E3D87">
            <w:pPr>
              <w:spacing w:after="0" w:line="240" w:lineRule="auto"/>
              <w:jc w:val="center"/>
              <w:rPr>
                <w:rFonts w:ascii="Times New Roman" w:hAnsi="Times New Roman" w:cs="Times New Roman"/>
                <w:sz w:val="28"/>
                <w:szCs w:val="28"/>
                <w:lang w:val="en-CA"/>
              </w:rPr>
            </w:pPr>
            <w:r w:rsidRPr="005E3D87">
              <w:rPr>
                <w:rFonts w:ascii="Times New Roman" w:hAnsi="Times New Roman" w:cs="Times New Roman"/>
                <w:sz w:val="28"/>
                <w:szCs w:val="28"/>
                <w:lang w:val="en-CA"/>
              </w:rPr>
              <w:t>MEMORANDUM OF JUDGMENT</w:t>
            </w:r>
          </w:p>
          <w:p w14:paraId="5C52ECBA" w14:textId="77777777" w:rsidR="00200BA2" w:rsidRDefault="005E3D87" w:rsidP="005E3D87">
            <w:pPr>
              <w:spacing w:after="0" w:line="240" w:lineRule="auto"/>
              <w:jc w:val="center"/>
              <w:rPr>
                <w:rFonts w:ascii="Times New Roman" w:hAnsi="Times New Roman" w:cs="Times New Roman"/>
                <w:sz w:val="28"/>
                <w:szCs w:val="28"/>
              </w:rPr>
            </w:pPr>
            <w:r w:rsidRPr="005E3D87">
              <w:rPr>
                <w:rFonts w:ascii="Times New Roman" w:hAnsi="Times New Roman" w:cs="Times New Roman"/>
                <w:sz w:val="28"/>
                <w:szCs w:val="28"/>
              </w:rPr>
              <w:t xml:space="preserve"> ON SUMMARY JUDGMENT APPLICATION </w:t>
            </w:r>
          </w:p>
          <w:p w14:paraId="38E3AF62" w14:textId="4FED43E8" w:rsidR="00BD5D9C" w:rsidRPr="005E3D87" w:rsidRDefault="00BD5D9C" w:rsidP="005E3D87">
            <w:pPr>
              <w:spacing w:after="0" w:line="240" w:lineRule="auto"/>
              <w:jc w:val="center"/>
              <w:rPr>
                <w:rFonts w:ascii="Times New Roman" w:hAnsi="Times New Roman" w:cs="Times New Roman"/>
                <w:sz w:val="28"/>
                <w:szCs w:val="28"/>
              </w:rPr>
            </w:pPr>
            <w:r w:rsidRPr="005E3D87">
              <w:rPr>
                <w:rFonts w:ascii="Times New Roman" w:hAnsi="Times New Roman" w:cs="Times New Roman"/>
                <w:sz w:val="28"/>
                <w:szCs w:val="28"/>
                <w:lang w:val="en-CA"/>
              </w:rPr>
              <w:t>OF</w:t>
            </w:r>
          </w:p>
          <w:p w14:paraId="11CC09C9" w14:textId="77777777" w:rsidR="00BD5D9C" w:rsidRPr="005E3D87" w:rsidRDefault="00BD5D9C" w:rsidP="002F16E5">
            <w:pPr>
              <w:autoSpaceDE w:val="0"/>
              <w:autoSpaceDN w:val="0"/>
              <w:adjustRightInd w:val="0"/>
              <w:jc w:val="center"/>
              <w:rPr>
                <w:rFonts w:ascii="MS Shell Dlg 2" w:hAnsi="MS Shell Dlg 2" w:cs="MS Shell Dlg 2"/>
                <w:sz w:val="16"/>
                <w:szCs w:val="16"/>
                <w:lang w:val="en-CA"/>
              </w:rPr>
            </w:pPr>
            <w:r w:rsidRPr="005E3D87">
              <w:rPr>
                <w:rFonts w:ascii="Times New Roman" w:hAnsi="Times New Roman" w:cs="Times New Roman"/>
                <w:sz w:val="28"/>
                <w:szCs w:val="28"/>
                <w:lang w:val="en-CA"/>
              </w:rPr>
              <w:t>THE HONOURABLE JUSTICE ANNIE PICHÉ</w:t>
            </w:r>
          </w:p>
          <w:p w14:paraId="5BA02CEC" w14:textId="77777777" w:rsidR="00BD5D9C" w:rsidRPr="005E3D87" w:rsidRDefault="00BD5D9C" w:rsidP="002F16E5">
            <w:pPr>
              <w:tabs>
                <w:tab w:val="left" w:pos="720"/>
                <w:tab w:val="left" w:pos="1452"/>
                <w:tab w:val="left" w:pos="2392"/>
              </w:tabs>
              <w:jc w:val="center"/>
              <w:rPr>
                <w:rFonts w:ascii="Times New Roman" w:hAnsi="Times New Roman" w:cs="Times New Roman"/>
                <w:sz w:val="28"/>
                <w:szCs w:val="28"/>
                <w:lang w:val="en-CA"/>
              </w:rPr>
            </w:pPr>
          </w:p>
          <w:p w14:paraId="2AE84FD3" w14:textId="77777777" w:rsidR="00BD5D9C" w:rsidRPr="005E3D87" w:rsidRDefault="00BD5D9C" w:rsidP="002F16E5">
            <w:pPr>
              <w:tabs>
                <w:tab w:val="left" w:pos="720"/>
                <w:tab w:val="left" w:pos="1452"/>
                <w:tab w:val="left" w:pos="2392"/>
              </w:tabs>
              <w:jc w:val="both"/>
              <w:rPr>
                <w:rFonts w:ascii="Times New Roman" w:hAnsi="Times New Roman" w:cs="Times New Roman"/>
                <w:sz w:val="28"/>
                <w:szCs w:val="28"/>
                <w:lang w:val="en-CA"/>
              </w:rPr>
            </w:pPr>
          </w:p>
        </w:tc>
      </w:tr>
    </w:tbl>
    <w:p w14:paraId="33978313" w14:textId="77777777" w:rsidR="00BD5D9C" w:rsidRPr="00D053FB" w:rsidRDefault="00BD5D9C" w:rsidP="00BD5D9C">
      <w:pPr>
        <w:spacing w:after="0" w:line="240" w:lineRule="auto"/>
        <w:jc w:val="both"/>
        <w:rPr>
          <w:rFonts w:ascii="Times New Roman" w:hAnsi="Times New Roman" w:cs="Times New Roman"/>
          <w:sz w:val="28"/>
          <w:szCs w:val="28"/>
        </w:rPr>
        <w:sectPr w:rsidR="00BD5D9C" w:rsidRPr="00D053FB" w:rsidSect="00BD5D9C">
          <w:pgSz w:w="12240" w:h="15840"/>
          <w:pgMar w:top="1440" w:right="810" w:bottom="1440" w:left="1440" w:header="720" w:footer="720" w:gutter="0"/>
          <w:cols w:space="720"/>
          <w:titlePg/>
          <w:docGrid w:linePitch="360"/>
        </w:sectPr>
      </w:pPr>
    </w:p>
    <w:p w14:paraId="568C31EA" w14:textId="77777777" w:rsidR="00BD5D9C" w:rsidRPr="00D053FB" w:rsidRDefault="00BD5D9C" w:rsidP="00BD5D9C">
      <w:pPr>
        <w:tabs>
          <w:tab w:val="right" w:pos="4230"/>
        </w:tabs>
        <w:spacing w:after="0" w:line="240" w:lineRule="auto"/>
        <w:ind w:right="-432"/>
        <w:jc w:val="both"/>
        <w:rPr>
          <w:rFonts w:ascii="Times New Roman" w:hAnsi="Times New Roman" w:cs="Times New Roman"/>
          <w:sz w:val="28"/>
          <w:szCs w:val="28"/>
          <w:u w:val="single"/>
        </w:rPr>
      </w:pPr>
    </w:p>
    <w:p w14:paraId="5B63B8D2" w14:textId="77777777" w:rsidR="00BD5D9C" w:rsidRPr="00D053FB" w:rsidRDefault="00BD5D9C" w:rsidP="00BD5D9C">
      <w:pPr>
        <w:tabs>
          <w:tab w:val="right" w:pos="4230"/>
        </w:tabs>
        <w:spacing w:after="0" w:line="240" w:lineRule="auto"/>
        <w:ind w:right="-432"/>
        <w:jc w:val="both"/>
        <w:rPr>
          <w:rFonts w:ascii="Times New Roman" w:hAnsi="Times New Roman" w:cs="Times New Roman"/>
          <w:sz w:val="28"/>
          <w:szCs w:val="28"/>
          <w:u w:val="single"/>
        </w:rPr>
      </w:pPr>
    </w:p>
    <w:p w14:paraId="4D910323" w14:textId="77777777" w:rsidR="003E489A" w:rsidRPr="00D053FB" w:rsidRDefault="003E489A"/>
    <w:sectPr w:rsidR="003E489A" w:rsidRPr="00D053FB" w:rsidSect="00BD5D9C">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3DB2" w14:textId="77777777" w:rsidR="00144876" w:rsidRDefault="00144876">
      <w:pPr>
        <w:spacing w:after="0" w:line="240" w:lineRule="auto"/>
      </w:pPr>
      <w:r>
        <w:separator/>
      </w:r>
    </w:p>
  </w:endnote>
  <w:endnote w:type="continuationSeparator" w:id="0">
    <w:p w14:paraId="1166A3B3" w14:textId="77777777" w:rsidR="00144876" w:rsidRDefault="00144876">
      <w:pPr>
        <w:spacing w:after="0" w:line="240" w:lineRule="auto"/>
      </w:pPr>
      <w:r>
        <w:continuationSeparator/>
      </w:r>
    </w:p>
  </w:endnote>
  <w:endnote w:type="continuationNotice" w:id="1">
    <w:p w14:paraId="63584F04" w14:textId="77777777" w:rsidR="00144876" w:rsidRDefault="00144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Shell Dlg 2">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C6B1" w14:textId="77777777" w:rsidR="00144876" w:rsidRDefault="00144876">
      <w:pPr>
        <w:spacing w:after="0" w:line="240" w:lineRule="auto"/>
      </w:pPr>
      <w:r>
        <w:separator/>
      </w:r>
    </w:p>
  </w:footnote>
  <w:footnote w:type="continuationSeparator" w:id="0">
    <w:p w14:paraId="7D10A382" w14:textId="77777777" w:rsidR="00144876" w:rsidRDefault="00144876">
      <w:pPr>
        <w:spacing w:after="0" w:line="240" w:lineRule="auto"/>
      </w:pPr>
      <w:r>
        <w:continuationSeparator/>
      </w:r>
    </w:p>
  </w:footnote>
  <w:footnote w:type="continuationNotice" w:id="1">
    <w:p w14:paraId="5EF7BEB1" w14:textId="77777777" w:rsidR="00144876" w:rsidRDefault="001448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2FD3" w14:textId="77777777" w:rsidR="007C2A13" w:rsidRPr="0032647A" w:rsidRDefault="007C2A13">
    <w:pPr>
      <w:pStyle w:val="Header"/>
      <w:jc w:val="right"/>
      <w:rPr>
        <w:rFonts w:ascii="Times New Roman" w:hAnsi="Times New Roman" w:cs="Times New Roman"/>
        <w:sz w:val="24"/>
        <w:szCs w:val="24"/>
      </w:rPr>
    </w:pPr>
    <w:r w:rsidRPr="0032647A">
      <w:rPr>
        <w:rFonts w:ascii="Times New Roman" w:hAnsi="Times New Roman" w:cs="Times New Roman"/>
        <w:sz w:val="24"/>
        <w:szCs w:val="24"/>
      </w:rPr>
      <w:t xml:space="preserve">Page:  </w:t>
    </w:r>
    <w:sdt>
      <w:sdtPr>
        <w:rPr>
          <w:rFonts w:ascii="Times New Roman" w:hAnsi="Times New Roman" w:cs="Times New Roman"/>
          <w:sz w:val="24"/>
          <w:szCs w:val="24"/>
        </w:rPr>
        <w:id w:val="234848530"/>
        <w:docPartObj>
          <w:docPartGallery w:val="Page Numbers (Top of Page)"/>
          <w:docPartUnique/>
        </w:docPartObj>
      </w:sdtPr>
      <w:sdtEndPr/>
      <w:sdtContent>
        <w:r w:rsidRPr="0032647A">
          <w:rPr>
            <w:rFonts w:ascii="Times New Roman" w:hAnsi="Times New Roman" w:cs="Times New Roman"/>
            <w:sz w:val="24"/>
            <w:szCs w:val="24"/>
          </w:rPr>
          <w:fldChar w:fldCharType="begin"/>
        </w:r>
        <w:r w:rsidRPr="0032647A">
          <w:rPr>
            <w:rFonts w:ascii="Times New Roman" w:hAnsi="Times New Roman" w:cs="Times New Roman"/>
            <w:sz w:val="24"/>
            <w:szCs w:val="24"/>
          </w:rPr>
          <w:instrText xml:space="preserve"> PAGE   \* MERGEFORMAT </w:instrText>
        </w:r>
        <w:r w:rsidRPr="003264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32647A">
          <w:rPr>
            <w:rFonts w:ascii="Times New Roman" w:hAnsi="Times New Roman" w:cs="Times New Roman"/>
            <w:noProof/>
            <w:sz w:val="24"/>
            <w:szCs w:val="24"/>
          </w:rPr>
          <w:fldChar w:fldCharType="end"/>
        </w:r>
      </w:sdtContent>
    </w:sdt>
  </w:p>
  <w:p w14:paraId="37557BD5" w14:textId="77777777" w:rsidR="007C2A13" w:rsidRDefault="007C2A13">
    <w:pPr>
      <w:pStyle w:val="Header"/>
    </w:pPr>
  </w:p>
  <w:p w14:paraId="524E1E9B" w14:textId="77777777" w:rsidR="007C2A13" w:rsidRDefault="007C2A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A5A7" w14:textId="77777777" w:rsidR="007C2A13" w:rsidRDefault="007C2A13">
    <w:pPr>
      <w:pStyle w:val="Header"/>
      <w:jc w:val="right"/>
    </w:pPr>
  </w:p>
  <w:p w14:paraId="6F5FEAAE" w14:textId="77777777" w:rsidR="007C2A13" w:rsidRDefault="007C2A13" w:rsidP="005B5B19">
    <w:pPr>
      <w:pStyle w:val="Header"/>
      <w:tabs>
        <w:tab w:val="clear" w:pos="4680"/>
      </w:tabs>
    </w:pPr>
  </w:p>
  <w:p w14:paraId="662724B6" w14:textId="77777777" w:rsidR="007C2A13" w:rsidRDefault="007C2A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E128" w14:textId="77777777" w:rsidR="007C2A13" w:rsidRDefault="007C2A13">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2</w:t>
        </w:r>
        <w:r>
          <w:rPr>
            <w:noProof/>
          </w:rPr>
          <w:fldChar w:fldCharType="end"/>
        </w:r>
      </w:sdtContent>
    </w:sdt>
  </w:p>
  <w:p w14:paraId="67527107" w14:textId="77777777" w:rsidR="007C2A13" w:rsidRDefault="007C2A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5A7E" w14:textId="77777777" w:rsidR="007C2A13" w:rsidRDefault="007C2A13">
    <w:pPr>
      <w:pStyle w:val="Header"/>
      <w:jc w:val="right"/>
    </w:pPr>
  </w:p>
  <w:p w14:paraId="31356C1D" w14:textId="77777777" w:rsidR="007C2A13" w:rsidRDefault="007C2A13"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2170"/>
    <w:multiLevelType w:val="hybridMultilevel"/>
    <w:tmpl w:val="075472B8"/>
    <w:lvl w:ilvl="0" w:tplc="3F0C287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AF70A09"/>
    <w:multiLevelType w:val="hybridMultilevel"/>
    <w:tmpl w:val="D97E4092"/>
    <w:lvl w:ilvl="0" w:tplc="059C944E">
      <w:start w:val="1"/>
      <w:numFmt w:val="decimal"/>
      <w:lvlText w:val="[%1]"/>
      <w:lvlJc w:val="left"/>
      <w:pPr>
        <w:ind w:left="0" w:firstLine="0"/>
      </w:pPr>
      <w:rPr>
        <w:rFonts w:ascii="Times New Roman" w:hAnsi="Times New Roman" w:hint="default"/>
        <w:b w:val="0"/>
        <w:i w:val="0"/>
        <w:sz w:val="2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8579483">
    <w:abstractNumId w:val="1"/>
  </w:num>
  <w:num w:numId="2" w16cid:durableId="67777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9C"/>
    <w:rsid w:val="00000821"/>
    <w:rsid w:val="00000BEA"/>
    <w:rsid w:val="000014DB"/>
    <w:rsid w:val="00003413"/>
    <w:rsid w:val="000120D0"/>
    <w:rsid w:val="00016DDC"/>
    <w:rsid w:val="00022E1A"/>
    <w:rsid w:val="00024C9C"/>
    <w:rsid w:val="00025B47"/>
    <w:rsid w:val="000272F5"/>
    <w:rsid w:val="0003057D"/>
    <w:rsid w:val="00031969"/>
    <w:rsid w:val="00031C6E"/>
    <w:rsid w:val="00031FA3"/>
    <w:rsid w:val="00032C03"/>
    <w:rsid w:val="000354DE"/>
    <w:rsid w:val="00036B43"/>
    <w:rsid w:val="0004035F"/>
    <w:rsid w:val="000403DE"/>
    <w:rsid w:val="00042127"/>
    <w:rsid w:val="00043685"/>
    <w:rsid w:val="00043ECF"/>
    <w:rsid w:val="000449A7"/>
    <w:rsid w:val="00045871"/>
    <w:rsid w:val="00050B46"/>
    <w:rsid w:val="00050D07"/>
    <w:rsid w:val="0005157F"/>
    <w:rsid w:val="00052928"/>
    <w:rsid w:val="0005393F"/>
    <w:rsid w:val="00053D79"/>
    <w:rsid w:val="00053FC8"/>
    <w:rsid w:val="0005563B"/>
    <w:rsid w:val="000565AC"/>
    <w:rsid w:val="0006064A"/>
    <w:rsid w:val="000608C9"/>
    <w:rsid w:val="000626CD"/>
    <w:rsid w:val="00063050"/>
    <w:rsid w:val="00066BB8"/>
    <w:rsid w:val="0007041A"/>
    <w:rsid w:val="000769EE"/>
    <w:rsid w:val="00076C3C"/>
    <w:rsid w:val="00077ABB"/>
    <w:rsid w:val="00081F53"/>
    <w:rsid w:val="00083CBC"/>
    <w:rsid w:val="00083F64"/>
    <w:rsid w:val="00087068"/>
    <w:rsid w:val="000903BF"/>
    <w:rsid w:val="0009065A"/>
    <w:rsid w:val="000920EF"/>
    <w:rsid w:val="00092C2A"/>
    <w:rsid w:val="00095EAD"/>
    <w:rsid w:val="00096717"/>
    <w:rsid w:val="0009691B"/>
    <w:rsid w:val="000A29C5"/>
    <w:rsid w:val="000A36E7"/>
    <w:rsid w:val="000A418B"/>
    <w:rsid w:val="000B31DB"/>
    <w:rsid w:val="000B4054"/>
    <w:rsid w:val="000B4BB2"/>
    <w:rsid w:val="000C1769"/>
    <w:rsid w:val="000C2446"/>
    <w:rsid w:val="000C2B53"/>
    <w:rsid w:val="000C3285"/>
    <w:rsid w:val="000C3DE0"/>
    <w:rsid w:val="000C3EAE"/>
    <w:rsid w:val="000C4B41"/>
    <w:rsid w:val="000C4D37"/>
    <w:rsid w:val="000C79CA"/>
    <w:rsid w:val="000C7FFB"/>
    <w:rsid w:val="000D0535"/>
    <w:rsid w:val="000D06E7"/>
    <w:rsid w:val="000D4FF1"/>
    <w:rsid w:val="000D7717"/>
    <w:rsid w:val="000E1617"/>
    <w:rsid w:val="000E28BF"/>
    <w:rsid w:val="000E2A74"/>
    <w:rsid w:val="000E30A4"/>
    <w:rsid w:val="000E3382"/>
    <w:rsid w:val="000E3411"/>
    <w:rsid w:val="000E6D08"/>
    <w:rsid w:val="000F1079"/>
    <w:rsid w:val="000F2248"/>
    <w:rsid w:val="000F31E6"/>
    <w:rsid w:val="000F3DC7"/>
    <w:rsid w:val="000F4D56"/>
    <w:rsid w:val="000F6330"/>
    <w:rsid w:val="000F7643"/>
    <w:rsid w:val="00100797"/>
    <w:rsid w:val="00101A97"/>
    <w:rsid w:val="00102A1B"/>
    <w:rsid w:val="00102AEB"/>
    <w:rsid w:val="001030EA"/>
    <w:rsid w:val="00103A1C"/>
    <w:rsid w:val="0010462A"/>
    <w:rsid w:val="00105E7A"/>
    <w:rsid w:val="00106E24"/>
    <w:rsid w:val="0010717E"/>
    <w:rsid w:val="0011066C"/>
    <w:rsid w:val="00111006"/>
    <w:rsid w:val="00112168"/>
    <w:rsid w:val="001132A7"/>
    <w:rsid w:val="00113909"/>
    <w:rsid w:val="0011531A"/>
    <w:rsid w:val="0011562D"/>
    <w:rsid w:val="00115C4E"/>
    <w:rsid w:val="00116291"/>
    <w:rsid w:val="00116938"/>
    <w:rsid w:val="0011718E"/>
    <w:rsid w:val="00121130"/>
    <w:rsid w:val="0012311A"/>
    <w:rsid w:val="00124B88"/>
    <w:rsid w:val="00125785"/>
    <w:rsid w:val="00126227"/>
    <w:rsid w:val="00126CF8"/>
    <w:rsid w:val="00126EC8"/>
    <w:rsid w:val="00127C3E"/>
    <w:rsid w:val="0013107A"/>
    <w:rsid w:val="0013121C"/>
    <w:rsid w:val="0013125F"/>
    <w:rsid w:val="00131EBD"/>
    <w:rsid w:val="00132674"/>
    <w:rsid w:val="00134852"/>
    <w:rsid w:val="001351FC"/>
    <w:rsid w:val="00135771"/>
    <w:rsid w:val="00135F1E"/>
    <w:rsid w:val="00137E6F"/>
    <w:rsid w:val="0014043C"/>
    <w:rsid w:val="00144876"/>
    <w:rsid w:val="00145A44"/>
    <w:rsid w:val="00145DAE"/>
    <w:rsid w:val="00146452"/>
    <w:rsid w:val="00146914"/>
    <w:rsid w:val="00147BD1"/>
    <w:rsid w:val="00150ED9"/>
    <w:rsid w:val="001523F7"/>
    <w:rsid w:val="00152AE1"/>
    <w:rsid w:val="0015335A"/>
    <w:rsid w:val="001556A1"/>
    <w:rsid w:val="00160AA6"/>
    <w:rsid w:val="00161854"/>
    <w:rsid w:val="00161F16"/>
    <w:rsid w:val="00162A45"/>
    <w:rsid w:val="00170C73"/>
    <w:rsid w:val="00171655"/>
    <w:rsid w:val="00171703"/>
    <w:rsid w:val="0017219B"/>
    <w:rsid w:val="001722D4"/>
    <w:rsid w:val="00172383"/>
    <w:rsid w:val="001751E6"/>
    <w:rsid w:val="001763ED"/>
    <w:rsid w:val="00180E89"/>
    <w:rsid w:val="0018100B"/>
    <w:rsid w:val="001825F7"/>
    <w:rsid w:val="00182F2C"/>
    <w:rsid w:val="0018374F"/>
    <w:rsid w:val="001838BA"/>
    <w:rsid w:val="00185C43"/>
    <w:rsid w:val="00187E9F"/>
    <w:rsid w:val="0019203A"/>
    <w:rsid w:val="0019279B"/>
    <w:rsid w:val="00194283"/>
    <w:rsid w:val="00194511"/>
    <w:rsid w:val="001948F9"/>
    <w:rsid w:val="0019516A"/>
    <w:rsid w:val="00195961"/>
    <w:rsid w:val="00196C90"/>
    <w:rsid w:val="001976D0"/>
    <w:rsid w:val="001A086C"/>
    <w:rsid w:val="001A0CC0"/>
    <w:rsid w:val="001A19EB"/>
    <w:rsid w:val="001A25FB"/>
    <w:rsid w:val="001A300E"/>
    <w:rsid w:val="001A340A"/>
    <w:rsid w:val="001A70B1"/>
    <w:rsid w:val="001A7CE2"/>
    <w:rsid w:val="001B0CC8"/>
    <w:rsid w:val="001B1082"/>
    <w:rsid w:val="001B1154"/>
    <w:rsid w:val="001B22C8"/>
    <w:rsid w:val="001B3A70"/>
    <w:rsid w:val="001B5F22"/>
    <w:rsid w:val="001C00A2"/>
    <w:rsid w:val="001C105E"/>
    <w:rsid w:val="001C1295"/>
    <w:rsid w:val="001C601B"/>
    <w:rsid w:val="001C66D4"/>
    <w:rsid w:val="001C6A5C"/>
    <w:rsid w:val="001D2746"/>
    <w:rsid w:val="001D3172"/>
    <w:rsid w:val="001D7CD4"/>
    <w:rsid w:val="001E18B8"/>
    <w:rsid w:val="001E3334"/>
    <w:rsid w:val="001E3657"/>
    <w:rsid w:val="001E3676"/>
    <w:rsid w:val="001E53DB"/>
    <w:rsid w:val="001F1681"/>
    <w:rsid w:val="001F1818"/>
    <w:rsid w:val="001F2AD6"/>
    <w:rsid w:val="001F3415"/>
    <w:rsid w:val="001F3799"/>
    <w:rsid w:val="001F4147"/>
    <w:rsid w:val="00200BA2"/>
    <w:rsid w:val="00200C8D"/>
    <w:rsid w:val="00203379"/>
    <w:rsid w:val="002033B4"/>
    <w:rsid w:val="00203C34"/>
    <w:rsid w:val="00204D92"/>
    <w:rsid w:val="002064A9"/>
    <w:rsid w:val="00207CFC"/>
    <w:rsid w:val="00213F79"/>
    <w:rsid w:val="00214256"/>
    <w:rsid w:val="00215595"/>
    <w:rsid w:val="00220CBA"/>
    <w:rsid w:val="00221EC3"/>
    <w:rsid w:val="00221F3A"/>
    <w:rsid w:val="0022291C"/>
    <w:rsid w:val="00223DC7"/>
    <w:rsid w:val="00223E60"/>
    <w:rsid w:val="00227C96"/>
    <w:rsid w:val="00231742"/>
    <w:rsid w:val="00232BBF"/>
    <w:rsid w:val="002338E8"/>
    <w:rsid w:val="00233AC0"/>
    <w:rsid w:val="00233DAE"/>
    <w:rsid w:val="00234A92"/>
    <w:rsid w:val="002361A8"/>
    <w:rsid w:val="00237197"/>
    <w:rsid w:val="00241DFF"/>
    <w:rsid w:val="002429B1"/>
    <w:rsid w:val="00243E03"/>
    <w:rsid w:val="002449EB"/>
    <w:rsid w:val="00244FB1"/>
    <w:rsid w:val="002463DE"/>
    <w:rsid w:val="002504EE"/>
    <w:rsid w:val="0025050A"/>
    <w:rsid w:val="00251A77"/>
    <w:rsid w:val="0025332E"/>
    <w:rsid w:val="002534A0"/>
    <w:rsid w:val="00253EA2"/>
    <w:rsid w:val="002559F9"/>
    <w:rsid w:val="00255EC7"/>
    <w:rsid w:val="00260856"/>
    <w:rsid w:val="00261B62"/>
    <w:rsid w:val="002676F1"/>
    <w:rsid w:val="00272161"/>
    <w:rsid w:val="00273079"/>
    <w:rsid w:val="00275946"/>
    <w:rsid w:val="00276825"/>
    <w:rsid w:val="002779A2"/>
    <w:rsid w:val="0028058C"/>
    <w:rsid w:val="0028699A"/>
    <w:rsid w:val="00286A3A"/>
    <w:rsid w:val="00286AB3"/>
    <w:rsid w:val="002878FD"/>
    <w:rsid w:val="00290457"/>
    <w:rsid w:val="00291F85"/>
    <w:rsid w:val="0029354A"/>
    <w:rsid w:val="00294EE6"/>
    <w:rsid w:val="0029546B"/>
    <w:rsid w:val="0029611A"/>
    <w:rsid w:val="002965DA"/>
    <w:rsid w:val="0029692D"/>
    <w:rsid w:val="002A1272"/>
    <w:rsid w:val="002A30BC"/>
    <w:rsid w:val="002A3252"/>
    <w:rsid w:val="002A4514"/>
    <w:rsid w:val="002A584B"/>
    <w:rsid w:val="002B0119"/>
    <w:rsid w:val="002B0672"/>
    <w:rsid w:val="002B076C"/>
    <w:rsid w:val="002B0D40"/>
    <w:rsid w:val="002B1A26"/>
    <w:rsid w:val="002B45CB"/>
    <w:rsid w:val="002B541E"/>
    <w:rsid w:val="002B5B35"/>
    <w:rsid w:val="002B6E0E"/>
    <w:rsid w:val="002B70DA"/>
    <w:rsid w:val="002C017A"/>
    <w:rsid w:val="002C22A4"/>
    <w:rsid w:val="002C5BFB"/>
    <w:rsid w:val="002C6B99"/>
    <w:rsid w:val="002C79BC"/>
    <w:rsid w:val="002D067B"/>
    <w:rsid w:val="002D0C01"/>
    <w:rsid w:val="002D0DFC"/>
    <w:rsid w:val="002D1290"/>
    <w:rsid w:val="002D27C6"/>
    <w:rsid w:val="002D4334"/>
    <w:rsid w:val="002D4891"/>
    <w:rsid w:val="002D5D52"/>
    <w:rsid w:val="002E1A09"/>
    <w:rsid w:val="002E21FA"/>
    <w:rsid w:val="002E4414"/>
    <w:rsid w:val="002E515F"/>
    <w:rsid w:val="002E6783"/>
    <w:rsid w:val="002E7516"/>
    <w:rsid w:val="002F2BAB"/>
    <w:rsid w:val="002F36C0"/>
    <w:rsid w:val="002F384B"/>
    <w:rsid w:val="002F42B6"/>
    <w:rsid w:val="002F469E"/>
    <w:rsid w:val="002F4823"/>
    <w:rsid w:val="002F5867"/>
    <w:rsid w:val="002F736C"/>
    <w:rsid w:val="003041CC"/>
    <w:rsid w:val="003045D1"/>
    <w:rsid w:val="0030510C"/>
    <w:rsid w:val="00305569"/>
    <w:rsid w:val="00305BCF"/>
    <w:rsid w:val="00307126"/>
    <w:rsid w:val="003072D7"/>
    <w:rsid w:val="00307C8F"/>
    <w:rsid w:val="00310718"/>
    <w:rsid w:val="00311357"/>
    <w:rsid w:val="003125CF"/>
    <w:rsid w:val="00314CD9"/>
    <w:rsid w:val="00315EF3"/>
    <w:rsid w:val="00317F2E"/>
    <w:rsid w:val="003214D8"/>
    <w:rsid w:val="00323763"/>
    <w:rsid w:val="00323970"/>
    <w:rsid w:val="003241DE"/>
    <w:rsid w:val="003247D7"/>
    <w:rsid w:val="00325495"/>
    <w:rsid w:val="00327AB8"/>
    <w:rsid w:val="00327B01"/>
    <w:rsid w:val="00331164"/>
    <w:rsid w:val="00332747"/>
    <w:rsid w:val="003333F4"/>
    <w:rsid w:val="00333C98"/>
    <w:rsid w:val="0033414C"/>
    <w:rsid w:val="00334DAC"/>
    <w:rsid w:val="003362CC"/>
    <w:rsid w:val="003372C7"/>
    <w:rsid w:val="00337342"/>
    <w:rsid w:val="00337A68"/>
    <w:rsid w:val="00337B9E"/>
    <w:rsid w:val="0034023D"/>
    <w:rsid w:val="00342A53"/>
    <w:rsid w:val="00342AE4"/>
    <w:rsid w:val="00343EF9"/>
    <w:rsid w:val="003449EB"/>
    <w:rsid w:val="003452EC"/>
    <w:rsid w:val="00346016"/>
    <w:rsid w:val="003460BD"/>
    <w:rsid w:val="003464E4"/>
    <w:rsid w:val="00347EA8"/>
    <w:rsid w:val="00353308"/>
    <w:rsid w:val="0035404C"/>
    <w:rsid w:val="003544E4"/>
    <w:rsid w:val="00354CD6"/>
    <w:rsid w:val="00356F4F"/>
    <w:rsid w:val="00357F1B"/>
    <w:rsid w:val="003603D1"/>
    <w:rsid w:val="003609F3"/>
    <w:rsid w:val="00360E6E"/>
    <w:rsid w:val="0036259B"/>
    <w:rsid w:val="00364AF3"/>
    <w:rsid w:val="00365D62"/>
    <w:rsid w:val="00366B0B"/>
    <w:rsid w:val="003673CF"/>
    <w:rsid w:val="00370486"/>
    <w:rsid w:val="0037149D"/>
    <w:rsid w:val="003721EC"/>
    <w:rsid w:val="003738BC"/>
    <w:rsid w:val="003818A6"/>
    <w:rsid w:val="00383554"/>
    <w:rsid w:val="003849AA"/>
    <w:rsid w:val="00385617"/>
    <w:rsid w:val="00387107"/>
    <w:rsid w:val="00387E7F"/>
    <w:rsid w:val="003A07A8"/>
    <w:rsid w:val="003A0963"/>
    <w:rsid w:val="003A0F0B"/>
    <w:rsid w:val="003A19C9"/>
    <w:rsid w:val="003A20C0"/>
    <w:rsid w:val="003A5742"/>
    <w:rsid w:val="003A5BB8"/>
    <w:rsid w:val="003A7B36"/>
    <w:rsid w:val="003A7BD5"/>
    <w:rsid w:val="003B18B3"/>
    <w:rsid w:val="003B2BF5"/>
    <w:rsid w:val="003B4A1A"/>
    <w:rsid w:val="003B5697"/>
    <w:rsid w:val="003B6529"/>
    <w:rsid w:val="003C09DE"/>
    <w:rsid w:val="003C424D"/>
    <w:rsid w:val="003C4682"/>
    <w:rsid w:val="003C667D"/>
    <w:rsid w:val="003C7328"/>
    <w:rsid w:val="003D0DB6"/>
    <w:rsid w:val="003D1328"/>
    <w:rsid w:val="003D1B89"/>
    <w:rsid w:val="003D2230"/>
    <w:rsid w:val="003D32CF"/>
    <w:rsid w:val="003D3F33"/>
    <w:rsid w:val="003D56C6"/>
    <w:rsid w:val="003D5F10"/>
    <w:rsid w:val="003D660E"/>
    <w:rsid w:val="003E1068"/>
    <w:rsid w:val="003E1585"/>
    <w:rsid w:val="003E3ADF"/>
    <w:rsid w:val="003E489A"/>
    <w:rsid w:val="003E532F"/>
    <w:rsid w:val="003E58F1"/>
    <w:rsid w:val="003F02AF"/>
    <w:rsid w:val="003F372D"/>
    <w:rsid w:val="003F4965"/>
    <w:rsid w:val="003F5F28"/>
    <w:rsid w:val="003F7217"/>
    <w:rsid w:val="0040061C"/>
    <w:rsid w:val="004008C4"/>
    <w:rsid w:val="00403186"/>
    <w:rsid w:val="00404B6B"/>
    <w:rsid w:val="004060E9"/>
    <w:rsid w:val="00406520"/>
    <w:rsid w:val="00406BE2"/>
    <w:rsid w:val="004112A1"/>
    <w:rsid w:val="00411757"/>
    <w:rsid w:val="004137F0"/>
    <w:rsid w:val="004138AC"/>
    <w:rsid w:val="00415DF2"/>
    <w:rsid w:val="00416B4E"/>
    <w:rsid w:val="00416CEC"/>
    <w:rsid w:val="00420344"/>
    <w:rsid w:val="00420605"/>
    <w:rsid w:val="00421015"/>
    <w:rsid w:val="00422561"/>
    <w:rsid w:val="00422BCC"/>
    <w:rsid w:val="00424FF7"/>
    <w:rsid w:val="00425A17"/>
    <w:rsid w:val="00430EA1"/>
    <w:rsid w:val="004316E3"/>
    <w:rsid w:val="0043245A"/>
    <w:rsid w:val="004354E5"/>
    <w:rsid w:val="00437A92"/>
    <w:rsid w:val="00441590"/>
    <w:rsid w:val="00444177"/>
    <w:rsid w:val="0044466D"/>
    <w:rsid w:val="00444D81"/>
    <w:rsid w:val="00445E85"/>
    <w:rsid w:val="00452A69"/>
    <w:rsid w:val="00455822"/>
    <w:rsid w:val="00456172"/>
    <w:rsid w:val="00457404"/>
    <w:rsid w:val="0045783B"/>
    <w:rsid w:val="00457E9C"/>
    <w:rsid w:val="00457FF3"/>
    <w:rsid w:val="00457FFC"/>
    <w:rsid w:val="00460FC8"/>
    <w:rsid w:val="00463086"/>
    <w:rsid w:val="00464B30"/>
    <w:rsid w:val="00464F9C"/>
    <w:rsid w:val="0046551C"/>
    <w:rsid w:val="00465BDB"/>
    <w:rsid w:val="00470280"/>
    <w:rsid w:val="0047039B"/>
    <w:rsid w:val="0047344E"/>
    <w:rsid w:val="00474A3C"/>
    <w:rsid w:val="00474A95"/>
    <w:rsid w:val="00474CA3"/>
    <w:rsid w:val="00474F8F"/>
    <w:rsid w:val="00475A1D"/>
    <w:rsid w:val="0047666D"/>
    <w:rsid w:val="00476E94"/>
    <w:rsid w:val="00480675"/>
    <w:rsid w:val="00481562"/>
    <w:rsid w:val="00481E86"/>
    <w:rsid w:val="00483028"/>
    <w:rsid w:val="00483C3C"/>
    <w:rsid w:val="004849A4"/>
    <w:rsid w:val="004855C4"/>
    <w:rsid w:val="00485BC4"/>
    <w:rsid w:val="00486DD2"/>
    <w:rsid w:val="004877B0"/>
    <w:rsid w:val="00490841"/>
    <w:rsid w:val="00491716"/>
    <w:rsid w:val="004933E9"/>
    <w:rsid w:val="00494EFD"/>
    <w:rsid w:val="004959BE"/>
    <w:rsid w:val="00496A0B"/>
    <w:rsid w:val="00496B47"/>
    <w:rsid w:val="00496CA8"/>
    <w:rsid w:val="004A7FB6"/>
    <w:rsid w:val="004B00CE"/>
    <w:rsid w:val="004B0911"/>
    <w:rsid w:val="004B1964"/>
    <w:rsid w:val="004B1C6B"/>
    <w:rsid w:val="004B352B"/>
    <w:rsid w:val="004B5D1C"/>
    <w:rsid w:val="004B62BD"/>
    <w:rsid w:val="004B6C5D"/>
    <w:rsid w:val="004C1FB5"/>
    <w:rsid w:val="004C5989"/>
    <w:rsid w:val="004D0EA8"/>
    <w:rsid w:val="004D0F51"/>
    <w:rsid w:val="004D1FA5"/>
    <w:rsid w:val="004D2686"/>
    <w:rsid w:val="004D4FE8"/>
    <w:rsid w:val="004D5362"/>
    <w:rsid w:val="004D6E34"/>
    <w:rsid w:val="004D7669"/>
    <w:rsid w:val="004D7965"/>
    <w:rsid w:val="004D7BC9"/>
    <w:rsid w:val="004E0BF1"/>
    <w:rsid w:val="004E0D6F"/>
    <w:rsid w:val="004E331C"/>
    <w:rsid w:val="004E4BAD"/>
    <w:rsid w:val="004E4BF7"/>
    <w:rsid w:val="004E4C0C"/>
    <w:rsid w:val="004E56F5"/>
    <w:rsid w:val="004E75FA"/>
    <w:rsid w:val="004E78A3"/>
    <w:rsid w:val="004F043C"/>
    <w:rsid w:val="004F0A0F"/>
    <w:rsid w:val="004F301E"/>
    <w:rsid w:val="004F370C"/>
    <w:rsid w:val="004F4012"/>
    <w:rsid w:val="004F4111"/>
    <w:rsid w:val="004F451D"/>
    <w:rsid w:val="004F6D50"/>
    <w:rsid w:val="005004F1"/>
    <w:rsid w:val="00500AA1"/>
    <w:rsid w:val="005022FA"/>
    <w:rsid w:val="00504AF1"/>
    <w:rsid w:val="00504D1C"/>
    <w:rsid w:val="00506381"/>
    <w:rsid w:val="00507A47"/>
    <w:rsid w:val="00511258"/>
    <w:rsid w:val="005113E3"/>
    <w:rsid w:val="005159C8"/>
    <w:rsid w:val="005172DA"/>
    <w:rsid w:val="00517D25"/>
    <w:rsid w:val="00520635"/>
    <w:rsid w:val="005248F0"/>
    <w:rsid w:val="00525B4C"/>
    <w:rsid w:val="0052772D"/>
    <w:rsid w:val="00527EDB"/>
    <w:rsid w:val="0053094D"/>
    <w:rsid w:val="00533591"/>
    <w:rsid w:val="00533E0D"/>
    <w:rsid w:val="005347F8"/>
    <w:rsid w:val="00534D4B"/>
    <w:rsid w:val="00535713"/>
    <w:rsid w:val="00535C6B"/>
    <w:rsid w:val="00535F32"/>
    <w:rsid w:val="0053606A"/>
    <w:rsid w:val="00537CAF"/>
    <w:rsid w:val="00540DD3"/>
    <w:rsid w:val="00542186"/>
    <w:rsid w:val="00542475"/>
    <w:rsid w:val="00542E31"/>
    <w:rsid w:val="005439F3"/>
    <w:rsid w:val="00544350"/>
    <w:rsid w:val="00544675"/>
    <w:rsid w:val="00545956"/>
    <w:rsid w:val="00550EB9"/>
    <w:rsid w:val="005514B8"/>
    <w:rsid w:val="00552C73"/>
    <w:rsid w:val="00553932"/>
    <w:rsid w:val="00556E10"/>
    <w:rsid w:val="00557508"/>
    <w:rsid w:val="005643D7"/>
    <w:rsid w:val="00564FF6"/>
    <w:rsid w:val="00565ED8"/>
    <w:rsid w:val="00567C7E"/>
    <w:rsid w:val="005714F1"/>
    <w:rsid w:val="00572C78"/>
    <w:rsid w:val="00572CDF"/>
    <w:rsid w:val="0057386A"/>
    <w:rsid w:val="00574350"/>
    <w:rsid w:val="00575E28"/>
    <w:rsid w:val="005774D0"/>
    <w:rsid w:val="00577533"/>
    <w:rsid w:val="00580A02"/>
    <w:rsid w:val="005810BD"/>
    <w:rsid w:val="00591082"/>
    <w:rsid w:val="005930D9"/>
    <w:rsid w:val="0059569A"/>
    <w:rsid w:val="005961A1"/>
    <w:rsid w:val="00596BDC"/>
    <w:rsid w:val="00597284"/>
    <w:rsid w:val="005977C3"/>
    <w:rsid w:val="005A051C"/>
    <w:rsid w:val="005A07E2"/>
    <w:rsid w:val="005A092F"/>
    <w:rsid w:val="005A357F"/>
    <w:rsid w:val="005A41E2"/>
    <w:rsid w:val="005B0F9C"/>
    <w:rsid w:val="005B3C55"/>
    <w:rsid w:val="005B6537"/>
    <w:rsid w:val="005B6E36"/>
    <w:rsid w:val="005B731B"/>
    <w:rsid w:val="005B7F04"/>
    <w:rsid w:val="005B7F9F"/>
    <w:rsid w:val="005C153A"/>
    <w:rsid w:val="005C422D"/>
    <w:rsid w:val="005C4B21"/>
    <w:rsid w:val="005C6F19"/>
    <w:rsid w:val="005C726D"/>
    <w:rsid w:val="005D0B17"/>
    <w:rsid w:val="005D2CAA"/>
    <w:rsid w:val="005D48C9"/>
    <w:rsid w:val="005D4945"/>
    <w:rsid w:val="005D562C"/>
    <w:rsid w:val="005D60D5"/>
    <w:rsid w:val="005D7790"/>
    <w:rsid w:val="005E146B"/>
    <w:rsid w:val="005E207A"/>
    <w:rsid w:val="005E3D87"/>
    <w:rsid w:val="005E4DDE"/>
    <w:rsid w:val="005E5EAC"/>
    <w:rsid w:val="005E75A6"/>
    <w:rsid w:val="005E75ED"/>
    <w:rsid w:val="005F0076"/>
    <w:rsid w:val="005F1167"/>
    <w:rsid w:val="005F12F9"/>
    <w:rsid w:val="005F1334"/>
    <w:rsid w:val="005F1A5D"/>
    <w:rsid w:val="005F2D3E"/>
    <w:rsid w:val="005F2E97"/>
    <w:rsid w:val="005F345C"/>
    <w:rsid w:val="005F4BEA"/>
    <w:rsid w:val="005F5544"/>
    <w:rsid w:val="005F56AA"/>
    <w:rsid w:val="005F5CE2"/>
    <w:rsid w:val="005F68B0"/>
    <w:rsid w:val="005F7B37"/>
    <w:rsid w:val="006006B0"/>
    <w:rsid w:val="00600FDD"/>
    <w:rsid w:val="00601DC7"/>
    <w:rsid w:val="00602816"/>
    <w:rsid w:val="00603808"/>
    <w:rsid w:val="006061DB"/>
    <w:rsid w:val="006067B3"/>
    <w:rsid w:val="00610E0B"/>
    <w:rsid w:val="00611DE9"/>
    <w:rsid w:val="006141EE"/>
    <w:rsid w:val="00614C73"/>
    <w:rsid w:val="00615317"/>
    <w:rsid w:val="00615E34"/>
    <w:rsid w:val="00615F66"/>
    <w:rsid w:val="006176CA"/>
    <w:rsid w:val="00620873"/>
    <w:rsid w:val="00621320"/>
    <w:rsid w:val="00622496"/>
    <w:rsid w:val="0062613C"/>
    <w:rsid w:val="00626226"/>
    <w:rsid w:val="00627127"/>
    <w:rsid w:val="006279E2"/>
    <w:rsid w:val="006311CD"/>
    <w:rsid w:val="00632714"/>
    <w:rsid w:val="00634192"/>
    <w:rsid w:val="00635026"/>
    <w:rsid w:val="00636C8C"/>
    <w:rsid w:val="00640905"/>
    <w:rsid w:val="00641009"/>
    <w:rsid w:val="00643FCC"/>
    <w:rsid w:val="006445B6"/>
    <w:rsid w:val="00646034"/>
    <w:rsid w:val="0065308B"/>
    <w:rsid w:val="00653D18"/>
    <w:rsid w:val="006566EF"/>
    <w:rsid w:val="0066002C"/>
    <w:rsid w:val="0066623F"/>
    <w:rsid w:val="00666D1F"/>
    <w:rsid w:val="00671717"/>
    <w:rsid w:val="0067205D"/>
    <w:rsid w:val="0067238D"/>
    <w:rsid w:val="00672674"/>
    <w:rsid w:val="00673156"/>
    <w:rsid w:val="0067361E"/>
    <w:rsid w:val="006738B1"/>
    <w:rsid w:val="0067633A"/>
    <w:rsid w:val="00677C4E"/>
    <w:rsid w:val="006842F0"/>
    <w:rsid w:val="00686D0E"/>
    <w:rsid w:val="00687293"/>
    <w:rsid w:val="00692ED7"/>
    <w:rsid w:val="00693E55"/>
    <w:rsid w:val="00694749"/>
    <w:rsid w:val="00694944"/>
    <w:rsid w:val="00695C1F"/>
    <w:rsid w:val="00696377"/>
    <w:rsid w:val="006A1CA6"/>
    <w:rsid w:val="006A2014"/>
    <w:rsid w:val="006A3D95"/>
    <w:rsid w:val="006A5931"/>
    <w:rsid w:val="006A6F17"/>
    <w:rsid w:val="006A7E44"/>
    <w:rsid w:val="006B26D9"/>
    <w:rsid w:val="006B3130"/>
    <w:rsid w:val="006B3804"/>
    <w:rsid w:val="006B3D8A"/>
    <w:rsid w:val="006B4112"/>
    <w:rsid w:val="006B6419"/>
    <w:rsid w:val="006B6E90"/>
    <w:rsid w:val="006C120B"/>
    <w:rsid w:val="006C161B"/>
    <w:rsid w:val="006C21C1"/>
    <w:rsid w:val="006C4520"/>
    <w:rsid w:val="006C4C99"/>
    <w:rsid w:val="006D202E"/>
    <w:rsid w:val="006D44B8"/>
    <w:rsid w:val="006D5B7F"/>
    <w:rsid w:val="006D731D"/>
    <w:rsid w:val="006D7479"/>
    <w:rsid w:val="006E06AF"/>
    <w:rsid w:val="006E0A8F"/>
    <w:rsid w:val="006E0B45"/>
    <w:rsid w:val="006E0B88"/>
    <w:rsid w:val="006E2563"/>
    <w:rsid w:val="006E37C5"/>
    <w:rsid w:val="006E3817"/>
    <w:rsid w:val="006E3B67"/>
    <w:rsid w:val="006E45F5"/>
    <w:rsid w:val="006E4ECF"/>
    <w:rsid w:val="006E4FFF"/>
    <w:rsid w:val="006E5305"/>
    <w:rsid w:val="006E5907"/>
    <w:rsid w:val="006E63E5"/>
    <w:rsid w:val="006E6AB1"/>
    <w:rsid w:val="006E7048"/>
    <w:rsid w:val="006E7F55"/>
    <w:rsid w:val="006F1AE0"/>
    <w:rsid w:val="006F29DA"/>
    <w:rsid w:val="006F4289"/>
    <w:rsid w:val="006F4D25"/>
    <w:rsid w:val="006F593C"/>
    <w:rsid w:val="006F6275"/>
    <w:rsid w:val="006F7009"/>
    <w:rsid w:val="006F7964"/>
    <w:rsid w:val="0070037C"/>
    <w:rsid w:val="007022BA"/>
    <w:rsid w:val="00702B0B"/>
    <w:rsid w:val="00702C77"/>
    <w:rsid w:val="00705D64"/>
    <w:rsid w:val="00710CD9"/>
    <w:rsid w:val="00710FE9"/>
    <w:rsid w:val="0071206B"/>
    <w:rsid w:val="00713B67"/>
    <w:rsid w:val="00713B82"/>
    <w:rsid w:val="00720A44"/>
    <w:rsid w:val="00720BFC"/>
    <w:rsid w:val="00720E17"/>
    <w:rsid w:val="0072350E"/>
    <w:rsid w:val="00723916"/>
    <w:rsid w:val="00726EA1"/>
    <w:rsid w:val="0072710C"/>
    <w:rsid w:val="00727AF6"/>
    <w:rsid w:val="0073060F"/>
    <w:rsid w:val="0073068D"/>
    <w:rsid w:val="00732D78"/>
    <w:rsid w:val="007338B7"/>
    <w:rsid w:val="007351D9"/>
    <w:rsid w:val="0074170D"/>
    <w:rsid w:val="0074319E"/>
    <w:rsid w:val="00744704"/>
    <w:rsid w:val="00746228"/>
    <w:rsid w:val="0074659C"/>
    <w:rsid w:val="00747A60"/>
    <w:rsid w:val="00755B4B"/>
    <w:rsid w:val="00756D05"/>
    <w:rsid w:val="0076041E"/>
    <w:rsid w:val="0076137C"/>
    <w:rsid w:val="00762EEE"/>
    <w:rsid w:val="007636DC"/>
    <w:rsid w:val="0077143C"/>
    <w:rsid w:val="00771596"/>
    <w:rsid w:val="00771DF3"/>
    <w:rsid w:val="00772D28"/>
    <w:rsid w:val="00773401"/>
    <w:rsid w:val="007757E2"/>
    <w:rsid w:val="00775907"/>
    <w:rsid w:val="00776ACA"/>
    <w:rsid w:val="00776B6B"/>
    <w:rsid w:val="00776C3C"/>
    <w:rsid w:val="00777E2A"/>
    <w:rsid w:val="00780F3F"/>
    <w:rsid w:val="00781DDD"/>
    <w:rsid w:val="00782E10"/>
    <w:rsid w:val="00783192"/>
    <w:rsid w:val="0078330A"/>
    <w:rsid w:val="00784611"/>
    <w:rsid w:val="00785802"/>
    <w:rsid w:val="00785CCD"/>
    <w:rsid w:val="007903E3"/>
    <w:rsid w:val="007911B8"/>
    <w:rsid w:val="00792B7A"/>
    <w:rsid w:val="0079325F"/>
    <w:rsid w:val="00794B6B"/>
    <w:rsid w:val="00794F3C"/>
    <w:rsid w:val="00795EE2"/>
    <w:rsid w:val="007973C5"/>
    <w:rsid w:val="007A066B"/>
    <w:rsid w:val="007A06AA"/>
    <w:rsid w:val="007A0BDC"/>
    <w:rsid w:val="007A1911"/>
    <w:rsid w:val="007A2605"/>
    <w:rsid w:val="007A2773"/>
    <w:rsid w:val="007A384A"/>
    <w:rsid w:val="007A3B69"/>
    <w:rsid w:val="007A3C48"/>
    <w:rsid w:val="007A5DD3"/>
    <w:rsid w:val="007A5F9C"/>
    <w:rsid w:val="007A688E"/>
    <w:rsid w:val="007B302E"/>
    <w:rsid w:val="007B369C"/>
    <w:rsid w:val="007B4543"/>
    <w:rsid w:val="007B5A4D"/>
    <w:rsid w:val="007B7518"/>
    <w:rsid w:val="007C02B6"/>
    <w:rsid w:val="007C1580"/>
    <w:rsid w:val="007C1EE0"/>
    <w:rsid w:val="007C2A13"/>
    <w:rsid w:val="007C3EEF"/>
    <w:rsid w:val="007C4886"/>
    <w:rsid w:val="007C4C35"/>
    <w:rsid w:val="007C59A2"/>
    <w:rsid w:val="007C5D0D"/>
    <w:rsid w:val="007C7025"/>
    <w:rsid w:val="007D0508"/>
    <w:rsid w:val="007D1921"/>
    <w:rsid w:val="007D62D4"/>
    <w:rsid w:val="007D6AE7"/>
    <w:rsid w:val="007D7619"/>
    <w:rsid w:val="007E20C4"/>
    <w:rsid w:val="007E4B8F"/>
    <w:rsid w:val="007E5A2A"/>
    <w:rsid w:val="007F2A5D"/>
    <w:rsid w:val="007F4A43"/>
    <w:rsid w:val="007F4DEB"/>
    <w:rsid w:val="007F72A1"/>
    <w:rsid w:val="008006E4"/>
    <w:rsid w:val="00800C41"/>
    <w:rsid w:val="00801DA6"/>
    <w:rsid w:val="0080313B"/>
    <w:rsid w:val="008033F7"/>
    <w:rsid w:val="008038BC"/>
    <w:rsid w:val="00804812"/>
    <w:rsid w:val="00805B95"/>
    <w:rsid w:val="00807302"/>
    <w:rsid w:val="008104B5"/>
    <w:rsid w:val="008125F5"/>
    <w:rsid w:val="00812715"/>
    <w:rsid w:val="00812CF4"/>
    <w:rsid w:val="008131A8"/>
    <w:rsid w:val="00814B75"/>
    <w:rsid w:val="00820DB8"/>
    <w:rsid w:val="00823053"/>
    <w:rsid w:val="008243F4"/>
    <w:rsid w:val="00824463"/>
    <w:rsid w:val="008274E7"/>
    <w:rsid w:val="008314CD"/>
    <w:rsid w:val="0083223C"/>
    <w:rsid w:val="00833762"/>
    <w:rsid w:val="00835766"/>
    <w:rsid w:val="00836B4B"/>
    <w:rsid w:val="008377A9"/>
    <w:rsid w:val="0084037A"/>
    <w:rsid w:val="00842BCC"/>
    <w:rsid w:val="00842CFB"/>
    <w:rsid w:val="008432D4"/>
    <w:rsid w:val="008454C2"/>
    <w:rsid w:val="008461E2"/>
    <w:rsid w:val="008462F8"/>
    <w:rsid w:val="00846ECC"/>
    <w:rsid w:val="00850896"/>
    <w:rsid w:val="00850D3F"/>
    <w:rsid w:val="008521A4"/>
    <w:rsid w:val="008537EC"/>
    <w:rsid w:val="00854662"/>
    <w:rsid w:val="00856464"/>
    <w:rsid w:val="008565F5"/>
    <w:rsid w:val="0086029A"/>
    <w:rsid w:val="00864330"/>
    <w:rsid w:val="0086467A"/>
    <w:rsid w:val="00864FC6"/>
    <w:rsid w:val="008701A5"/>
    <w:rsid w:val="0087137B"/>
    <w:rsid w:val="00871AAD"/>
    <w:rsid w:val="0087216F"/>
    <w:rsid w:val="00872D47"/>
    <w:rsid w:val="00873609"/>
    <w:rsid w:val="0087383A"/>
    <w:rsid w:val="008741BF"/>
    <w:rsid w:val="00875171"/>
    <w:rsid w:val="00875C68"/>
    <w:rsid w:val="00880B6E"/>
    <w:rsid w:val="00880DCB"/>
    <w:rsid w:val="0088644E"/>
    <w:rsid w:val="0088722A"/>
    <w:rsid w:val="00891832"/>
    <w:rsid w:val="00892223"/>
    <w:rsid w:val="008931A0"/>
    <w:rsid w:val="00893475"/>
    <w:rsid w:val="00894260"/>
    <w:rsid w:val="0089429F"/>
    <w:rsid w:val="00895772"/>
    <w:rsid w:val="008A053D"/>
    <w:rsid w:val="008A1DA4"/>
    <w:rsid w:val="008A1DAA"/>
    <w:rsid w:val="008A20BD"/>
    <w:rsid w:val="008A28D5"/>
    <w:rsid w:val="008A3942"/>
    <w:rsid w:val="008A3C67"/>
    <w:rsid w:val="008A3D76"/>
    <w:rsid w:val="008A3E0A"/>
    <w:rsid w:val="008A4088"/>
    <w:rsid w:val="008A4B69"/>
    <w:rsid w:val="008A6C2C"/>
    <w:rsid w:val="008A74A7"/>
    <w:rsid w:val="008A7633"/>
    <w:rsid w:val="008A771D"/>
    <w:rsid w:val="008A7C10"/>
    <w:rsid w:val="008B02FF"/>
    <w:rsid w:val="008B0334"/>
    <w:rsid w:val="008B0AFB"/>
    <w:rsid w:val="008B1458"/>
    <w:rsid w:val="008B4243"/>
    <w:rsid w:val="008C043E"/>
    <w:rsid w:val="008C176F"/>
    <w:rsid w:val="008C2EAD"/>
    <w:rsid w:val="008C3134"/>
    <w:rsid w:val="008C4506"/>
    <w:rsid w:val="008C4D41"/>
    <w:rsid w:val="008C6857"/>
    <w:rsid w:val="008C70F4"/>
    <w:rsid w:val="008D1859"/>
    <w:rsid w:val="008D2EB8"/>
    <w:rsid w:val="008D3D9E"/>
    <w:rsid w:val="008D483E"/>
    <w:rsid w:val="008D497E"/>
    <w:rsid w:val="008D6B12"/>
    <w:rsid w:val="008D6CF4"/>
    <w:rsid w:val="008E2A20"/>
    <w:rsid w:val="008E3596"/>
    <w:rsid w:val="008E3B1F"/>
    <w:rsid w:val="008E522A"/>
    <w:rsid w:val="008E65C8"/>
    <w:rsid w:val="008F04C3"/>
    <w:rsid w:val="008F0A37"/>
    <w:rsid w:val="008F2484"/>
    <w:rsid w:val="008F5F4F"/>
    <w:rsid w:val="008F6394"/>
    <w:rsid w:val="008F6E40"/>
    <w:rsid w:val="009025A0"/>
    <w:rsid w:val="00902CA3"/>
    <w:rsid w:val="00903D66"/>
    <w:rsid w:val="00907622"/>
    <w:rsid w:val="00907806"/>
    <w:rsid w:val="00907B4A"/>
    <w:rsid w:val="00911E62"/>
    <w:rsid w:val="009147AB"/>
    <w:rsid w:val="00914AD7"/>
    <w:rsid w:val="0091527D"/>
    <w:rsid w:val="00916FAD"/>
    <w:rsid w:val="009223AC"/>
    <w:rsid w:val="00922645"/>
    <w:rsid w:val="00922BD6"/>
    <w:rsid w:val="00925961"/>
    <w:rsid w:val="00925F03"/>
    <w:rsid w:val="00926F7D"/>
    <w:rsid w:val="00927CAF"/>
    <w:rsid w:val="0093019E"/>
    <w:rsid w:val="0093297A"/>
    <w:rsid w:val="00934F21"/>
    <w:rsid w:val="00935DD1"/>
    <w:rsid w:val="00937087"/>
    <w:rsid w:val="009374BC"/>
    <w:rsid w:val="00937B77"/>
    <w:rsid w:val="0094023F"/>
    <w:rsid w:val="00941B18"/>
    <w:rsid w:val="0094205F"/>
    <w:rsid w:val="00943D83"/>
    <w:rsid w:val="00943F43"/>
    <w:rsid w:val="00945E6E"/>
    <w:rsid w:val="00946731"/>
    <w:rsid w:val="009469FE"/>
    <w:rsid w:val="009475B1"/>
    <w:rsid w:val="009504A1"/>
    <w:rsid w:val="00951E67"/>
    <w:rsid w:val="009525B6"/>
    <w:rsid w:val="009612B5"/>
    <w:rsid w:val="009615DF"/>
    <w:rsid w:val="00963A46"/>
    <w:rsid w:val="00965E63"/>
    <w:rsid w:val="00973875"/>
    <w:rsid w:val="00973FFF"/>
    <w:rsid w:val="00974108"/>
    <w:rsid w:val="00975D3C"/>
    <w:rsid w:val="00977C03"/>
    <w:rsid w:val="009801E3"/>
    <w:rsid w:val="0098219D"/>
    <w:rsid w:val="00982A4F"/>
    <w:rsid w:val="009853B3"/>
    <w:rsid w:val="00985427"/>
    <w:rsid w:val="00986132"/>
    <w:rsid w:val="009864D1"/>
    <w:rsid w:val="0098686D"/>
    <w:rsid w:val="00992CA0"/>
    <w:rsid w:val="00993574"/>
    <w:rsid w:val="00993E69"/>
    <w:rsid w:val="00994EA4"/>
    <w:rsid w:val="00995DDD"/>
    <w:rsid w:val="0099731D"/>
    <w:rsid w:val="009A0184"/>
    <w:rsid w:val="009A49C0"/>
    <w:rsid w:val="009A4B31"/>
    <w:rsid w:val="009A57D0"/>
    <w:rsid w:val="009A6278"/>
    <w:rsid w:val="009B2B08"/>
    <w:rsid w:val="009B4171"/>
    <w:rsid w:val="009B48B2"/>
    <w:rsid w:val="009B7156"/>
    <w:rsid w:val="009B7CED"/>
    <w:rsid w:val="009C22C0"/>
    <w:rsid w:val="009C2DB8"/>
    <w:rsid w:val="009C46AE"/>
    <w:rsid w:val="009C7610"/>
    <w:rsid w:val="009D2008"/>
    <w:rsid w:val="009D502F"/>
    <w:rsid w:val="009D6F3D"/>
    <w:rsid w:val="009D6F5B"/>
    <w:rsid w:val="009D71D8"/>
    <w:rsid w:val="009D7CD6"/>
    <w:rsid w:val="009E0910"/>
    <w:rsid w:val="009E2FFB"/>
    <w:rsid w:val="009E35EA"/>
    <w:rsid w:val="009E52A3"/>
    <w:rsid w:val="009E537B"/>
    <w:rsid w:val="009E55BF"/>
    <w:rsid w:val="009E66B3"/>
    <w:rsid w:val="009E76A9"/>
    <w:rsid w:val="009E7B21"/>
    <w:rsid w:val="009F063D"/>
    <w:rsid w:val="009F0ABB"/>
    <w:rsid w:val="009F2480"/>
    <w:rsid w:val="009F2E24"/>
    <w:rsid w:val="009F33E8"/>
    <w:rsid w:val="009F3417"/>
    <w:rsid w:val="009F4A2D"/>
    <w:rsid w:val="009F4F69"/>
    <w:rsid w:val="009F57A5"/>
    <w:rsid w:val="009F7231"/>
    <w:rsid w:val="009F755E"/>
    <w:rsid w:val="00A01423"/>
    <w:rsid w:val="00A02EEE"/>
    <w:rsid w:val="00A03A4E"/>
    <w:rsid w:val="00A04D05"/>
    <w:rsid w:val="00A04E6C"/>
    <w:rsid w:val="00A0571D"/>
    <w:rsid w:val="00A07667"/>
    <w:rsid w:val="00A1195E"/>
    <w:rsid w:val="00A13398"/>
    <w:rsid w:val="00A13A87"/>
    <w:rsid w:val="00A13F38"/>
    <w:rsid w:val="00A165A5"/>
    <w:rsid w:val="00A16F8E"/>
    <w:rsid w:val="00A22098"/>
    <w:rsid w:val="00A24F54"/>
    <w:rsid w:val="00A2563C"/>
    <w:rsid w:val="00A25831"/>
    <w:rsid w:val="00A26122"/>
    <w:rsid w:val="00A26175"/>
    <w:rsid w:val="00A27F7C"/>
    <w:rsid w:val="00A31FFE"/>
    <w:rsid w:val="00A32B7D"/>
    <w:rsid w:val="00A35060"/>
    <w:rsid w:val="00A36A26"/>
    <w:rsid w:val="00A37902"/>
    <w:rsid w:val="00A40A94"/>
    <w:rsid w:val="00A41177"/>
    <w:rsid w:val="00A41796"/>
    <w:rsid w:val="00A41CBB"/>
    <w:rsid w:val="00A41CE7"/>
    <w:rsid w:val="00A45161"/>
    <w:rsid w:val="00A46FB9"/>
    <w:rsid w:val="00A50D68"/>
    <w:rsid w:val="00A5219F"/>
    <w:rsid w:val="00A531B7"/>
    <w:rsid w:val="00A54933"/>
    <w:rsid w:val="00A54AF5"/>
    <w:rsid w:val="00A553DA"/>
    <w:rsid w:val="00A557E9"/>
    <w:rsid w:val="00A55F0B"/>
    <w:rsid w:val="00A614CC"/>
    <w:rsid w:val="00A619C8"/>
    <w:rsid w:val="00A623E8"/>
    <w:rsid w:val="00A63927"/>
    <w:rsid w:val="00A67646"/>
    <w:rsid w:val="00A7003C"/>
    <w:rsid w:val="00A70807"/>
    <w:rsid w:val="00A716EA"/>
    <w:rsid w:val="00A72E6E"/>
    <w:rsid w:val="00A73F57"/>
    <w:rsid w:val="00A75AD1"/>
    <w:rsid w:val="00A75C4E"/>
    <w:rsid w:val="00A76DFD"/>
    <w:rsid w:val="00A77828"/>
    <w:rsid w:val="00A80A80"/>
    <w:rsid w:val="00A817B5"/>
    <w:rsid w:val="00A82693"/>
    <w:rsid w:val="00A827B7"/>
    <w:rsid w:val="00A82A11"/>
    <w:rsid w:val="00A82B11"/>
    <w:rsid w:val="00A82FD6"/>
    <w:rsid w:val="00A86429"/>
    <w:rsid w:val="00A865EB"/>
    <w:rsid w:val="00A86707"/>
    <w:rsid w:val="00A908F1"/>
    <w:rsid w:val="00A914A2"/>
    <w:rsid w:val="00A93460"/>
    <w:rsid w:val="00A939D1"/>
    <w:rsid w:val="00A950CE"/>
    <w:rsid w:val="00A95A0D"/>
    <w:rsid w:val="00A95CDA"/>
    <w:rsid w:val="00AA2C38"/>
    <w:rsid w:val="00AA411B"/>
    <w:rsid w:val="00AA58D4"/>
    <w:rsid w:val="00AA5D96"/>
    <w:rsid w:val="00AA7A66"/>
    <w:rsid w:val="00AB00D2"/>
    <w:rsid w:val="00AB0C37"/>
    <w:rsid w:val="00AB134F"/>
    <w:rsid w:val="00AB2B61"/>
    <w:rsid w:val="00AB4193"/>
    <w:rsid w:val="00AB4683"/>
    <w:rsid w:val="00AB4DE5"/>
    <w:rsid w:val="00AB50E5"/>
    <w:rsid w:val="00AB79F7"/>
    <w:rsid w:val="00AC33AC"/>
    <w:rsid w:val="00AC546D"/>
    <w:rsid w:val="00AC605F"/>
    <w:rsid w:val="00AD038E"/>
    <w:rsid w:val="00AD16F1"/>
    <w:rsid w:val="00AD3339"/>
    <w:rsid w:val="00AD4288"/>
    <w:rsid w:val="00AD4764"/>
    <w:rsid w:val="00AD6422"/>
    <w:rsid w:val="00AD705C"/>
    <w:rsid w:val="00AE0584"/>
    <w:rsid w:val="00AE1FF6"/>
    <w:rsid w:val="00AE2904"/>
    <w:rsid w:val="00AE313D"/>
    <w:rsid w:val="00AE46DD"/>
    <w:rsid w:val="00AE55CD"/>
    <w:rsid w:val="00AE7F19"/>
    <w:rsid w:val="00AF00CF"/>
    <w:rsid w:val="00AF00EA"/>
    <w:rsid w:val="00AF06D6"/>
    <w:rsid w:val="00AF355A"/>
    <w:rsid w:val="00AF3BDE"/>
    <w:rsid w:val="00AF4209"/>
    <w:rsid w:val="00AF5034"/>
    <w:rsid w:val="00AF5186"/>
    <w:rsid w:val="00AF5224"/>
    <w:rsid w:val="00AF7BC0"/>
    <w:rsid w:val="00B028EB"/>
    <w:rsid w:val="00B0507B"/>
    <w:rsid w:val="00B0509C"/>
    <w:rsid w:val="00B053F4"/>
    <w:rsid w:val="00B05879"/>
    <w:rsid w:val="00B063DA"/>
    <w:rsid w:val="00B073C7"/>
    <w:rsid w:val="00B10131"/>
    <w:rsid w:val="00B1224F"/>
    <w:rsid w:val="00B12851"/>
    <w:rsid w:val="00B14757"/>
    <w:rsid w:val="00B149FF"/>
    <w:rsid w:val="00B150C3"/>
    <w:rsid w:val="00B15F10"/>
    <w:rsid w:val="00B161BA"/>
    <w:rsid w:val="00B20B17"/>
    <w:rsid w:val="00B21448"/>
    <w:rsid w:val="00B24E8F"/>
    <w:rsid w:val="00B24F76"/>
    <w:rsid w:val="00B251DE"/>
    <w:rsid w:val="00B2715A"/>
    <w:rsid w:val="00B2775C"/>
    <w:rsid w:val="00B30C4D"/>
    <w:rsid w:val="00B30EFE"/>
    <w:rsid w:val="00B3119B"/>
    <w:rsid w:val="00B317BF"/>
    <w:rsid w:val="00B32978"/>
    <w:rsid w:val="00B3449E"/>
    <w:rsid w:val="00B3582C"/>
    <w:rsid w:val="00B3640F"/>
    <w:rsid w:val="00B42038"/>
    <w:rsid w:val="00B44679"/>
    <w:rsid w:val="00B50C15"/>
    <w:rsid w:val="00B51300"/>
    <w:rsid w:val="00B5199A"/>
    <w:rsid w:val="00B53523"/>
    <w:rsid w:val="00B53FDF"/>
    <w:rsid w:val="00B55285"/>
    <w:rsid w:val="00B5680A"/>
    <w:rsid w:val="00B569E2"/>
    <w:rsid w:val="00B56CCB"/>
    <w:rsid w:val="00B573B8"/>
    <w:rsid w:val="00B60FCA"/>
    <w:rsid w:val="00B6443E"/>
    <w:rsid w:val="00B647B0"/>
    <w:rsid w:val="00B66AF2"/>
    <w:rsid w:val="00B66DB7"/>
    <w:rsid w:val="00B707D1"/>
    <w:rsid w:val="00B70D6B"/>
    <w:rsid w:val="00B71505"/>
    <w:rsid w:val="00B7786A"/>
    <w:rsid w:val="00B87D9D"/>
    <w:rsid w:val="00B90FD7"/>
    <w:rsid w:val="00B91E1F"/>
    <w:rsid w:val="00B932BA"/>
    <w:rsid w:val="00B94249"/>
    <w:rsid w:val="00B954FB"/>
    <w:rsid w:val="00B967BB"/>
    <w:rsid w:val="00B97F37"/>
    <w:rsid w:val="00BA09C1"/>
    <w:rsid w:val="00BA3295"/>
    <w:rsid w:val="00BA4B1A"/>
    <w:rsid w:val="00BA4D11"/>
    <w:rsid w:val="00BA4D49"/>
    <w:rsid w:val="00BA5F2D"/>
    <w:rsid w:val="00BB09D1"/>
    <w:rsid w:val="00BB0C15"/>
    <w:rsid w:val="00BB2C6F"/>
    <w:rsid w:val="00BB3FA6"/>
    <w:rsid w:val="00BB45E5"/>
    <w:rsid w:val="00BB5C80"/>
    <w:rsid w:val="00BB6253"/>
    <w:rsid w:val="00BB6B49"/>
    <w:rsid w:val="00BB6B76"/>
    <w:rsid w:val="00BC0D56"/>
    <w:rsid w:val="00BC116A"/>
    <w:rsid w:val="00BC34B0"/>
    <w:rsid w:val="00BC3C3F"/>
    <w:rsid w:val="00BC6C4B"/>
    <w:rsid w:val="00BC6F4F"/>
    <w:rsid w:val="00BC76AC"/>
    <w:rsid w:val="00BD0B3F"/>
    <w:rsid w:val="00BD1553"/>
    <w:rsid w:val="00BD3169"/>
    <w:rsid w:val="00BD4806"/>
    <w:rsid w:val="00BD5D9C"/>
    <w:rsid w:val="00BD6445"/>
    <w:rsid w:val="00BD6BC1"/>
    <w:rsid w:val="00BE0165"/>
    <w:rsid w:val="00BE1E6D"/>
    <w:rsid w:val="00BE5474"/>
    <w:rsid w:val="00BE6A2E"/>
    <w:rsid w:val="00BF236C"/>
    <w:rsid w:val="00BF472D"/>
    <w:rsid w:val="00BF4B89"/>
    <w:rsid w:val="00BF4CED"/>
    <w:rsid w:val="00BF5870"/>
    <w:rsid w:val="00BF602D"/>
    <w:rsid w:val="00BF6ACF"/>
    <w:rsid w:val="00C0237B"/>
    <w:rsid w:val="00C032CE"/>
    <w:rsid w:val="00C0438E"/>
    <w:rsid w:val="00C0615E"/>
    <w:rsid w:val="00C073C3"/>
    <w:rsid w:val="00C11FFC"/>
    <w:rsid w:val="00C15793"/>
    <w:rsid w:val="00C157CC"/>
    <w:rsid w:val="00C173F2"/>
    <w:rsid w:val="00C210DB"/>
    <w:rsid w:val="00C220A5"/>
    <w:rsid w:val="00C222E2"/>
    <w:rsid w:val="00C22F00"/>
    <w:rsid w:val="00C24902"/>
    <w:rsid w:val="00C255A1"/>
    <w:rsid w:val="00C27C91"/>
    <w:rsid w:val="00C311BF"/>
    <w:rsid w:val="00C31BC0"/>
    <w:rsid w:val="00C32695"/>
    <w:rsid w:val="00C32E02"/>
    <w:rsid w:val="00C33DC0"/>
    <w:rsid w:val="00C418FA"/>
    <w:rsid w:val="00C43FC0"/>
    <w:rsid w:val="00C52B54"/>
    <w:rsid w:val="00C5365E"/>
    <w:rsid w:val="00C54255"/>
    <w:rsid w:val="00C570EC"/>
    <w:rsid w:val="00C571A5"/>
    <w:rsid w:val="00C57CAD"/>
    <w:rsid w:val="00C60845"/>
    <w:rsid w:val="00C60995"/>
    <w:rsid w:val="00C61613"/>
    <w:rsid w:val="00C61633"/>
    <w:rsid w:val="00C61FB5"/>
    <w:rsid w:val="00C62969"/>
    <w:rsid w:val="00C632C4"/>
    <w:rsid w:val="00C63F18"/>
    <w:rsid w:val="00C66AD9"/>
    <w:rsid w:val="00C670CD"/>
    <w:rsid w:val="00C67BA7"/>
    <w:rsid w:val="00C7092A"/>
    <w:rsid w:val="00C70A45"/>
    <w:rsid w:val="00C711C4"/>
    <w:rsid w:val="00C715DE"/>
    <w:rsid w:val="00C71BEB"/>
    <w:rsid w:val="00C71D16"/>
    <w:rsid w:val="00C74C08"/>
    <w:rsid w:val="00C770CB"/>
    <w:rsid w:val="00C77CF9"/>
    <w:rsid w:val="00C77DB8"/>
    <w:rsid w:val="00C80A30"/>
    <w:rsid w:val="00C81346"/>
    <w:rsid w:val="00C819BC"/>
    <w:rsid w:val="00C82E24"/>
    <w:rsid w:val="00C83C73"/>
    <w:rsid w:val="00C8674B"/>
    <w:rsid w:val="00C874AE"/>
    <w:rsid w:val="00C87D59"/>
    <w:rsid w:val="00C90B42"/>
    <w:rsid w:val="00C914F5"/>
    <w:rsid w:val="00C91667"/>
    <w:rsid w:val="00C91D49"/>
    <w:rsid w:val="00C9273D"/>
    <w:rsid w:val="00C9497E"/>
    <w:rsid w:val="00C95CB5"/>
    <w:rsid w:val="00C97CFF"/>
    <w:rsid w:val="00CA0E2E"/>
    <w:rsid w:val="00CA1208"/>
    <w:rsid w:val="00CA251C"/>
    <w:rsid w:val="00CA26D0"/>
    <w:rsid w:val="00CA4C1D"/>
    <w:rsid w:val="00CA502C"/>
    <w:rsid w:val="00CA6138"/>
    <w:rsid w:val="00CA6835"/>
    <w:rsid w:val="00CA7896"/>
    <w:rsid w:val="00CB0D6E"/>
    <w:rsid w:val="00CB2E7A"/>
    <w:rsid w:val="00CB3B5F"/>
    <w:rsid w:val="00CB5946"/>
    <w:rsid w:val="00CB7155"/>
    <w:rsid w:val="00CB71D5"/>
    <w:rsid w:val="00CC1752"/>
    <w:rsid w:val="00CC1887"/>
    <w:rsid w:val="00CC1A04"/>
    <w:rsid w:val="00CC249E"/>
    <w:rsid w:val="00CD0565"/>
    <w:rsid w:val="00CD07DA"/>
    <w:rsid w:val="00CD1131"/>
    <w:rsid w:val="00CD1F1E"/>
    <w:rsid w:val="00CD49E8"/>
    <w:rsid w:val="00CD5808"/>
    <w:rsid w:val="00CD7482"/>
    <w:rsid w:val="00CE067E"/>
    <w:rsid w:val="00CE06CE"/>
    <w:rsid w:val="00CE1789"/>
    <w:rsid w:val="00CE247C"/>
    <w:rsid w:val="00CE392C"/>
    <w:rsid w:val="00CE5092"/>
    <w:rsid w:val="00CE6B85"/>
    <w:rsid w:val="00CF3642"/>
    <w:rsid w:val="00CF6DDC"/>
    <w:rsid w:val="00D00C37"/>
    <w:rsid w:val="00D011A3"/>
    <w:rsid w:val="00D019D7"/>
    <w:rsid w:val="00D04FDA"/>
    <w:rsid w:val="00D053FB"/>
    <w:rsid w:val="00D05EC7"/>
    <w:rsid w:val="00D068DB"/>
    <w:rsid w:val="00D1130C"/>
    <w:rsid w:val="00D11AD2"/>
    <w:rsid w:val="00D122F2"/>
    <w:rsid w:val="00D125A3"/>
    <w:rsid w:val="00D14407"/>
    <w:rsid w:val="00D15F7B"/>
    <w:rsid w:val="00D1720D"/>
    <w:rsid w:val="00D2082C"/>
    <w:rsid w:val="00D20A2F"/>
    <w:rsid w:val="00D24D4E"/>
    <w:rsid w:val="00D26829"/>
    <w:rsid w:val="00D275C0"/>
    <w:rsid w:val="00D3314C"/>
    <w:rsid w:val="00D347A5"/>
    <w:rsid w:val="00D3498E"/>
    <w:rsid w:val="00D354E0"/>
    <w:rsid w:val="00D36238"/>
    <w:rsid w:val="00D42A02"/>
    <w:rsid w:val="00D42CF0"/>
    <w:rsid w:val="00D43202"/>
    <w:rsid w:val="00D43525"/>
    <w:rsid w:val="00D446DE"/>
    <w:rsid w:val="00D5024E"/>
    <w:rsid w:val="00D50A61"/>
    <w:rsid w:val="00D50C62"/>
    <w:rsid w:val="00D520B8"/>
    <w:rsid w:val="00D52220"/>
    <w:rsid w:val="00D52587"/>
    <w:rsid w:val="00D55F78"/>
    <w:rsid w:val="00D60055"/>
    <w:rsid w:val="00D606A4"/>
    <w:rsid w:val="00D61D8C"/>
    <w:rsid w:val="00D62C80"/>
    <w:rsid w:val="00D63639"/>
    <w:rsid w:val="00D63923"/>
    <w:rsid w:val="00D65083"/>
    <w:rsid w:val="00D70CED"/>
    <w:rsid w:val="00D71262"/>
    <w:rsid w:val="00D719A5"/>
    <w:rsid w:val="00D737F2"/>
    <w:rsid w:val="00D73E6C"/>
    <w:rsid w:val="00D75892"/>
    <w:rsid w:val="00D8059A"/>
    <w:rsid w:val="00D80683"/>
    <w:rsid w:val="00D9216D"/>
    <w:rsid w:val="00D92CAC"/>
    <w:rsid w:val="00D95CA0"/>
    <w:rsid w:val="00DA0BE7"/>
    <w:rsid w:val="00DA0DAE"/>
    <w:rsid w:val="00DA0FB0"/>
    <w:rsid w:val="00DA2545"/>
    <w:rsid w:val="00DA2885"/>
    <w:rsid w:val="00DA355C"/>
    <w:rsid w:val="00DA4B38"/>
    <w:rsid w:val="00DA5036"/>
    <w:rsid w:val="00DA5322"/>
    <w:rsid w:val="00DA5937"/>
    <w:rsid w:val="00DB007D"/>
    <w:rsid w:val="00DB17EA"/>
    <w:rsid w:val="00DB18C7"/>
    <w:rsid w:val="00DB7B58"/>
    <w:rsid w:val="00DC0E9B"/>
    <w:rsid w:val="00DC1DD3"/>
    <w:rsid w:val="00DC3F6F"/>
    <w:rsid w:val="00DC475F"/>
    <w:rsid w:val="00DD25FB"/>
    <w:rsid w:val="00DD30A4"/>
    <w:rsid w:val="00DD60B9"/>
    <w:rsid w:val="00DD61E6"/>
    <w:rsid w:val="00DD61F7"/>
    <w:rsid w:val="00DD64E7"/>
    <w:rsid w:val="00DD64FE"/>
    <w:rsid w:val="00DE01E1"/>
    <w:rsid w:val="00DE2258"/>
    <w:rsid w:val="00DE328B"/>
    <w:rsid w:val="00DE33A3"/>
    <w:rsid w:val="00DE42BE"/>
    <w:rsid w:val="00DE4AE0"/>
    <w:rsid w:val="00DE5E5E"/>
    <w:rsid w:val="00DE6872"/>
    <w:rsid w:val="00DE7DC6"/>
    <w:rsid w:val="00DF01EA"/>
    <w:rsid w:val="00DF4FE6"/>
    <w:rsid w:val="00DF5C6C"/>
    <w:rsid w:val="00DF6520"/>
    <w:rsid w:val="00E01913"/>
    <w:rsid w:val="00E01CC6"/>
    <w:rsid w:val="00E022DB"/>
    <w:rsid w:val="00E03616"/>
    <w:rsid w:val="00E037BC"/>
    <w:rsid w:val="00E03F44"/>
    <w:rsid w:val="00E04C1A"/>
    <w:rsid w:val="00E0567C"/>
    <w:rsid w:val="00E07860"/>
    <w:rsid w:val="00E11D25"/>
    <w:rsid w:val="00E12F66"/>
    <w:rsid w:val="00E136B0"/>
    <w:rsid w:val="00E13CCE"/>
    <w:rsid w:val="00E13FE3"/>
    <w:rsid w:val="00E143F3"/>
    <w:rsid w:val="00E14EDF"/>
    <w:rsid w:val="00E1689B"/>
    <w:rsid w:val="00E172CB"/>
    <w:rsid w:val="00E179EA"/>
    <w:rsid w:val="00E17E81"/>
    <w:rsid w:val="00E206F4"/>
    <w:rsid w:val="00E22B8F"/>
    <w:rsid w:val="00E23113"/>
    <w:rsid w:val="00E239DB"/>
    <w:rsid w:val="00E265B4"/>
    <w:rsid w:val="00E26A76"/>
    <w:rsid w:val="00E26B5E"/>
    <w:rsid w:val="00E30CDB"/>
    <w:rsid w:val="00E30D32"/>
    <w:rsid w:val="00E30EDD"/>
    <w:rsid w:val="00E31AB0"/>
    <w:rsid w:val="00E3233B"/>
    <w:rsid w:val="00E334B2"/>
    <w:rsid w:val="00E33C23"/>
    <w:rsid w:val="00E3594F"/>
    <w:rsid w:val="00E368D2"/>
    <w:rsid w:val="00E404AC"/>
    <w:rsid w:val="00E40953"/>
    <w:rsid w:val="00E40E1C"/>
    <w:rsid w:val="00E41F73"/>
    <w:rsid w:val="00E41F9F"/>
    <w:rsid w:val="00E5080B"/>
    <w:rsid w:val="00E50B74"/>
    <w:rsid w:val="00E519E4"/>
    <w:rsid w:val="00E51C6F"/>
    <w:rsid w:val="00E52BB1"/>
    <w:rsid w:val="00E53557"/>
    <w:rsid w:val="00E5480B"/>
    <w:rsid w:val="00E54AF4"/>
    <w:rsid w:val="00E5594B"/>
    <w:rsid w:val="00E55EAB"/>
    <w:rsid w:val="00E57F24"/>
    <w:rsid w:val="00E60855"/>
    <w:rsid w:val="00E61800"/>
    <w:rsid w:val="00E63DF3"/>
    <w:rsid w:val="00E64BD4"/>
    <w:rsid w:val="00E6684A"/>
    <w:rsid w:val="00E7285C"/>
    <w:rsid w:val="00E73616"/>
    <w:rsid w:val="00E74113"/>
    <w:rsid w:val="00E75F67"/>
    <w:rsid w:val="00E769BA"/>
    <w:rsid w:val="00E8056D"/>
    <w:rsid w:val="00E821B8"/>
    <w:rsid w:val="00E82B57"/>
    <w:rsid w:val="00E83D9B"/>
    <w:rsid w:val="00E8665E"/>
    <w:rsid w:val="00E86BFF"/>
    <w:rsid w:val="00E86F6A"/>
    <w:rsid w:val="00E91A8E"/>
    <w:rsid w:val="00E93729"/>
    <w:rsid w:val="00E96CA5"/>
    <w:rsid w:val="00E978CA"/>
    <w:rsid w:val="00EA038F"/>
    <w:rsid w:val="00EA1BCE"/>
    <w:rsid w:val="00EA21B4"/>
    <w:rsid w:val="00EA502C"/>
    <w:rsid w:val="00EA5B99"/>
    <w:rsid w:val="00EA6E4D"/>
    <w:rsid w:val="00EA7A57"/>
    <w:rsid w:val="00EA7B9B"/>
    <w:rsid w:val="00EB093C"/>
    <w:rsid w:val="00EB0E1C"/>
    <w:rsid w:val="00EB1135"/>
    <w:rsid w:val="00EB19AC"/>
    <w:rsid w:val="00EB4254"/>
    <w:rsid w:val="00EB4631"/>
    <w:rsid w:val="00EB5E95"/>
    <w:rsid w:val="00EC06EF"/>
    <w:rsid w:val="00EC0963"/>
    <w:rsid w:val="00EC0B7E"/>
    <w:rsid w:val="00EC0DA4"/>
    <w:rsid w:val="00EC0F9D"/>
    <w:rsid w:val="00EC3B31"/>
    <w:rsid w:val="00EC4015"/>
    <w:rsid w:val="00EC64CD"/>
    <w:rsid w:val="00EC6E46"/>
    <w:rsid w:val="00EC77F9"/>
    <w:rsid w:val="00EC7C37"/>
    <w:rsid w:val="00ED1F1A"/>
    <w:rsid w:val="00ED1FD2"/>
    <w:rsid w:val="00EE0133"/>
    <w:rsid w:val="00EE0916"/>
    <w:rsid w:val="00EE1253"/>
    <w:rsid w:val="00EE4521"/>
    <w:rsid w:val="00EE509F"/>
    <w:rsid w:val="00EE516E"/>
    <w:rsid w:val="00EE664F"/>
    <w:rsid w:val="00EF0B33"/>
    <w:rsid w:val="00EF0D24"/>
    <w:rsid w:val="00EF17C2"/>
    <w:rsid w:val="00EF1FB2"/>
    <w:rsid w:val="00EF3A3D"/>
    <w:rsid w:val="00EF6556"/>
    <w:rsid w:val="00F00D48"/>
    <w:rsid w:val="00F00F6C"/>
    <w:rsid w:val="00F12AE5"/>
    <w:rsid w:val="00F14952"/>
    <w:rsid w:val="00F15D45"/>
    <w:rsid w:val="00F17715"/>
    <w:rsid w:val="00F20A6C"/>
    <w:rsid w:val="00F242CC"/>
    <w:rsid w:val="00F26716"/>
    <w:rsid w:val="00F3038D"/>
    <w:rsid w:val="00F329FB"/>
    <w:rsid w:val="00F33169"/>
    <w:rsid w:val="00F33C97"/>
    <w:rsid w:val="00F342DB"/>
    <w:rsid w:val="00F34DE9"/>
    <w:rsid w:val="00F3573A"/>
    <w:rsid w:val="00F37AD6"/>
    <w:rsid w:val="00F40019"/>
    <w:rsid w:val="00F407BB"/>
    <w:rsid w:val="00F42B17"/>
    <w:rsid w:val="00F43551"/>
    <w:rsid w:val="00F44789"/>
    <w:rsid w:val="00F46751"/>
    <w:rsid w:val="00F500E5"/>
    <w:rsid w:val="00F5384A"/>
    <w:rsid w:val="00F53CE3"/>
    <w:rsid w:val="00F54592"/>
    <w:rsid w:val="00F5464A"/>
    <w:rsid w:val="00F55FED"/>
    <w:rsid w:val="00F56D0D"/>
    <w:rsid w:val="00F5755D"/>
    <w:rsid w:val="00F60D2C"/>
    <w:rsid w:val="00F610E4"/>
    <w:rsid w:val="00F614A7"/>
    <w:rsid w:val="00F62B12"/>
    <w:rsid w:val="00F647AA"/>
    <w:rsid w:val="00F70772"/>
    <w:rsid w:val="00F70AF2"/>
    <w:rsid w:val="00F70BF5"/>
    <w:rsid w:val="00F71284"/>
    <w:rsid w:val="00F72269"/>
    <w:rsid w:val="00F72C64"/>
    <w:rsid w:val="00F73009"/>
    <w:rsid w:val="00F76601"/>
    <w:rsid w:val="00F767EB"/>
    <w:rsid w:val="00F76AB7"/>
    <w:rsid w:val="00F76C99"/>
    <w:rsid w:val="00F7730D"/>
    <w:rsid w:val="00F778AC"/>
    <w:rsid w:val="00F811F1"/>
    <w:rsid w:val="00F817B0"/>
    <w:rsid w:val="00F81C33"/>
    <w:rsid w:val="00F82709"/>
    <w:rsid w:val="00F82F39"/>
    <w:rsid w:val="00F8612F"/>
    <w:rsid w:val="00F86298"/>
    <w:rsid w:val="00F86F2B"/>
    <w:rsid w:val="00F86F40"/>
    <w:rsid w:val="00F87658"/>
    <w:rsid w:val="00F87CC4"/>
    <w:rsid w:val="00F934A2"/>
    <w:rsid w:val="00F9456E"/>
    <w:rsid w:val="00F956C3"/>
    <w:rsid w:val="00FA0364"/>
    <w:rsid w:val="00FA10DF"/>
    <w:rsid w:val="00FA251B"/>
    <w:rsid w:val="00FA3B79"/>
    <w:rsid w:val="00FA79E0"/>
    <w:rsid w:val="00FA7CC3"/>
    <w:rsid w:val="00FA7F28"/>
    <w:rsid w:val="00FB1972"/>
    <w:rsid w:val="00FB1F53"/>
    <w:rsid w:val="00FB3F0F"/>
    <w:rsid w:val="00FB3FDB"/>
    <w:rsid w:val="00FB4264"/>
    <w:rsid w:val="00FB4433"/>
    <w:rsid w:val="00FB5804"/>
    <w:rsid w:val="00FB5A64"/>
    <w:rsid w:val="00FB5AA5"/>
    <w:rsid w:val="00FC120A"/>
    <w:rsid w:val="00FC1440"/>
    <w:rsid w:val="00FC18D1"/>
    <w:rsid w:val="00FC24DE"/>
    <w:rsid w:val="00FC4DA0"/>
    <w:rsid w:val="00FC4F80"/>
    <w:rsid w:val="00FC537E"/>
    <w:rsid w:val="00FC6884"/>
    <w:rsid w:val="00FD10F0"/>
    <w:rsid w:val="00FD1867"/>
    <w:rsid w:val="00FD476A"/>
    <w:rsid w:val="00FD5715"/>
    <w:rsid w:val="00FD6C81"/>
    <w:rsid w:val="00FD7184"/>
    <w:rsid w:val="00FD7C93"/>
    <w:rsid w:val="00FD7D4B"/>
    <w:rsid w:val="00FD7DA3"/>
    <w:rsid w:val="00FE3A71"/>
    <w:rsid w:val="00FE45B1"/>
    <w:rsid w:val="00FE52DC"/>
    <w:rsid w:val="00FE679A"/>
    <w:rsid w:val="00FF01CC"/>
    <w:rsid w:val="00FF0E64"/>
    <w:rsid w:val="00FF221F"/>
    <w:rsid w:val="00FF3630"/>
    <w:rsid w:val="00FF3D61"/>
    <w:rsid w:val="00FF40CA"/>
    <w:rsid w:val="00FF5919"/>
    <w:rsid w:val="00FF603F"/>
    <w:rsid w:val="00FF656C"/>
    <w:rsid w:val="00FF67E3"/>
    <w:rsid w:val="00FF6AC1"/>
    <w:rsid w:val="00FF6E4C"/>
    <w:rsid w:val="00FF74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8759"/>
  <w15:chartTrackingRefBased/>
  <w15:docId w15:val="{62A87C33-48F0-4E12-B513-9EC268D5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D9C"/>
    <w:pPr>
      <w:spacing w:after="200" w:line="276" w:lineRule="auto"/>
    </w:pPr>
    <w:rPr>
      <w:rFonts w:eastAsiaTheme="minorEastAsia"/>
      <w:kern w:val="0"/>
      <w:lang w:eastAsia="en-CA"/>
      <w14:ligatures w14:val="none"/>
    </w:rPr>
  </w:style>
  <w:style w:type="paragraph" w:styleId="Heading1">
    <w:name w:val="heading 1"/>
    <w:basedOn w:val="Normal"/>
    <w:next w:val="Normal"/>
    <w:link w:val="Heading1Char"/>
    <w:uiPriority w:val="9"/>
    <w:qFormat/>
    <w:rsid w:val="00BD5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D9C"/>
    <w:rPr>
      <w:rFonts w:eastAsiaTheme="majorEastAsia" w:cstheme="majorBidi"/>
      <w:color w:val="272727" w:themeColor="text1" w:themeTint="D8"/>
    </w:rPr>
  </w:style>
  <w:style w:type="paragraph" w:styleId="Title">
    <w:name w:val="Title"/>
    <w:basedOn w:val="Normal"/>
    <w:next w:val="Normal"/>
    <w:link w:val="TitleChar"/>
    <w:uiPriority w:val="10"/>
    <w:qFormat/>
    <w:rsid w:val="00BD5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D9C"/>
    <w:pPr>
      <w:spacing w:before="160"/>
      <w:jc w:val="center"/>
    </w:pPr>
    <w:rPr>
      <w:i/>
      <w:iCs/>
      <w:color w:val="404040" w:themeColor="text1" w:themeTint="BF"/>
    </w:rPr>
  </w:style>
  <w:style w:type="character" w:customStyle="1" w:styleId="QuoteChar">
    <w:name w:val="Quote Char"/>
    <w:basedOn w:val="DefaultParagraphFont"/>
    <w:link w:val="Quote"/>
    <w:uiPriority w:val="29"/>
    <w:rsid w:val="00BD5D9C"/>
    <w:rPr>
      <w:i/>
      <w:iCs/>
      <w:color w:val="404040" w:themeColor="text1" w:themeTint="BF"/>
    </w:rPr>
  </w:style>
  <w:style w:type="paragraph" w:styleId="ListParagraph">
    <w:name w:val="List Paragraph"/>
    <w:basedOn w:val="Normal"/>
    <w:uiPriority w:val="34"/>
    <w:qFormat/>
    <w:rsid w:val="00BD5D9C"/>
    <w:pPr>
      <w:ind w:left="720"/>
      <w:contextualSpacing/>
    </w:pPr>
  </w:style>
  <w:style w:type="character" w:styleId="IntenseEmphasis">
    <w:name w:val="Intense Emphasis"/>
    <w:basedOn w:val="DefaultParagraphFont"/>
    <w:uiPriority w:val="21"/>
    <w:qFormat/>
    <w:rsid w:val="00BD5D9C"/>
    <w:rPr>
      <w:i/>
      <w:iCs/>
      <w:color w:val="0F4761" w:themeColor="accent1" w:themeShade="BF"/>
    </w:rPr>
  </w:style>
  <w:style w:type="paragraph" w:styleId="IntenseQuote">
    <w:name w:val="Intense Quote"/>
    <w:basedOn w:val="Normal"/>
    <w:next w:val="Normal"/>
    <w:link w:val="IntenseQuoteChar"/>
    <w:uiPriority w:val="30"/>
    <w:qFormat/>
    <w:rsid w:val="00BD5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D9C"/>
    <w:rPr>
      <w:i/>
      <w:iCs/>
      <w:color w:val="0F4761" w:themeColor="accent1" w:themeShade="BF"/>
    </w:rPr>
  </w:style>
  <w:style w:type="character" w:styleId="IntenseReference">
    <w:name w:val="Intense Reference"/>
    <w:basedOn w:val="DefaultParagraphFont"/>
    <w:uiPriority w:val="32"/>
    <w:qFormat/>
    <w:rsid w:val="00BD5D9C"/>
    <w:rPr>
      <w:b/>
      <w:bCs/>
      <w:smallCaps/>
      <w:color w:val="0F4761" w:themeColor="accent1" w:themeShade="BF"/>
      <w:spacing w:val="5"/>
    </w:rPr>
  </w:style>
  <w:style w:type="paragraph" w:styleId="Header">
    <w:name w:val="header"/>
    <w:basedOn w:val="Normal"/>
    <w:link w:val="HeaderChar"/>
    <w:uiPriority w:val="99"/>
    <w:unhideWhenUsed/>
    <w:rsid w:val="00BD5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D9C"/>
    <w:rPr>
      <w:rFonts w:eastAsiaTheme="minorEastAsia"/>
      <w:kern w:val="0"/>
      <w:lang w:eastAsia="en-CA"/>
      <w14:ligatures w14:val="none"/>
    </w:rPr>
  </w:style>
  <w:style w:type="paragraph" w:styleId="NoSpacing">
    <w:name w:val="No Spacing"/>
    <w:uiPriority w:val="1"/>
    <w:qFormat/>
    <w:rsid w:val="00BD5D9C"/>
    <w:pPr>
      <w:spacing w:after="0" w:line="240" w:lineRule="auto"/>
      <w:jc w:val="both"/>
    </w:pPr>
    <w:rPr>
      <w:rFonts w:ascii="Arial" w:hAnsi="Arial"/>
      <w:kern w:val="0"/>
      <w:lang w:val="en-US"/>
      <w14:ligatures w14:val="none"/>
    </w:rPr>
  </w:style>
  <w:style w:type="table" w:styleId="TableGrid">
    <w:name w:val="Table Grid"/>
    <w:basedOn w:val="TableNormal"/>
    <w:uiPriority w:val="59"/>
    <w:rsid w:val="00BD5D9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25495"/>
    <w:rPr>
      <w:color w:val="467886" w:themeColor="hyperlink"/>
      <w:u w:val="single"/>
    </w:rPr>
  </w:style>
  <w:style w:type="character" w:styleId="UnresolvedMention">
    <w:name w:val="Unresolved Mention"/>
    <w:basedOn w:val="DefaultParagraphFont"/>
    <w:uiPriority w:val="99"/>
    <w:semiHidden/>
    <w:unhideWhenUsed/>
    <w:rsid w:val="00325495"/>
    <w:rPr>
      <w:color w:val="605E5C"/>
      <w:shd w:val="clear" w:color="auto" w:fill="E1DFDD"/>
    </w:rPr>
  </w:style>
  <w:style w:type="paragraph" w:styleId="Revision">
    <w:name w:val="Revision"/>
    <w:hidden/>
    <w:uiPriority w:val="99"/>
    <w:semiHidden/>
    <w:rsid w:val="00366B0B"/>
    <w:pPr>
      <w:spacing w:after="0" w:line="240" w:lineRule="auto"/>
    </w:pPr>
    <w:rPr>
      <w:rFonts w:eastAsiaTheme="minorEastAsia"/>
      <w:kern w:val="0"/>
      <w:lang w:eastAsia="en-CA"/>
      <w14:ligatures w14:val="none"/>
    </w:rPr>
  </w:style>
  <w:style w:type="character" w:styleId="CommentReference">
    <w:name w:val="annotation reference"/>
    <w:basedOn w:val="DefaultParagraphFont"/>
    <w:uiPriority w:val="99"/>
    <w:semiHidden/>
    <w:unhideWhenUsed/>
    <w:rsid w:val="00FC1440"/>
    <w:rPr>
      <w:sz w:val="16"/>
      <w:szCs w:val="16"/>
    </w:rPr>
  </w:style>
  <w:style w:type="paragraph" w:styleId="CommentText">
    <w:name w:val="annotation text"/>
    <w:basedOn w:val="Normal"/>
    <w:link w:val="CommentTextChar"/>
    <w:uiPriority w:val="99"/>
    <w:unhideWhenUsed/>
    <w:rsid w:val="00FC1440"/>
    <w:pPr>
      <w:spacing w:line="240" w:lineRule="auto"/>
    </w:pPr>
    <w:rPr>
      <w:sz w:val="20"/>
      <w:szCs w:val="20"/>
    </w:rPr>
  </w:style>
  <w:style w:type="character" w:customStyle="1" w:styleId="CommentTextChar">
    <w:name w:val="Comment Text Char"/>
    <w:basedOn w:val="DefaultParagraphFont"/>
    <w:link w:val="CommentText"/>
    <w:uiPriority w:val="99"/>
    <w:rsid w:val="00FC1440"/>
    <w:rPr>
      <w:rFonts w:eastAsiaTheme="minorEastAsia"/>
      <w:kern w:val="0"/>
      <w:sz w:val="20"/>
      <w:szCs w:val="20"/>
      <w:lang w:eastAsia="en-CA"/>
      <w14:ligatures w14:val="none"/>
    </w:rPr>
  </w:style>
  <w:style w:type="paragraph" w:styleId="CommentSubject">
    <w:name w:val="annotation subject"/>
    <w:basedOn w:val="CommentText"/>
    <w:next w:val="CommentText"/>
    <w:link w:val="CommentSubjectChar"/>
    <w:uiPriority w:val="99"/>
    <w:semiHidden/>
    <w:unhideWhenUsed/>
    <w:rsid w:val="00FC1440"/>
    <w:rPr>
      <w:b/>
      <w:bCs/>
    </w:rPr>
  </w:style>
  <w:style w:type="character" w:customStyle="1" w:styleId="CommentSubjectChar">
    <w:name w:val="Comment Subject Char"/>
    <w:basedOn w:val="CommentTextChar"/>
    <w:link w:val="CommentSubject"/>
    <w:uiPriority w:val="99"/>
    <w:semiHidden/>
    <w:rsid w:val="00FC1440"/>
    <w:rPr>
      <w:rFonts w:eastAsiaTheme="minorEastAsia"/>
      <w:b/>
      <w:bCs/>
      <w:kern w:val="0"/>
      <w:sz w:val="20"/>
      <w:szCs w:val="20"/>
      <w:lang w:eastAsia="en-CA"/>
      <w14:ligatures w14:val="none"/>
    </w:rPr>
  </w:style>
  <w:style w:type="paragraph" w:styleId="FootnoteText">
    <w:name w:val="footnote text"/>
    <w:basedOn w:val="Normal"/>
    <w:link w:val="FootnoteTextChar"/>
    <w:uiPriority w:val="99"/>
    <w:semiHidden/>
    <w:unhideWhenUsed/>
    <w:rsid w:val="004137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7F0"/>
    <w:rPr>
      <w:rFonts w:eastAsiaTheme="minorEastAsia"/>
      <w:kern w:val="0"/>
      <w:sz w:val="20"/>
      <w:szCs w:val="20"/>
      <w:lang w:eastAsia="en-CA"/>
      <w14:ligatures w14:val="none"/>
    </w:rPr>
  </w:style>
  <w:style w:type="character" w:styleId="FootnoteReference">
    <w:name w:val="footnote reference"/>
    <w:basedOn w:val="DefaultParagraphFont"/>
    <w:uiPriority w:val="99"/>
    <w:semiHidden/>
    <w:unhideWhenUsed/>
    <w:rsid w:val="004137F0"/>
    <w:rPr>
      <w:vertAlign w:val="superscript"/>
    </w:rPr>
  </w:style>
  <w:style w:type="paragraph" w:styleId="Footer">
    <w:name w:val="footer"/>
    <w:basedOn w:val="Normal"/>
    <w:link w:val="FooterChar"/>
    <w:uiPriority w:val="99"/>
    <w:unhideWhenUsed/>
    <w:rsid w:val="00327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AB8"/>
    <w:rPr>
      <w:rFonts w:eastAsiaTheme="minorEastAsia"/>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212">
      <w:bodyDiv w:val="1"/>
      <w:marLeft w:val="0"/>
      <w:marRight w:val="0"/>
      <w:marTop w:val="0"/>
      <w:marBottom w:val="0"/>
      <w:divBdr>
        <w:top w:val="none" w:sz="0" w:space="0" w:color="auto"/>
        <w:left w:val="none" w:sz="0" w:space="0" w:color="auto"/>
        <w:bottom w:val="none" w:sz="0" w:space="0" w:color="auto"/>
        <w:right w:val="none" w:sz="0" w:space="0" w:color="auto"/>
      </w:divBdr>
    </w:div>
    <w:div w:id="59400898">
      <w:bodyDiv w:val="1"/>
      <w:marLeft w:val="0"/>
      <w:marRight w:val="0"/>
      <w:marTop w:val="0"/>
      <w:marBottom w:val="0"/>
      <w:divBdr>
        <w:top w:val="none" w:sz="0" w:space="0" w:color="auto"/>
        <w:left w:val="none" w:sz="0" w:space="0" w:color="auto"/>
        <w:bottom w:val="none" w:sz="0" w:space="0" w:color="auto"/>
        <w:right w:val="none" w:sz="0" w:space="0" w:color="auto"/>
      </w:divBdr>
    </w:div>
    <w:div w:id="65080367">
      <w:bodyDiv w:val="1"/>
      <w:marLeft w:val="0"/>
      <w:marRight w:val="0"/>
      <w:marTop w:val="0"/>
      <w:marBottom w:val="0"/>
      <w:divBdr>
        <w:top w:val="none" w:sz="0" w:space="0" w:color="auto"/>
        <w:left w:val="none" w:sz="0" w:space="0" w:color="auto"/>
        <w:bottom w:val="none" w:sz="0" w:space="0" w:color="auto"/>
        <w:right w:val="none" w:sz="0" w:space="0" w:color="auto"/>
      </w:divBdr>
    </w:div>
    <w:div w:id="138500772">
      <w:bodyDiv w:val="1"/>
      <w:marLeft w:val="0"/>
      <w:marRight w:val="0"/>
      <w:marTop w:val="0"/>
      <w:marBottom w:val="0"/>
      <w:divBdr>
        <w:top w:val="none" w:sz="0" w:space="0" w:color="auto"/>
        <w:left w:val="none" w:sz="0" w:space="0" w:color="auto"/>
        <w:bottom w:val="none" w:sz="0" w:space="0" w:color="auto"/>
        <w:right w:val="none" w:sz="0" w:space="0" w:color="auto"/>
      </w:divBdr>
    </w:div>
    <w:div w:id="144981000">
      <w:bodyDiv w:val="1"/>
      <w:marLeft w:val="0"/>
      <w:marRight w:val="0"/>
      <w:marTop w:val="0"/>
      <w:marBottom w:val="0"/>
      <w:divBdr>
        <w:top w:val="none" w:sz="0" w:space="0" w:color="auto"/>
        <w:left w:val="none" w:sz="0" w:space="0" w:color="auto"/>
        <w:bottom w:val="none" w:sz="0" w:space="0" w:color="auto"/>
        <w:right w:val="none" w:sz="0" w:space="0" w:color="auto"/>
      </w:divBdr>
    </w:div>
    <w:div w:id="173112816">
      <w:bodyDiv w:val="1"/>
      <w:marLeft w:val="0"/>
      <w:marRight w:val="0"/>
      <w:marTop w:val="0"/>
      <w:marBottom w:val="0"/>
      <w:divBdr>
        <w:top w:val="none" w:sz="0" w:space="0" w:color="auto"/>
        <w:left w:val="none" w:sz="0" w:space="0" w:color="auto"/>
        <w:bottom w:val="none" w:sz="0" w:space="0" w:color="auto"/>
        <w:right w:val="none" w:sz="0" w:space="0" w:color="auto"/>
      </w:divBdr>
    </w:div>
    <w:div w:id="332075261">
      <w:bodyDiv w:val="1"/>
      <w:marLeft w:val="0"/>
      <w:marRight w:val="0"/>
      <w:marTop w:val="0"/>
      <w:marBottom w:val="0"/>
      <w:divBdr>
        <w:top w:val="none" w:sz="0" w:space="0" w:color="auto"/>
        <w:left w:val="none" w:sz="0" w:space="0" w:color="auto"/>
        <w:bottom w:val="none" w:sz="0" w:space="0" w:color="auto"/>
        <w:right w:val="none" w:sz="0" w:space="0" w:color="auto"/>
      </w:divBdr>
    </w:div>
    <w:div w:id="402146999">
      <w:bodyDiv w:val="1"/>
      <w:marLeft w:val="0"/>
      <w:marRight w:val="0"/>
      <w:marTop w:val="0"/>
      <w:marBottom w:val="0"/>
      <w:divBdr>
        <w:top w:val="none" w:sz="0" w:space="0" w:color="auto"/>
        <w:left w:val="none" w:sz="0" w:space="0" w:color="auto"/>
        <w:bottom w:val="none" w:sz="0" w:space="0" w:color="auto"/>
        <w:right w:val="none" w:sz="0" w:space="0" w:color="auto"/>
      </w:divBdr>
    </w:div>
    <w:div w:id="455685218">
      <w:bodyDiv w:val="1"/>
      <w:marLeft w:val="0"/>
      <w:marRight w:val="0"/>
      <w:marTop w:val="0"/>
      <w:marBottom w:val="0"/>
      <w:divBdr>
        <w:top w:val="none" w:sz="0" w:space="0" w:color="auto"/>
        <w:left w:val="none" w:sz="0" w:space="0" w:color="auto"/>
        <w:bottom w:val="none" w:sz="0" w:space="0" w:color="auto"/>
        <w:right w:val="none" w:sz="0" w:space="0" w:color="auto"/>
      </w:divBdr>
    </w:div>
    <w:div w:id="548803257">
      <w:bodyDiv w:val="1"/>
      <w:marLeft w:val="0"/>
      <w:marRight w:val="0"/>
      <w:marTop w:val="0"/>
      <w:marBottom w:val="0"/>
      <w:divBdr>
        <w:top w:val="none" w:sz="0" w:space="0" w:color="auto"/>
        <w:left w:val="none" w:sz="0" w:space="0" w:color="auto"/>
        <w:bottom w:val="none" w:sz="0" w:space="0" w:color="auto"/>
        <w:right w:val="none" w:sz="0" w:space="0" w:color="auto"/>
      </w:divBdr>
    </w:div>
    <w:div w:id="621110394">
      <w:bodyDiv w:val="1"/>
      <w:marLeft w:val="0"/>
      <w:marRight w:val="0"/>
      <w:marTop w:val="0"/>
      <w:marBottom w:val="0"/>
      <w:divBdr>
        <w:top w:val="none" w:sz="0" w:space="0" w:color="auto"/>
        <w:left w:val="none" w:sz="0" w:space="0" w:color="auto"/>
        <w:bottom w:val="none" w:sz="0" w:space="0" w:color="auto"/>
        <w:right w:val="none" w:sz="0" w:space="0" w:color="auto"/>
      </w:divBdr>
    </w:div>
    <w:div w:id="670763209">
      <w:bodyDiv w:val="1"/>
      <w:marLeft w:val="0"/>
      <w:marRight w:val="0"/>
      <w:marTop w:val="0"/>
      <w:marBottom w:val="0"/>
      <w:divBdr>
        <w:top w:val="none" w:sz="0" w:space="0" w:color="auto"/>
        <w:left w:val="none" w:sz="0" w:space="0" w:color="auto"/>
        <w:bottom w:val="none" w:sz="0" w:space="0" w:color="auto"/>
        <w:right w:val="none" w:sz="0" w:space="0" w:color="auto"/>
      </w:divBdr>
    </w:div>
    <w:div w:id="674646369">
      <w:bodyDiv w:val="1"/>
      <w:marLeft w:val="0"/>
      <w:marRight w:val="0"/>
      <w:marTop w:val="0"/>
      <w:marBottom w:val="0"/>
      <w:divBdr>
        <w:top w:val="none" w:sz="0" w:space="0" w:color="auto"/>
        <w:left w:val="none" w:sz="0" w:space="0" w:color="auto"/>
        <w:bottom w:val="none" w:sz="0" w:space="0" w:color="auto"/>
        <w:right w:val="none" w:sz="0" w:space="0" w:color="auto"/>
      </w:divBdr>
    </w:div>
    <w:div w:id="731848837">
      <w:bodyDiv w:val="1"/>
      <w:marLeft w:val="0"/>
      <w:marRight w:val="0"/>
      <w:marTop w:val="0"/>
      <w:marBottom w:val="0"/>
      <w:divBdr>
        <w:top w:val="none" w:sz="0" w:space="0" w:color="auto"/>
        <w:left w:val="none" w:sz="0" w:space="0" w:color="auto"/>
        <w:bottom w:val="none" w:sz="0" w:space="0" w:color="auto"/>
        <w:right w:val="none" w:sz="0" w:space="0" w:color="auto"/>
      </w:divBdr>
    </w:div>
    <w:div w:id="848831868">
      <w:bodyDiv w:val="1"/>
      <w:marLeft w:val="0"/>
      <w:marRight w:val="0"/>
      <w:marTop w:val="0"/>
      <w:marBottom w:val="0"/>
      <w:divBdr>
        <w:top w:val="none" w:sz="0" w:space="0" w:color="auto"/>
        <w:left w:val="none" w:sz="0" w:space="0" w:color="auto"/>
        <w:bottom w:val="none" w:sz="0" w:space="0" w:color="auto"/>
        <w:right w:val="none" w:sz="0" w:space="0" w:color="auto"/>
      </w:divBdr>
    </w:div>
    <w:div w:id="866603066">
      <w:bodyDiv w:val="1"/>
      <w:marLeft w:val="0"/>
      <w:marRight w:val="0"/>
      <w:marTop w:val="0"/>
      <w:marBottom w:val="0"/>
      <w:divBdr>
        <w:top w:val="none" w:sz="0" w:space="0" w:color="auto"/>
        <w:left w:val="none" w:sz="0" w:space="0" w:color="auto"/>
        <w:bottom w:val="none" w:sz="0" w:space="0" w:color="auto"/>
        <w:right w:val="none" w:sz="0" w:space="0" w:color="auto"/>
      </w:divBdr>
    </w:div>
    <w:div w:id="968895314">
      <w:bodyDiv w:val="1"/>
      <w:marLeft w:val="0"/>
      <w:marRight w:val="0"/>
      <w:marTop w:val="0"/>
      <w:marBottom w:val="0"/>
      <w:divBdr>
        <w:top w:val="none" w:sz="0" w:space="0" w:color="auto"/>
        <w:left w:val="none" w:sz="0" w:space="0" w:color="auto"/>
        <w:bottom w:val="none" w:sz="0" w:space="0" w:color="auto"/>
        <w:right w:val="none" w:sz="0" w:space="0" w:color="auto"/>
      </w:divBdr>
    </w:div>
    <w:div w:id="1095976042">
      <w:bodyDiv w:val="1"/>
      <w:marLeft w:val="0"/>
      <w:marRight w:val="0"/>
      <w:marTop w:val="0"/>
      <w:marBottom w:val="0"/>
      <w:divBdr>
        <w:top w:val="none" w:sz="0" w:space="0" w:color="auto"/>
        <w:left w:val="none" w:sz="0" w:space="0" w:color="auto"/>
        <w:bottom w:val="none" w:sz="0" w:space="0" w:color="auto"/>
        <w:right w:val="none" w:sz="0" w:space="0" w:color="auto"/>
      </w:divBdr>
    </w:div>
    <w:div w:id="1355613728">
      <w:bodyDiv w:val="1"/>
      <w:marLeft w:val="0"/>
      <w:marRight w:val="0"/>
      <w:marTop w:val="0"/>
      <w:marBottom w:val="0"/>
      <w:divBdr>
        <w:top w:val="none" w:sz="0" w:space="0" w:color="auto"/>
        <w:left w:val="none" w:sz="0" w:space="0" w:color="auto"/>
        <w:bottom w:val="none" w:sz="0" w:space="0" w:color="auto"/>
        <w:right w:val="none" w:sz="0" w:space="0" w:color="auto"/>
      </w:divBdr>
    </w:div>
    <w:div w:id="1426421646">
      <w:bodyDiv w:val="1"/>
      <w:marLeft w:val="0"/>
      <w:marRight w:val="0"/>
      <w:marTop w:val="0"/>
      <w:marBottom w:val="0"/>
      <w:divBdr>
        <w:top w:val="none" w:sz="0" w:space="0" w:color="auto"/>
        <w:left w:val="none" w:sz="0" w:space="0" w:color="auto"/>
        <w:bottom w:val="none" w:sz="0" w:space="0" w:color="auto"/>
        <w:right w:val="none" w:sz="0" w:space="0" w:color="auto"/>
      </w:divBdr>
    </w:div>
    <w:div w:id="1594557164">
      <w:bodyDiv w:val="1"/>
      <w:marLeft w:val="0"/>
      <w:marRight w:val="0"/>
      <w:marTop w:val="0"/>
      <w:marBottom w:val="0"/>
      <w:divBdr>
        <w:top w:val="none" w:sz="0" w:space="0" w:color="auto"/>
        <w:left w:val="none" w:sz="0" w:space="0" w:color="auto"/>
        <w:bottom w:val="none" w:sz="0" w:space="0" w:color="auto"/>
        <w:right w:val="none" w:sz="0" w:space="0" w:color="auto"/>
      </w:divBdr>
    </w:div>
    <w:div w:id="176842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C1BD1-AAAE-484F-97F8-E47A86FC0689}">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D2D43798-07B3-4AD9-9BCD-C91C462F2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AF9BE-A340-4469-8373-F77C224D13C3}">
  <ds:schemaRefs>
    <ds:schemaRef ds:uri="http://schemas.microsoft.com/sharepoint/v3/contenttype/forms"/>
  </ds:schemaRefs>
</ds:datastoreItem>
</file>

<file path=customXml/itemProps4.xml><?xml version="1.0" encoding="utf-8"?>
<ds:datastoreItem xmlns:ds="http://schemas.openxmlformats.org/officeDocument/2006/customXml" ds:itemID="{85B480C3-CFB4-4F2A-9E54-258AC3CC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6398</Words>
  <Characters>36473</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Piché</dc:creator>
  <cp:keywords/>
  <dc:description/>
  <cp:lastModifiedBy>Tyler Vibert</cp:lastModifiedBy>
  <cp:revision>2</cp:revision>
  <cp:lastPrinted>2025-09-12T16:29:00Z</cp:lastPrinted>
  <dcterms:created xsi:type="dcterms:W3CDTF">2025-09-12T21:01:00Z</dcterms:created>
  <dcterms:modified xsi:type="dcterms:W3CDTF">2025-09-12T21:01:00Z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2025-06-04T00:09:37Z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223391f9-6378-4e5d-bb89-4bbb209356d4</vt:lpwstr>
  </property>
  <property fmtid="{D5CDD505-2E9C-101B-9397-08002B2CF9AE}" pid="8" name="MSIP_Label_defa4170-0d19-0005-0004-bc88714345d2_ContentBits">
    <vt:lpwstr>0</vt:lpwstr>
  </property>
  <property fmtid="{D5CDD505-2E9C-101B-9397-08002B2CF9AE}" pid="9" name="ContentTypeId">
    <vt:lpwstr>0x010100598070878C79D4408E9B8E13FB885CC9</vt:lpwstr>
  </property>
  <property fmtid="{D5CDD505-2E9C-101B-9397-08002B2CF9AE}" pid="10" name="MediaServiceImageTags">
    <vt:lpwstr/>
  </property>
</Properties>
</file>