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C392" w14:textId="73FDEA67" w:rsidR="00B94F8E" w:rsidRPr="00572126" w:rsidRDefault="003F69FF" w:rsidP="00B22232">
      <w:pPr>
        <w:spacing w:after="0" w:line="240" w:lineRule="auto"/>
        <w:rPr>
          <w:rFonts w:ascii="Times New Roman" w:hAnsi="Times New Roman" w:cs="Times New Roman"/>
          <w:sz w:val="24"/>
          <w:szCs w:val="24"/>
        </w:rPr>
      </w:pPr>
      <w:r>
        <w:rPr>
          <w:rFonts w:ascii="Times New Roman" w:hAnsi="Times New Roman" w:cs="Times New Roman"/>
          <w:i/>
          <w:sz w:val="24"/>
          <w:szCs w:val="24"/>
        </w:rPr>
        <w:t>Estate of Bourque</w:t>
      </w:r>
      <w:r w:rsidR="003079CA" w:rsidRPr="00572126">
        <w:rPr>
          <w:rFonts w:ascii="Times New Roman" w:hAnsi="Times New Roman" w:cs="Times New Roman"/>
          <w:i/>
          <w:sz w:val="24"/>
          <w:szCs w:val="24"/>
        </w:rPr>
        <w:t xml:space="preserve">, </w:t>
      </w:r>
      <w:r w:rsidR="00784254">
        <w:rPr>
          <w:rFonts w:ascii="Times New Roman" w:hAnsi="Times New Roman" w:cs="Times New Roman"/>
          <w:sz w:val="24"/>
          <w:szCs w:val="24"/>
        </w:rPr>
        <w:t>20</w:t>
      </w:r>
      <w:r w:rsidR="00E927A5">
        <w:rPr>
          <w:rFonts w:ascii="Times New Roman" w:hAnsi="Times New Roman" w:cs="Times New Roman"/>
          <w:sz w:val="24"/>
          <w:szCs w:val="24"/>
        </w:rPr>
        <w:t>25</w:t>
      </w:r>
      <w:r w:rsidR="00B22232">
        <w:rPr>
          <w:rFonts w:ascii="Times New Roman" w:hAnsi="Times New Roman" w:cs="Times New Roman"/>
          <w:sz w:val="24"/>
          <w:szCs w:val="24"/>
        </w:rPr>
        <w:t xml:space="preserve"> NWTSC </w:t>
      </w:r>
      <w:r w:rsidR="00437216">
        <w:rPr>
          <w:rFonts w:ascii="Times New Roman" w:hAnsi="Times New Roman" w:cs="Times New Roman"/>
          <w:sz w:val="24"/>
          <w:szCs w:val="24"/>
        </w:rPr>
        <w:t>70</w:t>
      </w:r>
    </w:p>
    <w:p w14:paraId="1CF3AC8E" w14:textId="5CA3CD5F" w:rsidR="00B94F8E" w:rsidRP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Date: </w:t>
      </w:r>
      <w:bookmarkStart w:id="0" w:name="1"/>
      <w:bookmarkEnd w:id="0"/>
      <w:r w:rsidR="00B94F8E" w:rsidRPr="00B94F8E">
        <w:rPr>
          <w:rFonts w:ascii="Times New Roman" w:hAnsi="Times New Roman" w:cs="Times New Roman"/>
          <w:sz w:val="28"/>
          <w:szCs w:val="28"/>
        </w:rPr>
        <w:t xml:space="preserve"> </w:t>
      </w:r>
      <w:r w:rsidR="00437216">
        <w:rPr>
          <w:rFonts w:ascii="Times New Roman" w:hAnsi="Times New Roman" w:cs="Times New Roman"/>
          <w:sz w:val="28"/>
          <w:szCs w:val="28"/>
        </w:rPr>
        <w:t>2025</w:t>
      </w:r>
      <w:r w:rsidR="00B94F8E" w:rsidRPr="00B94F8E">
        <w:rPr>
          <w:rFonts w:ascii="Times New Roman" w:hAnsi="Times New Roman" w:cs="Times New Roman"/>
          <w:sz w:val="28"/>
          <w:szCs w:val="28"/>
        </w:rPr>
        <w:t xml:space="preserve"> </w:t>
      </w:r>
      <w:r w:rsidR="003079CA">
        <w:rPr>
          <w:rFonts w:ascii="Times New Roman" w:hAnsi="Times New Roman" w:cs="Times New Roman"/>
          <w:sz w:val="28"/>
          <w:szCs w:val="28"/>
        </w:rPr>
        <w:t>0</w:t>
      </w:r>
      <w:r w:rsidR="00784254">
        <w:rPr>
          <w:rFonts w:ascii="Times New Roman" w:hAnsi="Times New Roman" w:cs="Times New Roman"/>
          <w:sz w:val="28"/>
          <w:szCs w:val="28"/>
        </w:rPr>
        <w:t>1</w:t>
      </w:r>
      <w:r w:rsidR="003079CA">
        <w:rPr>
          <w:rFonts w:ascii="Times New Roman" w:hAnsi="Times New Roman" w:cs="Times New Roman"/>
          <w:sz w:val="28"/>
          <w:szCs w:val="28"/>
        </w:rPr>
        <w:t xml:space="preserve"> </w:t>
      </w:r>
      <w:r w:rsidR="00437216">
        <w:rPr>
          <w:rFonts w:ascii="Times New Roman" w:hAnsi="Times New Roman" w:cs="Times New Roman"/>
          <w:sz w:val="28"/>
          <w:szCs w:val="28"/>
        </w:rPr>
        <w:t>10</w:t>
      </w:r>
    </w:p>
    <w:p w14:paraId="4B2F8872" w14:textId="1A29BED7" w:rsid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Docket: </w:t>
      </w:r>
      <w:bookmarkStart w:id="1" w:name="2"/>
      <w:bookmarkEnd w:id="1"/>
      <w:r w:rsidR="00B94F8E">
        <w:rPr>
          <w:rFonts w:ascii="Times New Roman" w:hAnsi="Times New Roman" w:cs="Times New Roman"/>
          <w:sz w:val="28"/>
          <w:szCs w:val="28"/>
        </w:rPr>
        <w:t xml:space="preserve"> </w:t>
      </w:r>
      <w:r w:rsidR="003079CA">
        <w:rPr>
          <w:rFonts w:ascii="Times New Roman" w:hAnsi="Times New Roman" w:cs="Times New Roman"/>
          <w:sz w:val="28"/>
          <w:szCs w:val="28"/>
        </w:rPr>
        <w:t>S-</w:t>
      </w:r>
      <w:r w:rsidR="00B94F8E" w:rsidRPr="00B94F8E">
        <w:rPr>
          <w:rFonts w:ascii="Times New Roman" w:hAnsi="Times New Roman" w:cs="Times New Roman"/>
          <w:sz w:val="28"/>
          <w:szCs w:val="28"/>
        </w:rPr>
        <w:t>1-</w:t>
      </w:r>
      <w:r w:rsidR="003F69FF">
        <w:rPr>
          <w:rFonts w:ascii="Times New Roman" w:hAnsi="Times New Roman" w:cs="Times New Roman"/>
          <w:sz w:val="28"/>
          <w:szCs w:val="28"/>
        </w:rPr>
        <w:t>ES</w:t>
      </w:r>
      <w:r w:rsidR="00572126">
        <w:rPr>
          <w:rFonts w:ascii="Times New Roman" w:hAnsi="Times New Roman" w:cs="Times New Roman"/>
          <w:sz w:val="28"/>
          <w:szCs w:val="28"/>
        </w:rPr>
        <w:t>-20</w:t>
      </w:r>
      <w:r w:rsidR="00D50439">
        <w:rPr>
          <w:rFonts w:ascii="Times New Roman" w:hAnsi="Times New Roman" w:cs="Times New Roman"/>
          <w:sz w:val="28"/>
          <w:szCs w:val="28"/>
        </w:rPr>
        <w:t>2</w:t>
      </w:r>
      <w:r w:rsidR="003F69FF">
        <w:rPr>
          <w:rFonts w:ascii="Times New Roman" w:hAnsi="Times New Roman" w:cs="Times New Roman"/>
          <w:sz w:val="28"/>
          <w:szCs w:val="28"/>
        </w:rPr>
        <w:t>5</w:t>
      </w:r>
      <w:r w:rsidR="00D50439">
        <w:rPr>
          <w:rFonts w:ascii="Times New Roman" w:hAnsi="Times New Roman" w:cs="Times New Roman"/>
          <w:sz w:val="28"/>
          <w:szCs w:val="28"/>
        </w:rPr>
        <w:t>-000 0</w:t>
      </w:r>
      <w:r w:rsidR="003F69FF">
        <w:rPr>
          <w:rFonts w:ascii="Times New Roman" w:hAnsi="Times New Roman" w:cs="Times New Roman"/>
          <w:sz w:val="28"/>
          <w:szCs w:val="28"/>
        </w:rPr>
        <w:t>75</w:t>
      </w:r>
      <w:r w:rsidR="00572126">
        <w:rPr>
          <w:rFonts w:ascii="Times New Roman" w:hAnsi="Times New Roman" w:cs="Times New Roman"/>
          <w:sz w:val="28"/>
          <w:szCs w:val="28"/>
        </w:rPr>
        <w:t xml:space="preserve"> </w:t>
      </w:r>
    </w:p>
    <w:p w14:paraId="7992547A" w14:textId="77777777" w:rsidR="00B94F8E" w:rsidRDefault="00B94F8E" w:rsidP="00B22232">
      <w:pPr>
        <w:spacing w:after="0" w:line="240" w:lineRule="auto"/>
        <w:jc w:val="right"/>
        <w:rPr>
          <w:rFonts w:ascii="Times New Roman" w:hAnsi="Times New Roman" w:cs="Times New Roman"/>
          <w:sz w:val="28"/>
          <w:szCs w:val="28"/>
        </w:rPr>
      </w:pPr>
    </w:p>
    <w:p w14:paraId="72664706" w14:textId="77777777" w:rsidR="001F420E" w:rsidRDefault="001F420E" w:rsidP="00B22232">
      <w:pPr>
        <w:spacing w:after="0" w:line="240" w:lineRule="auto"/>
        <w:jc w:val="right"/>
        <w:rPr>
          <w:rFonts w:ascii="Times New Roman" w:hAnsi="Times New Roman" w:cs="Times New Roman"/>
          <w:sz w:val="28"/>
          <w:szCs w:val="28"/>
        </w:rPr>
      </w:pPr>
    </w:p>
    <w:p w14:paraId="7DBFCF11" w14:textId="77777777" w:rsidR="00B94F8E" w:rsidRDefault="00B94F8E" w:rsidP="00B22232">
      <w:pPr>
        <w:spacing w:after="0" w:line="240" w:lineRule="auto"/>
        <w:jc w:val="right"/>
        <w:rPr>
          <w:rFonts w:ascii="Times New Roman" w:hAnsi="Times New Roman" w:cs="Times New Roman"/>
          <w:sz w:val="28"/>
          <w:szCs w:val="28"/>
        </w:rPr>
      </w:pPr>
    </w:p>
    <w:p w14:paraId="4277BE08" w14:textId="77777777" w:rsidR="00784254" w:rsidRPr="001F420E" w:rsidRDefault="00784254" w:rsidP="00B22232">
      <w:pPr>
        <w:jc w:val="center"/>
        <w:rPr>
          <w:rFonts w:ascii="Times New Roman" w:hAnsi="Times New Roman" w:cs="Times New Roman"/>
          <w:b/>
          <w:bCs/>
          <w:sz w:val="28"/>
          <w:szCs w:val="28"/>
        </w:rPr>
      </w:pPr>
      <w:r w:rsidRPr="001F420E">
        <w:rPr>
          <w:rFonts w:ascii="Times New Roman" w:hAnsi="Times New Roman" w:cs="Times New Roman"/>
          <w:b/>
          <w:bCs/>
          <w:sz w:val="28"/>
          <w:szCs w:val="28"/>
        </w:rPr>
        <w:t>IN THE SUPREME COURT OF THE NORTHWEST TERRITORIES</w:t>
      </w:r>
    </w:p>
    <w:p w14:paraId="06C20051" w14:textId="02091C25" w:rsidR="00784254" w:rsidRPr="001F420E" w:rsidRDefault="003F69FF" w:rsidP="009E25BD">
      <w:pPr>
        <w:jc w:val="center"/>
        <w:rPr>
          <w:rFonts w:ascii="Times New Roman" w:hAnsi="Times New Roman" w:cs="Times New Roman"/>
          <w:b/>
          <w:bCs/>
          <w:sz w:val="28"/>
          <w:szCs w:val="28"/>
        </w:rPr>
      </w:pPr>
      <w:r w:rsidRPr="001F420E">
        <w:rPr>
          <w:rFonts w:ascii="Times New Roman" w:hAnsi="Times New Roman" w:cs="Times New Roman"/>
          <w:b/>
          <w:bCs/>
          <w:sz w:val="28"/>
          <w:szCs w:val="28"/>
        </w:rPr>
        <w:t>IN THE MATTER OF THE ESTATE OF VANCE DAVID BOURQ</w:t>
      </w:r>
      <w:r w:rsidR="009E25BD">
        <w:rPr>
          <w:rFonts w:ascii="Times New Roman" w:hAnsi="Times New Roman" w:cs="Times New Roman"/>
          <w:b/>
          <w:bCs/>
          <w:sz w:val="28"/>
          <w:szCs w:val="28"/>
        </w:rPr>
        <w:t>U</w:t>
      </w:r>
      <w:r w:rsidRPr="001F420E">
        <w:rPr>
          <w:rFonts w:ascii="Times New Roman" w:hAnsi="Times New Roman" w:cs="Times New Roman"/>
          <w:b/>
          <w:bCs/>
          <w:sz w:val="28"/>
          <w:szCs w:val="28"/>
        </w:rPr>
        <w:t>E, late of Fort Smith in the Northwest Territories, deceased.</w:t>
      </w:r>
    </w:p>
    <w:p w14:paraId="2F4C66E7" w14:textId="77777777" w:rsidR="00784254" w:rsidRDefault="00784254" w:rsidP="00B22232">
      <w:pPr>
        <w:jc w:val="center"/>
        <w:rPr>
          <w:rFonts w:ascii="Times New Roman" w:hAnsi="Times New Roman" w:cs="Times New Roman"/>
          <w:sz w:val="28"/>
          <w:szCs w:val="28"/>
        </w:rPr>
      </w:pPr>
    </w:p>
    <w:p w14:paraId="21147CFE" w14:textId="4C6484C9" w:rsidR="00784254" w:rsidRPr="001F420E" w:rsidRDefault="00784254" w:rsidP="00B22232">
      <w:pPr>
        <w:jc w:val="center"/>
        <w:rPr>
          <w:rFonts w:ascii="Times New Roman" w:hAnsi="Times New Roman" w:cs="Times New Roman"/>
          <w:b/>
          <w:bCs/>
          <w:sz w:val="28"/>
          <w:szCs w:val="28"/>
        </w:rPr>
      </w:pPr>
      <w:r w:rsidRPr="001F420E">
        <w:rPr>
          <w:rFonts w:ascii="Times New Roman" w:hAnsi="Times New Roman" w:cs="Times New Roman"/>
          <w:b/>
          <w:bCs/>
          <w:sz w:val="28"/>
          <w:szCs w:val="28"/>
        </w:rPr>
        <w:t xml:space="preserve">MEMORANDUM OF </w:t>
      </w:r>
      <w:r w:rsidR="00E927A5" w:rsidRPr="001F420E">
        <w:rPr>
          <w:rFonts w:ascii="Times New Roman" w:hAnsi="Times New Roman" w:cs="Times New Roman"/>
          <w:b/>
          <w:bCs/>
          <w:sz w:val="28"/>
          <w:szCs w:val="28"/>
        </w:rPr>
        <w:t>DECISION</w:t>
      </w:r>
    </w:p>
    <w:p w14:paraId="2A0BE448" w14:textId="77777777" w:rsidR="003D3E8C" w:rsidRDefault="003D3E8C" w:rsidP="00B22232">
      <w:pPr>
        <w:pStyle w:val="ListParagraph"/>
        <w:spacing w:after="0" w:line="240" w:lineRule="auto"/>
        <w:ind w:left="0"/>
        <w:jc w:val="center"/>
        <w:rPr>
          <w:rFonts w:ascii="Times New Roman" w:hAnsi="Times New Roman" w:cs="Times New Roman"/>
          <w:sz w:val="28"/>
          <w:szCs w:val="28"/>
        </w:rPr>
      </w:pPr>
    </w:p>
    <w:p w14:paraId="50AE291F" w14:textId="77777777" w:rsidR="001F420E" w:rsidRPr="00B512D6" w:rsidRDefault="001F420E" w:rsidP="00B22232">
      <w:pPr>
        <w:pStyle w:val="ListParagraph"/>
        <w:spacing w:after="0" w:line="240" w:lineRule="auto"/>
        <w:ind w:left="0"/>
        <w:jc w:val="center"/>
        <w:rPr>
          <w:rFonts w:ascii="Times New Roman" w:hAnsi="Times New Roman" w:cs="Times New Roman"/>
          <w:sz w:val="28"/>
          <w:szCs w:val="28"/>
        </w:rPr>
      </w:pPr>
    </w:p>
    <w:p w14:paraId="1E908F66" w14:textId="759A96A5" w:rsidR="00491580" w:rsidRDefault="003F69FF" w:rsidP="00491580">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The Applicant, Doraine Grenier, applies for administration of the estate of Vance David Bourque</w:t>
      </w:r>
      <w:r w:rsidR="00BB4660">
        <w:rPr>
          <w:rFonts w:ascii="Times New Roman" w:hAnsi="Times New Roman" w:cs="Times New Roman"/>
          <w:sz w:val="28"/>
          <w:szCs w:val="28"/>
        </w:rPr>
        <w:t xml:space="preserve">, the deceased. </w:t>
      </w:r>
      <w:r w:rsidR="00E05918">
        <w:rPr>
          <w:rFonts w:ascii="Times New Roman" w:hAnsi="Times New Roman" w:cs="Times New Roman"/>
          <w:sz w:val="28"/>
          <w:szCs w:val="28"/>
        </w:rPr>
        <w:t xml:space="preserve"> </w:t>
      </w:r>
      <w:r>
        <w:rPr>
          <w:rFonts w:ascii="Times New Roman" w:hAnsi="Times New Roman" w:cs="Times New Roman"/>
          <w:sz w:val="28"/>
          <w:szCs w:val="28"/>
        </w:rPr>
        <w:t xml:space="preserve">The application is made under Rule 10 of the </w:t>
      </w:r>
      <w:r w:rsidRPr="00302395">
        <w:rPr>
          <w:rFonts w:ascii="Times New Roman" w:hAnsi="Times New Roman" w:cs="Times New Roman"/>
          <w:i/>
          <w:iCs/>
          <w:sz w:val="28"/>
          <w:szCs w:val="28"/>
        </w:rPr>
        <w:t>Estate Administration Rules</w:t>
      </w:r>
      <w:r w:rsidR="00491580">
        <w:rPr>
          <w:rFonts w:ascii="Times New Roman" w:hAnsi="Times New Roman" w:cs="Times New Roman"/>
          <w:sz w:val="28"/>
          <w:szCs w:val="28"/>
        </w:rPr>
        <w:t xml:space="preserve">, </w:t>
      </w:r>
      <w:r w:rsidR="00491580" w:rsidRPr="00491580">
        <w:rPr>
          <w:rFonts w:ascii="Times New Roman" w:hAnsi="Times New Roman" w:cs="Times New Roman"/>
          <w:sz w:val="28"/>
          <w:szCs w:val="28"/>
        </w:rPr>
        <w:t>R-123-2016</w:t>
      </w:r>
      <w:r w:rsidR="00491580">
        <w:rPr>
          <w:rFonts w:ascii="Times New Roman" w:hAnsi="Times New Roman" w:cs="Times New Roman"/>
          <w:sz w:val="28"/>
          <w:szCs w:val="28"/>
        </w:rPr>
        <w:t xml:space="preserve"> [the “</w:t>
      </w:r>
      <w:r w:rsidR="00491580" w:rsidRPr="00491580">
        <w:rPr>
          <w:rFonts w:ascii="Times New Roman" w:hAnsi="Times New Roman" w:cs="Times New Roman"/>
          <w:i/>
          <w:iCs/>
          <w:sz w:val="28"/>
          <w:szCs w:val="28"/>
        </w:rPr>
        <w:t>Rules</w:t>
      </w:r>
      <w:r w:rsidR="00491580">
        <w:rPr>
          <w:rFonts w:ascii="Times New Roman" w:hAnsi="Times New Roman" w:cs="Times New Roman"/>
          <w:sz w:val="28"/>
          <w:szCs w:val="28"/>
        </w:rPr>
        <w:t xml:space="preserve">”].  </w:t>
      </w:r>
      <w:r w:rsidRPr="00491580">
        <w:rPr>
          <w:rFonts w:ascii="Times New Roman" w:hAnsi="Times New Roman" w:cs="Times New Roman"/>
          <w:sz w:val="28"/>
          <w:szCs w:val="28"/>
        </w:rPr>
        <w:t>R</w:t>
      </w:r>
      <w:r w:rsidR="00491580">
        <w:rPr>
          <w:rFonts w:ascii="Times New Roman" w:hAnsi="Times New Roman" w:cs="Times New Roman"/>
          <w:sz w:val="28"/>
          <w:szCs w:val="28"/>
        </w:rPr>
        <w:t xml:space="preserve">ule </w:t>
      </w:r>
      <w:r w:rsidRPr="00491580">
        <w:rPr>
          <w:rFonts w:ascii="Times New Roman" w:hAnsi="Times New Roman" w:cs="Times New Roman"/>
          <w:sz w:val="28"/>
          <w:szCs w:val="28"/>
        </w:rPr>
        <w:t xml:space="preserve">10 provides for </w:t>
      </w:r>
      <w:r w:rsidR="00302395" w:rsidRPr="00491580">
        <w:rPr>
          <w:rFonts w:ascii="Times New Roman" w:hAnsi="Times New Roman" w:cs="Times New Roman"/>
          <w:sz w:val="28"/>
          <w:szCs w:val="28"/>
        </w:rPr>
        <w:t xml:space="preserve">an expedited process for the administration of small estates, being those estates having a net value of </w:t>
      </w:r>
      <w:r w:rsidR="00491580">
        <w:rPr>
          <w:rFonts w:ascii="Times New Roman" w:hAnsi="Times New Roman" w:cs="Times New Roman"/>
          <w:sz w:val="28"/>
          <w:szCs w:val="28"/>
        </w:rPr>
        <w:t>less than $35,000</w:t>
      </w:r>
      <w:r w:rsidR="00302395" w:rsidRPr="00491580">
        <w:rPr>
          <w:rFonts w:ascii="Times New Roman" w:hAnsi="Times New Roman" w:cs="Times New Roman"/>
          <w:sz w:val="28"/>
          <w:szCs w:val="28"/>
        </w:rPr>
        <w:t xml:space="preserve">.  In this case, the estate of the </w:t>
      </w:r>
      <w:r w:rsidR="00E05918" w:rsidRPr="00491580">
        <w:rPr>
          <w:rFonts w:ascii="Times New Roman" w:hAnsi="Times New Roman" w:cs="Times New Roman"/>
          <w:sz w:val="28"/>
          <w:szCs w:val="28"/>
        </w:rPr>
        <w:t>d</w:t>
      </w:r>
      <w:r w:rsidR="00302395" w:rsidRPr="00491580">
        <w:rPr>
          <w:rFonts w:ascii="Times New Roman" w:hAnsi="Times New Roman" w:cs="Times New Roman"/>
          <w:sz w:val="28"/>
          <w:szCs w:val="28"/>
        </w:rPr>
        <w:t>e</w:t>
      </w:r>
      <w:r w:rsidR="00E05918" w:rsidRPr="00491580">
        <w:rPr>
          <w:rFonts w:ascii="Times New Roman" w:hAnsi="Times New Roman" w:cs="Times New Roman"/>
          <w:sz w:val="28"/>
          <w:szCs w:val="28"/>
        </w:rPr>
        <w:t>ceased</w:t>
      </w:r>
      <w:r w:rsidR="00302395" w:rsidRPr="00491580">
        <w:rPr>
          <w:rFonts w:ascii="Times New Roman" w:hAnsi="Times New Roman" w:cs="Times New Roman"/>
          <w:sz w:val="28"/>
          <w:szCs w:val="28"/>
        </w:rPr>
        <w:t xml:space="preserve"> qualifies as a small estate given that his estate is essentially nil.  The Applicant requires administration in order to deal with his vehicle and other issues relating to the possibility of credit card insurance.</w:t>
      </w:r>
      <w:r w:rsidR="00491580">
        <w:rPr>
          <w:rFonts w:ascii="Times New Roman" w:hAnsi="Times New Roman" w:cs="Times New Roman"/>
          <w:sz w:val="28"/>
          <w:szCs w:val="28"/>
        </w:rPr>
        <w:t xml:space="preserve"> </w:t>
      </w:r>
    </w:p>
    <w:p w14:paraId="54B7A5BC" w14:textId="77777777" w:rsidR="00491580" w:rsidRDefault="00491580" w:rsidP="00491580">
      <w:pPr>
        <w:pStyle w:val="ListParagraph"/>
        <w:spacing w:after="240" w:line="240" w:lineRule="auto"/>
        <w:ind w:left="0"/>
        <w:jc w:val="both"/>
        <w:rPr>
          <w:rFonts w:ascii="Times New Roman" w:hAnsi="Times New Roman" w:cs="Times New Roman"/>
          <w:sz w:val="28"/>
          <w:szCs w:val="28"/>
        </w:rPr>
      </w:pPr>
    </w:p>
    <w:p w14:paraId="07499150" w14:textId="611CD96A" w:rsidR="00491580" w:rsidRDefault="00491580" w:rsidP="00491580">
      <w:pPr>
        <w:pStyle w:val="ListParagraph"/>
        <w:numPr>
          <w:ilvl w:val="0"/>
          <w:numId w:val="9"/>
        </w:numPr>
        <w:spacing w:after="240" w:line="240" w:lineRule="auto"/>
        <w:jc w:val="both"/>
        <w:rPr>
          <w:rFonts w:ascii="Times New Roman" w:hAnsi="Times New Roman" w:cs="Times New Roman"/>
          <w:sz w:val="28"/>
          <w:szCs w:val="28"/>
        </w:rPr>
      </w:pPr>
      <w:r w:rsidRPr="00491580">
        <w:rPr>
          <w:rFonts w:ascii="Times New Roman" w:hAnsi="Times New Roman" w:cs="Times New Roman"/>
          <w:sz w:val="28"/>
          <w:szCs w:val="28"/>
        </w:rPr>
        <w:t xml:space="preserve">This application raises the issue of whether a person can be a “spouse” within the meaning of the </w:t>
      </w:r>
      <w:r w:rsidRPr="00491580">
        <w:rPr>
          <w:rFonts w:ascii="Times New Roman" w:hAnsi="Times New Roman" w:cs="Times New Roman"/>
          <w:i/>
          <w:iCs/>
          <w:sz w:val="28"/>
          <w:szCs w:val="28"/>
        </w:rPr>
        <w:t>Rules</w:t>
      </w:r>
      <w:r>
        <w:rPr>
          <w:rFonts w:ascii="Times New Roman" w:hAnsi="Times New Roman" w:cs="Times New Roman"/>
          <w:sz w:val="28"/>
          <w:szCs w:val="28"/>
        </w:rPr>
        <w:t xml:space="preserve"> </w:t>
      </w:r>
      <w:r w:rsidRPr="00491580">
        <w:rPr>
          <w:rFonts w:ascii="Times New Roman" w:hAnsi="Times New Roman" w:cs="Times New Roman"/>
          <w:sz w:val="28"/>
          <w:szCs w:val="28"/>
        </w:rPr>
        <w:t>if they have not lived together in the same residence but have, in all other respects, conducted themselves as if they were in a committed spousal relationship.</w:t>
      </w:r>
    </w:p>
    <w:p w14:paraId="67CAE449" w14:textId="77777777" w:rsidR="00491580" w:rsidRPr="00491580" w:rsidRDefault="00491580" w:rsidP="00491580">
      <w:pPr>
        <w:pStyle w:val="ListParagraph"/>
        <w:spacing w:after="240" w:line="240" w:lineRule="auto"/>
        <w:ind w:left="0"/>
        <w:jc w:val="both"/>
        <w:rPr>
          <w:rFonts w:ascii="Times New Roman" w:hAnsi="Times New Roman" w:cs="Times New Roman"/>
          <w:sz w:val="28"/>
          <w:szCs w:val="28"/>
        </w:rPr>
      </w:pPr>
    </w:p>
    <w:p w14:paraId="08636ACD" w14:textId="1B80C8C9" w:rsidR="007332CC" w:rsidRDefault="00302395" w:rsidP="007332C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material initially filed in support of the application indicates that the Applicant and </w:t>
      </w:r>
      <w:r w:rsidR="00E05918">
        <w:rPr>
          <w:rFonts w:ascii="Times New Roman" w:hAnsi="Times New Roman" w:cs="Times New Roman"/>
          <w:sz w:val="28"/>
          <w:szCs w:val="28"/>
        </w:rPr>
        <w:t>the deceased</w:t>
      </w:r>
      <w:r>
        <w:rPr>
          <w:rFonts w:ascii="Times New Roman" w:hAnsi="Times New Roman" w:cs="Times New Roman"/>
          <w:sz w:val="28"/>
          <w:szCs w:val="28"/>
        </w:rPr>
        <w:t xml:space="preserve"> resided together in the same residence for 1.25 years.  </w:t>
      </w:r>
      <w:r w:rsidR="007332CC">
        <w:rPr>
          <w:rFonts w:ascii="Times New Roman" w:hAnsi="Times New Roman" w:cs="Times New Roman"/>
          <w:sz w:val="28"/>
          <w:szCs w:val="28"/>
        </w:rPr>
        <w:t xml:space="preserve">This was the </w:t>
      </w:r>
      <w:proofErr w:type="gramStart"/>
      <w:r w:rsidR="007332CC">
        <w:rPr>
          <w:rFonts w:ascii="Times New Roman" w:hAnsi="Times New Roman" w:cs="Times New Roman"/>
          <w:sz w:val="28"/>
          <w:szCs w:val="28"/>
        </w:rPr>
        <w:t>period of time</w:t>
      </w:r>
      <w:proofErr w:type="gramEnd"/>
      <w:r w:rsidR="007332CC">
        <w:rPr>
          <w:rFonts w:ascii="Times New Roman" w:hAnsi="Times New Roman" w:cs="Times New Roman"/>
          <w:sz w:val="28"/>
          <w:szCs w:val="28"/>
        </w:rPr>
        <w:t xml:space="preserve"> just prior to </w:t>
      </w:r>
      <w:r w:rsidR="00E05918">
        <w:rPr>
          <w:rFonts w:ascii="Times New Roman" w:hAnsi="Times New Roman" w:cs="Times New Roman"/>
          <w:sz w:val="28"/>
          <w:szCs w:val="28"/>
        </w:rPr>
        <w:t>the deceased’s</w:t>
      </w:r>
      <w:r w:rsidR="007332CC">
        <w:rPr>
          <w:rFonts w:ascii="Times New Roman" w:hAnsi="Times New Roman" w:cs="Times New Roman"/>
          <w:sz w:val="28"/>
          <w:szCs w:val="28"/>
        </w:rPr>
        <w:t xml:space="preserve"> death on June 23, 2025.  As such, the issue is raised as to whether the Applicant </w:t>
      </w:r>
      <w:r w:rsidR="00491580">
        <w:rPr>
          <w:rFonts w:ascii="Times New Roman" w:hAnsi="Times New Roman" w:cs="Times New Roman"/>
          <w:sz w:val="28"/>
          <w:szCs w:val="28"/>
        </w:rPr>
        <w:t>is</w:t>
      </w:r>
      <w:r w:rsidR="007332CC">
        <w:rPr>
          <w:rFonts w:ascii="Times New Roman" w:hAnsi="Times New Roman" w:cs="Times New Roman"/>
          <w:sz w:val="28"/>
          <w:szCs w:val="28"/>
        </w:rPr>
        <w:t xml:space="preserve"> a person entitled in priority to administer the estate. </w:t>
      </w:r>
    </w:p>
    <w:p w14:paraId="799091C3" w14:textId="36A387FC" w:rsidR="007332CC" w:rsidRDefault="007332CC" w:rsidP="007332C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w:t>
      </w:r>
      <w:r w:rsidRPr="00491580">
        <w:rPr>
          <w:rFonts w:ascii="Times New Roman" w:hAnsi="Times New Roman" w:cs="Times New Roman"/>
          <w:i/>
          <w:iCs/>
          <w:sz w:val="28"/>
          <w:szCs w:val="28"/>
        </w:rPr>
        <w:t xml:space="preserve">Rules </w:t>
      </w:r>
      <w:r>
        <w:rPr>
          <w:rFonts w:ascii="Times New Roman" w:hAnsi="Times New Roman" w:cs="Times New Roman"/>
          <w:sz w:val="28"/>
          <w:szCs w:val="28"/>
        </w:rPr>
        <w:t xml:space="preserve">provide that a </w:t>
      </w:r>
      <w:r w:rsidR="00491580">
        <w:rPr>
          <w:rFonts w:ascii="Times New Roman" w:hAnsi="Times New Roman" w:cs="Times New Roman"/>
          <w:sz w:val="28"/>
          <w:szCs w:val="28"/>
        </w:rPr>
        <w:t xml:space="preserve">surviving </w:t>
      </w:r>
      <w:r>
        <w:rPr>
          <w:rFonts w:ascii="Times New Roman" w:hAnsi="Times New Roman" w:cs="Times New Roman"/>
          <w:sz w:val="28"/>
          <w:szCs w:val="28"/>
        </w:rPr>
        <w:t>spouse of a deceased has priority to administer an estate</w:t>
      </w:r>
      <w:r w:rsidR="00491580">
        <w:rPr>
          <w:rFonts w:ascii="Times New Roman" w:hAnsi="Times New Roman" w:cs="Times New Roman"/>
          <w:sz w:val="28"/>
          <w:szCs w:val="28"/>
        </w:rPr>
        <w:t xml:space="preserve">: </w:t>
      </w:r>
      <w:r w:rsidR="00491580" w:rsidRPr="00437216">
        <w:rPr>
          <w:rFonts w:ascii="Times New Roman" w:hAnsi="Times New Roman" w:cs="Times New Roman"/>
          <w:sz w:val="28"/>
          <w:szCs w:val="28"/>
        </w:rPr>
        <w:t>R</w:t>
      </w:r>
      <w:r w:rsidR="00491580" w:rsidRPr="00491580">
        <w:rPr>
          <w:rFonts w:ascii="Times New Roman" w:hAnsi="Times New Roman" w:cs="Times New Roman"/>
          <w:i/>
          <w:iCs/>
          <w:sz w:val="28"/>
          <w:szCs w:val="28"/>
        </w:rPr>
        <w:t xml:space="preserve"> </w:t>
      </w:r>
      <w:r w:rsidR="00491580">
        <w:rPr>
          <w:rFonts w:ascii="Times New Roman" w:hAnsi="Times New Roman" w:cs="Times New Roman"/>
          <w:sz w:val="28"/>
          <w:szCs w:val="28"/>
        </w:rPr>
        <w:t xml:space="preserve">12(a). </w:t>
      </w:r>
      <w:r>
        <w:rPr>
          <w:rFonts w:ascii="Times New Roman" w:hAnsi="Times New Roman" w:cs="Times New Roman"/>
          <w:sz w:val="28"/>
          <w:szCs w:val="28"/>
        </w:rPr>
        <w:t xml:space="preserve"> The </w:t>
      </w:r>
      <w:r w:rsidRPr="00491580">
        <w:rPr>
          <w:rFonts w:ascii="Times New Roman" w:hAnsi="Times New Roman" w:cs="Times New Roman"/>
          <w:i/>
          <w:iCs/>
          <w:sz w:val="28"/>
          <w:szCs w:val="28"/>
        </w:rPr>
        <w:t>Rules</w:t>
      </w:r>
      <w:r>
        <w:rPr>
          <w:rFonts w:ascii="Times New Roman" w:hAnsi="Times New Roman" w:cs="Times New Roman"/>
          <w:sz w:val="28"/>
          <w:szCs w:val="28"/>
        </w:rPr>
        <w:t xml:space="preserve"> adopt the definition of “spouse” as is found in the </w:t>
      </w:r>
      <w:r w:rsidRPr="00491580">
        <w:rPr>
          <w:rFonts w:ascii="Times New Roman" w:hAnsi="Times New Roman" w:cs="Times New Roman"/>
          <w:i/>
          <w:iCs/>
          <w:sz w:val="28"/>
          <w:szCs w:val="28"/>
        </w:rPr>
        <w:t>Family Law Act</w:t>
      </w:r>
      <w:r>
        <w:rPr>
          <w:rFonts w:ascii="Times New Roman" w:hAnsi="Times New Roman" w:cs="Times New Roman"/>
          <w:sz w:val="28"/>
          <w:szCs w:val="28"/>
        </w:rPr>
        <w:t xml:space="preserve">, SNWT 1997, c 18.  That definition is: </w:t>
      </w:r>
    </w:p>
    <w:p w14:paraId="3C8E648D" w14:textId="77777777" w:rsidR="001F420E" w:rsidRDefault="001F420E" w:rsidP="001F420E">
      <w:pPr>
        <w:pStyle w:val="ListParagraph"/>
        <w:spacing w:after="240" w:line="240" w:lineRule="auto"/>
        <w:ind w:left="0"/>
        <w:contextualSpacing w:val="0"/>
        <w:jc w:val="both"/>
        <w:rPr>
          <w:rFonts w:ascii="Times New Roman" w:hAnsi="Times New Roman" w:cs="Times New Roman"/>
          <w:sz w:val="28"/>
          <w:szCs w:val="28"/>
        </w:rPr>
      </w:pPr>
    </w:p>
    <w:p w14:paraId="017EF357" w14:textId="77777777" w:rsidR="007332CC" w:rsidRPr="00FB0D78" w:rsidRDefault="007332CC" w:rsidP="007332CC">
      <w:pPr>
        <w:pStyle w:val="ListParagraph"/>
        <w:spacing w:after="240" w:line="240" w:lineRule="auto"/>
        <w:ind w:left="1440"/>
        <w:jc w:val="both"/>
        <w:rPr>
          <w:rFonts w:ascii="Times New Roman" w:hAnsi="Times New Roman" w:cs="Times New Roman"/>
          <w:sz w:val="24"/>
          <w:szCs w:val="24"/>
        </w:rPr>
      </w:pPr>
      <w:r w:rsidRPr="00FB0D78">
        <w:rPr>
          <w:rFonts w:ascii="Times New Roman" w:hAnsi="Times New Roman" w:cs="Times New Roman"/>
          <w:sz w:val="24"/>
          <w:szCs w:val="24"/>
        </w:rPr>
        <w:lastRenderedPageBreak/>
        <w:t>"spouse" means a person who</w:t>
      </w:r>
    </w:p>
    <w:p w14:paraId="7E4A0760" w14:textId="77777777" w:rsidR="007332CC" w:rsidRPr="00FB0D78" w:rsidRDefault="007332CC" w:rsidP="007332CC">
      <w:pPr>
        <w:pStyle w:val="ListParagraph"/>
        <w:spacing w:after="240" w:line="240" w:lineRule="auto"/>
        <w:ind w:left="1440"/>
        <w:jc w:val="both"/>
        <w:rPr>
          <w:rFonts w:ascii="Times New Roman" w:hAnsi="Times New Roman" w:cs="Times New Roman"/>
          <w:sz w:val="24"/>
          <w:szCs w:val="24"/>
        </w:rPr>
      </w:pPr>
      <w:r w:rsidRPr="00FB0D78">
        <w:rPr>
          <w:rFonts w:ascii="Times New Roman" w:hAnsi="Times New Roman" w:cs="Times New Roman"/>
          <w:sz w:val="24"/>
          <w:szCs w:val="24"/>
        </w:rPr>
        <w:t>(a) is married to another person,</w:t>
      </w:r>
    </w:p>
    <w:p w14:paraId="7909E59C" w14:textId="77777777" w:rsidR="007332CC" w:rsidRPr="00FB0D78" w:rsidRDefault="007332CC" w:rsidP="007332CC">
      <w:pPr>
        <w:pStyle w:val="ListParagraph"/>
        <w:spacing w:after="240" w:line="240" w:lineRule="auto"/>
        <w:ind w:left="1440"/>
        <w:jc w:val="both"/>
        <w:rPr>
          <w:rFonts w:ascii="Times New Roman" w:hAnsi="Times New Roman" w:cs="Times New Roman"/>
          <w:sz w:val="24"/>
          <w:szCs w:val="24"/>
        </w:rPr>
      </w:pPr>
      <w:r w:rsidRPr="00FB0D78">
        <w:rPr>
          <w:rFonts w:ascii="Times New Roman" w:hAnsi="Times New Roman" w:cs="Times New Roman"/>
          <w:sz w:val="24"/>
          <w:szCs w:val="24"/>
        </w:rPr>
        <w:t>(b) has together with another person entered</w:t>
      </w:r>
    </w:p>
    <w:p w14:paraId="0BBA8118" w14:textId="77777777" w:rsidR="007332CC" w:rsidRPr="00FB0D78" w:rsidRDefault="007332CC" w:rsidP="007332CC">
      <w:pPr>
        <w:pStyle w:val="ListParagraph"/>
        <w:spacing w:after="240" w:line="240" w:lineRule="auto"/>
        <w:ind w:left="1440"/>
        <w:jc w:val="both"/>
        <w:rPr>
          <w:rFonts w:ascii="Times New Roman" w:hAnsi="Times New Roman" w:cs="Times New Roman"/>
          <w:sz w:val="24"/>
          <w:szCs w:val="24"/>
        </w:rPr>
      </w:pPr>
      <w:r w:rsidRPr="00FB0D78">
        <w:rPr>
          <w:rFonts w:ascii="Times New Roman" w:hAnsi="Times New Roman" w:cs="Times New Roman"/>
          <w:sz w:val="24"/>
          <w:szCs w:val="24"/>
        </w:rPr>
        <w:t>into a marriage that is voidable or void,</w:t>
      </w:r>
    </w:p>
    <w:p w14:paraId="7C048F02" w14:textId="77777777" w:rsidR="007332CC" w:rsidRPr="00FB0D78" w:rsidRDefault="007332CC" w:rsidP="007332CC">
      <w:pPr>
        <w:pStyle w:val="ListParagraph"/>
        <w:spacing w:after="240" w:line="240" w:lineRule="auto"/>
        <w:ind w:left="1440"/>
        <w:rPr>
          <w:rFonts w:ascii="Times New Roman" w:hAnsi="Times New Roman" w:cs="Times New Roman"/>
          <w:sz w:val="24"/>
          <w:szCs w:val="24"/>
        </w:rPr>
      </w:pPr>
      <w:r w:rsidRPr="00FB0D78">
        <w:rPr>
          <w:rFonts w:ascii="Times New Roman" w:hAnsi="Times New Roman" w:cs="Times New Roman"/>
          <w:sz w:val="24"/>
          <w:szCs w:val="24"/>
        </w:rPr>
        <w:t>in good faith on the part of the person</w:t>
      </w:r>
      <w:r w:rsidRPr="00FB0D78">
        <w:rPr>
          <w:rFonts w:ascii="Times New Roman" w:hAnsi="Times New Roman" w:cs="Times New Roman"/>
          <w:sz w:val="24"/>
          <w:szCs w:val="24"/>
        </w:rPr>
        <w:br/>
        <w:t>asserting a right under this Act, or</w:t>
      </w:r>
    </w:p>
    <w:p w14:paraId="55EF28A0" w14:textId="77777777" w:rsidR="007332CC" w:rsidRPr="00FB0D78" w:rsidRDefault="007332CC" w:rsidP="007332CC">
      <w:pPr>
        <w:pStyle w:val="ListParagraph"/>
        <w:spacing w:after="240" w:line="240" w:lineRule="auto"/>
        <w:ind w:left="1440"/>
        <w:rPr>
          <w:rFonts w:ascii="Times New Roman" w:hAnsi="Times New Roman" w:cs="Times New Roman"/>
          <w:sz w:val="24"/>
          <w:szCs w:val="24"/>
        </w:rPr>
      </w:pPr>
      <w:r w:rsidRPr="00FB0D78">
        <w:rPr>
          <w:rFonts w:ascii="Times New Roman" w:hAnsi="Times New Roman" w:cs="Times New Roman"/>
          <w:sz w:val="24"/>
          <w:szCs w:val="24"/>
        </w:rPr>
        <w:t>(c) has lived together in a conjugal</w:t>
      </w:r>
    </w:p>
    <w:p w14:paraId="52F6675A" w14:textId="77777777" w:rsidR="007332CC" w:rsidRPr="00FB0D78" w:rsidRDefault="007332CC" w:rsidP="007332CC">
      <w:pPr>
        <w:pStyle w:val="ListParagraph"/>
        <w:spacing w:after="240" w:line="240" w:lineRule="auto"/>
        <w:ind w:left="1440"/>
        <w:rPr>
          <w:rFonts w:ascii="Times New Roman" w:hAnsi="Times New Roman" w:cs="Times New Roman"/>
          <w:sz w:val="24"/>
          <w:szCs w:val="24"/>
        </w:rPr>
      </w:pPr>
      <w:r w:rsidRPr="00FB0D78">
        <w:rPr>
          <w:rFonts w:ascii="Times New Roman" w:hAnsi="Times New Roman" w:cs="Times New Roman"/>
          <w:sz w:val="24"/>
          <w:szCs w:val="24"/>
        </w:rPr>
        <w:t>relationship outside marriage with</w:t>
      </w:r>
    </w:p>
    <w:p w14:paraId="51E7D0BE" w14:textId="77777777" w:rsidR="007332CC" w:rsidRPr="00FB0D78" w:rsidRDefault="007332CC" w:rsidP="007332CC">
      <w:pPr>
        <w:pStyle w:val="ListParagraph"/>
        <w:spacing w:after="240" w:line="240" w:lineRule="auto"/>
        <w:ind w:left="1440"/>
        <w:rPr>
          <w:rFonts w:ascii="Times New Roman" w:hAnsi="Times New Roman" w:cs="Times New Roman"/>
          <w:sz w:val="24"/>
          <w:szCs w:val="24"/>
        </w:rPr>
      </w:pPr>
      <w:r w:rsidRPr="00FB0D78">
        <w:rPr>
          <w:rFonts w:ascii="Times New Roman" w:hAnsi="Times New Roman" w:cs="Times New Roman"/>
          <w:sz w:val="24"/>
          <w:szCs w:val="24"/>
        </w:rPr>
        <w:t>another person, if</w:t>
      </w:r>
    </w:p>
    <w:p w14:paraId="453FFC30" w14:textId="77777777" w:rsidR="007332CC" w:rsidRPr="00FB0D78" w:rsidRDefault="007332CC" w:rsidP="007332CC">
      <w:pPr>
        <w:pStyle w:val="ListParagraph"/>
        <w:spacing w:after="240" w:line="240" w:lineRule="auto"/>
        <w:ind w:left="1440"/>
        <w:rPr>
          <w:rFonts w:ascii="Times New Roman" w:hAnsi="Times New Roman" w:cs="Times New Roman"/>
          <w:sz w:val="24"/>
          <w:szCs w:val="24"/>
        </w:rPr>
      </w:pPr>
      <w:r w:rsidRPr="00FB0D78">
        <w:rPr>
          <w:rFonts w:ascii="Times New Roman" w:hAnsi="Times New Roman" w:cs="Times New Roman"/>
          <w:sz w:val="24"/>
          <w:szCs w:val="24"/>
        </w:rPr>
        <w:t>(i) they have so lived for a period of at</w:t>
      </w:r>
    </w:p>
    <w:p w14:paraId="42BA9E3F" w14:textId="77777777" w:rsidR="007332CC" w:rsidRPr="00FB0D78" w:rsidRDefault="007332CC" w:rsidP="007332CC">
      <w:pPr>
        <w:pStyle w:val="ListParagraph"/>
        <w:spacing w:after="240" w:line="240" w:lineRule="auto"/>
        <w:ind w:left="1440"/>
        <w:rPr>
          <w:rFonts w:ascii="Times New Roman" w:hAnsi="Times New Roman" w:cs="Times New Roman"/>
          <w:sz w:val="24"/>
          <w:szCs w:val="24"/>
        </w:rPr>
      </w:pPr>
      <w:r w:rsidRPr="00FB0D78">
        <w:rPr>
          <w:rFonts w:ascii="Times New Roman" w:hAnsi="Times New Roman" w:cs="Times New Roman"/>
          <w:sz w:val="24"/>
          <w:szCs w:val="24"/>
        </w:rPr>
        <w:t>least two years, or</w:t>
      </w:r>
    </w:p>
    <w:p w14:paraId="0C55A471" w14:textId="77777777" w:rsidR="007332CC" w:rsidRPr="00FB0D78" w:rsidRDefault="007332CC" w:rsidP="007332CC">
      <w:pPr>
        <w:pStyle w:val="ListParagraph"/>
        <w:spacing w:after="240" w:line="240" w:lineRule="auto"/>
        <w:ind w:left="1440"/>
        <w:rPr>
          <w:rFonts w:ascii="Times New Roman" w:hAnsi="Times New Roman" w:cs="Times New Roman"/>
          <w:sz w:val="24"/>
          <w:szCs w:val="24"/>
        </w:rPr>
      </w:pPr>
      <w:r w:rsidRPr="00FB0D78">
        <w:rPr>
          <w:rFonts w:ascii="Times New Roman" w:hAnsi="Times New Roman" w:cs="Times New Roman"/>
          <w:sz w:val="24"/>
          <w:szCs w:val="24"/>
        </w:rPr>
        <w:t>(ii) the relationship is one of some</w:t>
      </w:r>
    </w:p>
    <w:p w14:paraId="4C923673" w14:textId="77777777" w:rsidR="007332CC" w:rsidRPr="00FB0D78" w:rsidRDefault="007332CC" w:rsidP="007332CC">
      <w:pPr>
        <w:pStyle w:val="ListParagraph"/>
        <w:spacing w:after="240" w:line="240" w:lineRule="auto"/>
        <w:ind w:left="1440"/>
        <w:rPr>
          <w:rFonts w:ascii="Times New Roman" w:hAnsi="Times New Roman" w:cs="Times New Roman"/>
          <w:sz w:val="24"/>
          <w:szCs w:val="24"/>
        </w:rPr>
      </w:pPr>
      <w:r w:rsidRPr="00FB0D78">
        <w:rPr>
          <w:rFonts w:ascii="Times New Roman" w:hAnsi="Times New Roman" w:cs="Times New Roman"/>
          <w:sz w:val="24"/>
          <w:szCs w:val="24"/>
        </w:rPr>
        <w:t>permanence and they are together</w:t>
      </w:r>
    </w:p>
    <w:p w14:paraId="203FCAD9" w14:textId="77777777" w:rsidR="007332CC" w:rsidRPr="00FB0D78" w:rsidRDefault="007332CC" w:rsidP="007332CC">
      <w:pPr>
        <w:pStyle w:val="ListParagraph"/>
        <w:spacing w:after="240" w:line="240" w:lineRule="auto"/>
        <w:ind w:left="1440"/>
        <w:rPr>
          <w:rFonts w:ascii="Times New Roman" w:hAnsi="Times New Roman" w:cs="Times New Roman"/>
          <w:sz w:val="24"/>
          <w:szCs w:val="24"/>
        </w:rPr>
      </w:pPr>
      <w:r w:rsidRPr="00FB0D78">
        <w:rPr>
          <w:rFonts w:ascii="Times New Roman" w:hAnsi="Times New Roman" w:cs="Times New Roman"/>
          <w:sz w:val="24"/>
          <w:szCs w:val="24"/>
        </w:rPr>
        <w:t>the natural or adoptive parents of a</w:t>
      </w:r>
    </w:p>
    <w:p w14:paraId="19E95173" w14:textId="4A559DFB" w:rsidR="007332CC" w:rsidRPr="00FB0D78" w:rsidRDefault="007332CC" w:rsidP="007332CC">
      <w:pPr>
        <w:pStyle w:val="ListParagraph"/>
        <w:spacing w:after="240" w:line="240" w:lineRule="auto"/>
        <w:ind w:left="1440"/>
        <w:contextualSpacing w:val="0"/>
        <w:rPr>
          <w:rFonts w:ascii="Times New Roman" w:hAnsi="Times New Roman" w:cs="Times New Roman"/>
          <w:sz w:val="24"/>
          <w:szCs w:val="24"/>
        </w:rPr>
      </w:pPr>
      <w:r w:rsidRPr="00FB0D78">
        <w:rPr>
          <w:rFonts w:ascii="Times New Roman" w:hAnsi="Times New Roman" w:cs="Times New Roman"/>
          <w:sz w:val="24"/>
          <w:szCs w:val="24"/>
        </w:rPr>
        <w:t>child.</w:t>
      </w:r>
    </w:p>
    <w:p w14:paraId="0002239D" w14:textId="102E5B68" w:rsidR="00153B16" w:rsidRDefault="00190076" w:rsidP="0019007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Given that the Applicant </w:t>
      </w:r>
      <w:r w:rsidR="00491580">
        <w:rPr>
          <w:rFonts w:ascii="Times New Roman" w:hAnsi="Times New Roman" w:cs="Times New Roman"/>
          <w:sz w:val="28"/>
          <w:szCs w:val="28"/>
        </w:rPr>
        <w:t>and the deceased</w:t>
      </w:r>
      <w:r>
        <w:rPr>
          <w:rFonts w:ascii="Times New Roman" w:hAnsi="Times New Roman" w:cs="Times New Roman"/>
          <w:sz w:val="28"/>
          <w:szCs w:val="28"/>
        </w:rPr>
        <w:t xml:space="preserve"> were not married, and did not have a child together, the only basis for finding that </w:t>
      </w:r>
      <w:r w:rsidR="00153B16">
        <w:rPr>
          <w:rFonts w:ascii="Times New Roman" w:hAnsi="Times New Roman" w:cs="Times New Roman"/>
          <w:sz w:val="28"/>
          <w:szCs w:val="28"/>
        </w:rPr>
        <w:t>the Applicant</w:t>
      </w:r>
      <w:r>
        <w:rPr>
          <w:rFonts w:ascii="Times New Roman" w:hAnsi="Times New Roman" w:cs="Times New Roman"/>
          <w:sz w:val="28"/>
          <w:szCs w:val="28"/>
        </w:rPr>
        <w:t xml:space="preserve"> and the deceased were in a spousal relationship is if I find that</w:t>
      </w:r>
      <w:r w:rsidR="002734F7">
        <w:rPr>
          <w:rFonts w:ascii="Times New Roman" w:hAnsi="Times New Roman" w:cs="Times New Roman"/>
          <w:sz w:val="28"/>
          <w:szCs w:val="28"/>
        </w:rPr>
        <w:t xml:space="preserve"> under (c)(i) of the above definition </w:t>
      </w:r>
      <w:r>
        <w:rPr>
          <w:rFonts w:ascii="Times New Roman" w:hAnsi="Times New Roman" w:cs="Times New Roman"/>
          <w:sz w:val="28"/>
          <w:szCs w:val="28"/>
        </w:rPr>
        <w:t>they</w:t>
      </w:r>
      <w:r w:rsidR="00153B16">
        <w:rPr>
          <w:rFonts w:ascii="Times New Roman" w:hAnsi="Times New Roman" w:cs="Times New Roman"/>
          <w:sz w:val="28"/>
          <w:szCs w:val="28"/>
        </w:rPr>
        <w:t xml:space="preserve"> “lived together in a conjugal relationship</w:t>
      </w:r>
      <w:r w:rsidR="00FB0D78">
        <w:rPr>
          <w:rFonts w:ascii="Times New Roman" w:hAnsi="Times New Roman" w:cs="Times New Roman"/>
          <w:sz w:val="28"/>
          <w:szCs w:val="28"/>
        </w:rPr>
        <w:t xml:space="preserve"> (</w:t>
      </w:r>
      <w:r w:rsidR="00153B16">
        <w:rPr>
          <w:rFonts w:ascii="Times New Roman" w:hAnsi="Times New Roman" w:cs="Times New Roman"/>
          <w:sz w:val="28"/>
          <w:szCs w:val="28"/>
        </w:rPr>
        <w:t>…</w:t>
      </w:r>
      <w:r w:rsidR="00FB0D78">
        <w:rPr>
          <w:rFonts w:ascii="Times New Roman" w:hAnsi="Times New Roman" w:cs="Times New Roman"/>
          <w:sz w:val="28"/>
          <w:szCs w:val="28"/>
        </w:rPr>
        <w:t xml:space="preserve">) </w:t>
      </w:r>
      <w:r>
        <w:rPr>
          <w:rFonts w:ascii="Times New Roman" w:hAnsi="Times New Roman" w:cs="Times New Roman"/>
          <w:sz w:val="28"/>
          <w:szCs w:val="28"/>
        </w:rPr>
        <w:t>for a period of at least two years</w:t>
      </w:r>
      <w:r w:rsidR="00153B16">
        <w:rPr>
          <w:rFonts w:ascii="Times New Roman" w:hAnsi="Times New Roman" w:cs="Times New Roman"/>
          <w:sz w:val="28"/>
          <w:szCs w:val="28"/>
        </w:rPr>
        <w:t>”</w:t>
      </w:r>
      <w:r>
        <w:rPr>
          <w:rFonts w:ascii="Times New Roman" w:hAnsi="Times New Roman" w:cs="Times New Roman"/>
          <w:sz w:val="28"/>
          <w:szCs w:val="28"/>
        </w:rPr>
        <w:t xml:space="preserve">.  </w:t>
      </w:r>
    </w:p>
    <w:p w14:paraId="4FF94284" w14:textId="672BFD29" w:rsidR="00190076" w:rsidRDefault="00190076" w:rsidP="0019007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the evidence initially presented, the parties only resided in the same residence for a period of 1.25 years.  On that basis, the application was initially </w:t>
      </w:r>
      <w:r w:rsidR="007B5F67">
        <w:rPr>
          <w:rFonts w:ascii="Times New Roman" w:hAnsi="Times New Roman" w:cs="Times New Roman"/>
          <w:sz w:val="28"/>
          <w:szCs w:val="28"/>
        </w:rPr>
        <w:t xml:space="preserve">denied </w:t>
      </w:r>
      <w:r>
        <w:rPr>
          <w:rFonts w:ascii="Times New Roman" w:hAnsi="Times New Roman" w:cs="Times New Roman"/>
          <w:sz w:val="28"/>
          <w:szCs w:val="28"/>
        </w:rPr>
        <w:t xml:space="preserve">pending further evidence as to the </w:t>
      </w:r>
      <w:r w:rsidR="00491580">
        <w:rPr>
          <w:rFonts w:ascii="Times New Roman" w:hAnsi="Times New Roman" w:cs="Times New Roman"/>
          <w:sz w:val="28"/>
          <w:szCs w:val="28"/>
        </w:rPr>
        <w:t>Applicant’s entitlement</w:t>
      </w:r>
      <w:r>
        <w:rPr>
          <w:rFonts w:ascii="Times New Roman" w:hAnsi="Times New Roman" w:cs="Times New Roman"/>
          <w:sz w:val="28"/>
          <w:szCs w:val="28"/>
        </w:rPr>
        <w:t xml:space="preserve"> to administer the estate. </w:t>
      </w:r>
    </w:p>
    <w:p w14:paraId="7E91CCE4" w14:textId="5D75704F" w:rsidR="00190076" w:rsidRPr="00190076" w:rsidRDefault="00153B16" w:rsidP="0019007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At the request of the Court, the </w:t>
      </w:r>
      <w:r w:rsidR="00190076" w:rsidRPr="00190076">
        <w:rPr>
          <w:rFonts w:ascii="Times New Roman" w:hAnsi="Times New Roman" w:cs="Times New Roman"/>
          <w:sz w:val="28"/>
          <w:szCs w:val="28"/>
        </w:rPr>
        <w:t>Applicant submitted additional evidence.</w:t>
      </w:r>
      <w:r w:rsidR="00FB0D78">
        <w:rPr>
          <w:rFonts w:ascii="Times New Roman" w:hAnsi="Times New Roman" w:cs="Times New Roman"/>
          <w:sz w:val="28"/>
          <w:szCs w:val="28"/>
        </w:rPr>
        <w:t xml:space="preserve"> </w:t>
      </w:r>
      <w:r w:rsidR="00190076" w:rsidRPr="00190076">
        <w:rPr>
          <w:rFonts w:ascii="Times New Roman" w:hAnsi="Times New Roman" w:cs="Times New Roman"/>
          <w:sz w:val="28"/>
          <w:szCs w:val="28"/>
        </w:rPr>
        <w:t xml:space="preserve"> This evidence revealed: </w:t>
      </w:r>
    </w:p>
    <w:p w14:paraId="3DB89C3E" w14:textId="672355A9" w:rsidR="00190076" w:rsidRDefault="00190076" w:rsidP="00190076">
      <w:pPr>
        <w:pStyle w:val="ListParagraph"/>
        <w:numPr>
          <w:ilvl w:val="0"/>
          <w:numId w:val="12"/>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The Applicant and deceased </w:t>
      </w:r>
      <w:r w:rsidR="002734F7" w:rsidRPr="0066711F">
        <w:rPr>
          <w:rFonts w:ascii="Times New Roman" w:hAnsi="Times New Roman" w:cs="Times New Roman"/>
          <w:sz w:val="28"/>
          <w:szCs w:val="28"/>
        </w:rPr>
        <w:t>were</w:t>
      </w:r>
      <w:r w:rsidRPr="0066711F">
        <w:rPr>
          <w:rFonts w:ascii="Times New Roman" w:hAnsi="Times New Roman" w:cs="Times New Roman"/>
          <w:sz w:val="28"/>
          <w:szCs w:val="28"/>
        </w:rPr>
        <w:t xml:space="preserve"> </w:t>
      </w:r>
      <w:r>
        <w:rPr>
          <w:rFonts w:ascii="Times New Roman" w:hAnsi="Times New Roman" w:cs="Times New Roman"/>
          <w:sz w:val="28"/>
          <w:szCs w:val="28"/>
        </w:rPr>
        <w:t xml:space="preserve">in a committed and conjugal relationship for over 20 years; </w:t>
      </w:r>
    </w:p>
    <w:p w14:paraId="6864CA2D" w14:textId="71CEDBCC" w:rsidR="00190076" w:rsidRDefault="00190076" w:rsidP="00190076">
      <w:pPr>
        <w:pStyle w:val="ListParagraph"/>
        <w:numPr>
          <w:ilvl w:val="0"/>
          <w:numId w:val="12"/>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The Applicant and deceased </w:t>
      </w:r>
      <w:r w:rsidR="00383889">
        <w:rPr>
          <w:rFonts w:ascii="Times New Roman" w:hAnsi="Times New Roman" w:cs="Times New Roman"/>
          <w:sz w:val="28"/>
          <w:szCs w:val="28"/>
        </w:rPr>
        <w:t xml:space="preserve">shared a mailing address; </w:t>
      </w:r>
    </w:p>
    <w:p w14:paraId="65FD367C" w14:textId="402DA3E8" w:rsidR="00383889" w:rsidRDefault="00383889" w:rsidP="00190076">
      <w:pPr>
        <w:pStyle w:val="ListParagraph"/>
        <w:numPr>
          <w:ilvl w:val="0"/>
          <w:numId w:val="12"/>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The Applicant and deceased shared a bank account from 2018 onwards until he switched accounts to facilitate making a truck payment; </w:t>
      </w:r>
    </w:p>
    <w:p w14:paraId="3E34A0FD" w14:textId="7368AB51" w:rsidR="00383889" w:rsidRDefault="00383889" w:rsidP="00190076">
      <w:pPr>
        <w:pStyle w:val="ListParagraph"/>
        <w:numPr>
          <w:ilvl w:val="0"/>
          <w:numId w:val="12"/>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The Applicant and deceased purchased a vehicle together and, for many years, maintained insurance and registration together; </w:t>
      </w:r>
      <w:r w:rsidR="00BA537E">
        <w:rPr>
          <w:rFonts w:ascii="Times New Roman" w:hAnsi="Times New Roman" w:cs="Times New Roman"/>
          <w:sz w:val="28"/>
          <w:szCs w:val="28"/>
        </w:rPr>
        <w:t xml:space="preserve">and </w:t>
      </w:r>
    </w:p>
    <w:p w14:paraId="4ECE9EED" w14:textId="264B1EC2" w:rsidR="00383889" w:rsidRDefault="00383889" w:rsidP="00190076">
      <w:pPr>
        <w:pStyle w:val="ListParagraph"/>
        <w:numPr>
          <w:ilvl w:val="0"/>
          <w:numId w:val="12"/>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The Applicant and deceased travelled extensively together for over 20 years, both domestically and internationally</w:t>
      </w:r>
      <w:r w:rsidR="00E533DE">
        <w:rPr>
          <w:rFonts w:ascii="Times New Roman" w:hAnsi="Times New Roman" w:cs="Times New Roman"/>
          <w:sz w:val="28"/>
          <w:szCs w:val="28"/>
        </w:rPr>
        <w:t xml:space="preserve">. </w:t>
      </w:r>
    </w:p>
    <w:p w14:paraId="5463F5D2" w14:textId="77777777" w:rsidR="00BA537E" w:rsidRDefault="00BA537E" w:rsidP="00BA537E">
      <w:pPr>
        <w:pStyle w:val="ListParagraph"/>
        <w:spacing w:after="240" w:line="240" w:lineRule="auto"/>
        <w:ind w:left="1080"/>
        <w:jc w:val="both"/>
        <w:rPr>
          <w:rFonts w:ascii="Times New Roman" w:hAnsi="Times New Roman" w:cs="Times New Roman"/>
          <w:sz w:val="28"/>
          <w:szCs w:val="28"/>
        </w:rPr>
      </w:pPr>
    </w:p>
    <w:p w14:paraId="56105B17" w14:textId="070CE315" w:rsidR="007332CC" w:rsidRDefault="00383889" w:rsidP="007332C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addition to sharing some finances and assets, the Applicant presented evidence to explain the </w:t>
      </w:r>
      <w:r w:rsidR="00BA537E">
        <w:rPr>
          <w:rFonts w:ascii="Times New Roman" w:hAnsi="Times New Roman" w:cs="Times New Roman"/>
          <w:sz w:val="28"/>
          <w:szCs w:val="28"/>
        </w:rPr>
        <w:t>reasons for</w:t>
      </w:r>
      <w:r>
        <w:rPr>
          <w:rFonts w:ascii="Times New Roman" w:hAnsi="Times New Roman" w:cs="Times New Roman"/>
          <w:sz w:val="28"/>
          <w:szCs w:val="28"/>
        </w:rPr>
        <w:t xml:space="preserve"> maintaining separate residences, including her caregiving role for her grandchildren and the deceased’s physical limitations requiring a single floor dwelling.  </w:t>
      </w:r>
    </w:p>
    <w:p w14:paraId="214A47A5" w14:textId="1A747818" w:rsidR="00383889" w:rsidRDefault="00383889" w:rsidP="007332C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Lastly, the Applicant submitted evidence from family and close friends, including</w:t>
      </w:r>
      <w:r w:rsidR="00153B16">
        <w:rPr>
          <w:rFonts w:ascii="Times New Roman" w:hAnsi="Times New Roman" w:cs="Times New Roman"/>
          <w:sz w:val="28"/>
          <w:szCs w:val="28"/>
        </w:rPr>
        <w:t xml:space="preserve"> the deceased</w:t>
      </w:r>
      <w:r>
        <w:rPr>
          <w:rFonts w:ascii="Times New Roman" w:hAnsi="Times New Roman" w:cs="Times New Roman"/>
          <w:sz w:val="28"/>
          <w:szCs w:val="28"/>
        </w:rPr>
        <w:t xml:space="preserve">’s siblings.  Their affidavits amply demonstrated that family members and close friends considered that the Applicant and the deceased were a couple and held themselves out to others as a couple. </w:t>
      </w:r>
    </w:p>
    <w:p w14:paraId="6C7FCA6D" w14:textId="158F4AF5" w:rsidR="006D7650" w:rsidRDefault="006D7650" w:rsidP="006D7650">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While there is no reported decision</w:t>
      </w:r>
      <w:r w:rsidR="0016244F">
        <w:rPr>
          <w:rFonts w:ascii="Times New Roman" w:hAnsi="Times New Roman" w:cs="Times New Roman"/>
          <w:sz w:val="28"/>
          <w:szCs w:val="28"/>
        </w:rPr>
        <w:t xml:space="preserve"> </w:t>
      </w:r>
      <w:r>
        <w:rPr>
          <w:rFonts w:ascii="Times New Roman" w:hAnsi="Times New Roman" w:cs="Times New Roman"/>
          <w:sz w:val="28"/>
          <w:szCs w:val="28"/>
        </w:rPr>
        <w:t xml:space="preserve">in the Northwest </w:t>
      </w:r>
      <w:r w:rsidR="00745A3B">
        <w:rPr>
          <w:rFonts w:ascii="Times New Roman" w:hAnsi="Times New Roman" w:cs="Times New Roman"/>
          <w:sz w:val="28"/>
          <w:szCs w:val="28"/>
        </w:rPr>
        <w:t>Territories</w:t>
      </w:r>
      <w:r w:rsidR="0016244F">
        <w:rPr>
          <w:rFonts w:ascii="Times New Roman" w:hAnsi="Times New Roman" w:cs="Times New Roman"/>
          <w:sz w:val="28"/>
          <w:szCs w:val="28"/>
        </w:rPr>
        <w:t xml:space="preserve"> addressing whether a couple can be “spouses” if they have not shared a physical residence for two years or </w:t>
      </w:r>
      <w:r w:rsidR="00153B16">
        <w:rPr>
          <w:rFonts w:ascii="Times New Roman" w:hAnsi="Times New Roman" w:cs="Times New Roman"/>
          <w:sz w:val="28"/>
          <w:szCs w:val="28"/>
        </w:rPr>
        <w:t>more, courts</w:t>
      </w:r>
      <w:r w:rsidRPr="006D7650">
        <w:rPr>
          <w:rFonts w:ascii="Times New Roman" w:hAnsi="Times New Roman" w:cs="Times New Roman"/>
          <w:sz w:val="28"/>
          <w:szCs w:val="28"/>
        </w:rPr>
        <w:t xml:space="preserve"> in Canada have interpreted "lived together in a conjugal relationship" as a flexible, fact-driven concept</w:t>
      </w:r>
      <w:r>
        <w:rPr>
          <w:rFonts w:ascii="Times New Roman" w:hAnsi="Times New Roman" w:cs="Times New Roman"/>
          <w:sz w:val="28"/>
          <w:szCs w:val="28"/>
        </w:rPr>
        <w:t xml:space="preserve">. </w:t>
      </w:r>
      <w:r w:rsidRPr="006D7650">
        <w:rPr>
          <w:rFonts w:ascii="Times New Roman" w:hAnsi="Times New Roman" w:cs="Times New Roman"/>
          <w:sz w:val="28"/>
          <w:szCs w:val="28"/>
        </w:rPr>
        <w:t xml:space="preserve"> The existence of a conjugal relationship is not solely determined by whether the parties shared a single residence; rather, courts </w:t>
      </w:r>
      <w:r w:rsidR="00153B16">
        <w:rPr>
          <w:rFonts w:ascii="Times New Roman" w:hAnsi="Times New Roman" w:cs="Times New Roman"/>
          <w:sz w:val="28"/>
          <w:szCs w:val="28"/>
        </w:rPr>
        <w:t xml:space="preserve">must </w:t>
      </w:r>
      <w:r w:rsidRPr="006D7650">
        <w:rPr>
          <w:rFonts w:ascii="Times New Roman" w:hAnsi="Times New Roman" w:cs="Times New Roman"/>
          <w:sz w:val="28"/>
          <w:szCs w:val="28"/>
        </w:rPr>
        <w:t xml:space="preserve">assess the totality of the relationship, </w:t>
      </w:r>
      <w:r w:rsidR="0016244F">
        <w:rPr>
          <w:rFonts w:ascii="Times New Roman" w:hAnsi="Times New Roman" w:cs="Times New Roman"/>
          <w:sz w:val="28"/>
          <w:szCs w:val="28"/>
        </w:rPr>
        <w:t>considering the weight to be given to a number of factors generally accepted to be associated with a conjugal relationship, such as shared shelter, sexual and personal behaviour, services, social activities, economic support and children, as well as the soci</w:t>
      </w:r>
      <w:r w:rsidR="005F7D0E">
        <w:rPr>
          <w:rFonts w:ascii="Times New Roman" w:hAnsi="Times New Roman" w:cs="Times New Roman"/>
          <w:sz w:val="28"/>
          <w:szCs w:val="28"/>
        </w:rPr>
        <w:t>et</w:t>
      </w:r>
      <w:r w:rsidR="002734F7">
        <w:rPr>
          <w:rFonts w:ascii="Times New Roman" w:hAnsi="Times New Roman" w:cs="Times New Roman"/>
          <w:sz w:val="28"/>
          <w:szCs w:val="28"/>
        </w:rPr>
        <w:t>al</w:t>
      </w:r>
      <w:r w:rsidR="0016244F">
        <w:rPr>
          <w:rFonts w:ascii="Times New Roman" w:hAnsi="Times New Roman" w:cs="Times New Roman"/>
          <w:sz w:val="28"/>
          <w:szCs w:val="28"/>
        </w:rPr>
        <w:t xml:space="preserve"> perception of the couple: </w:t>
      </w:r>
      <w:r w:rsidR="00745A3B">
        <w:rPr>
          <w:rFonts w:ascii="Times New Roman" w:hAnsi="Times New Roman" w:cs="Times New Roman"/>
          <w:sz w:val="28"/>
          <w:szCs w:val="28"/>
        </w:rPr>
        <w:t xml:space="preserve">see </w:t>
      </w:r>
      <w:r w:rsidR="00E533DE">
        <w:rPr>
          <w:rFonts w:ascii="Times New Roman" w:hAnsi="Times New Roman" w:cs="Times New Roman"/>
          <w:sz w:val="28"/>
          <w:szCs w:val="28"/>
        </w:rPr>
        <w:t xml:space="preserve"> </w:t>
      </w:r>
      <w:proofErr w:type="spellStart"/>
      <w:r w:rsidR="00745A3B" w:rsidRPr="00745A3B">
        <w:rPr>
          <w:rFonts w:ascii="Times New Roman" w:hAnsi="Times New Roman" w:cs="Times New Roman"/>
          <w:i/>
          <w:iCs/>
          <w:sz w:val="28"/>
          <w:szCs w:val="28"/>
        </w:rPr>
        <w:t>Molodowich</w:t>
      </w:r>
      <w:proofErr w:type="spellEnd"/>
      <w:r w:rsidR="00745A3B" w:rsidRPr="00745A3B">
        <w:rPr>
          <w:rFonts w:ascii="Times New Roman" w:hAnsi="Times New Roman" w:cs="Times New Roman"/>
          <w:i/>
          <w:iCs/>
          <w:sz w:val="28"/>
          <w:szCs w:val="28"/>
        </w:rPr>
        <w:t xml:space="preserve"> v Penttinen</w:t>
      </w:r>
      <w:r w:rsidR="00745A3B">
        <w:rPr>
          <w:rFonts w:ascii="Times New Roman" w:hAnsi="Times New Roman" w:cs="Times New Roman"/>
          <w:sz w:val="28"/>
          <w:szCs w:val="28"/>
        </w:rPr>
        <w:t>, 1980</w:t>
      </w:r>
      <w:r w:rsidR="00153B16">
        <w:rPr>
          <w:rFonts w:ascii="Times New Roman" w:hAnsi="Times New Roman" w:cs="Times New Roman"/>
          <w:sz w:val="28"/>
          <w:szCs w:val="28"/>
        </w:rPr>
        <w:t xml:space="preserve"> CanLII 1537 (ON SC)</w:t>
      </w:r>
      <w:r w:rsidR="00745A3B">
        <w:rPr>
          <w:rFonts w:ascii="Times New Roman" w:hAnsi="Times New Roman" w:cs="Times New Roman"/>
          <w:sz w:val="28"/>
          <w:szCs w:val="28"/>
        </w:rPr>
        <w:t xml:space="preserve">, as adopted and affirmed in </w:t>
      </w:r>
      <w:r w:rsidR="00745A3B" w:rsidRPr="00745A3B">
        <w:rPr>
          <w:rFonts w:ascii="Times New Roman" w:hAnsi="Times New Roman" w:cs="Times New Roman"/>
          <w:i/>
          <w:iCs/>
          <w:sz w:val="28"/>
          <w:szCs w:val="28"/>
        </w:rPr>
        <w:t>M v H</w:t>
      </w:r>
      <w:r w:rsidR="00153B16">
        <w:rPr>
          <w:rFonts w:ascii="Times New Roman" w:hAnsi="Times New Roman" w:cs="Times New Roman"/>
          <w:sz w:val="28"/>
          <w:szCs w:val="28"/>
        </w:rPr>
        <w:t xml:space="preserve">, </w:t>
      </w:r>
      <w:r w:rsidR="00745A3B">
        <w:rPr>
          <w:rFonts w:ascii="Times New Roman" w:hAnsi="Times New Roman" w:cs="Times New Roman"/>
          <w:sz w:val="28"/>
          <w:szCs w:val="28"/>
        </w:rPr>
        <w:t xml:space="preserve">1999 </w:t>
      </w:r>
      <w:r w:rsidR="00153B16">
        <w:rPr>
          <w:rFonts w:ascii="Times New Roman" w:hAnsi="Times New Roman" w:cs="Times New Roman"/>
          <w:sz w:val="28"/>
          <w:szCs w:val="28"/>
        </w:rPr>
        <w:t>CanLII 686 (SCC)</w:t>
      </w:r>
      <w:r w:rsidR="00745A3B">
        <w:rPr>
          <w:rFonts w:ascii="Times New Roman" w:hAnsi="Times New Roman" w:cs="Times New Roman"/>
          <w:sz w:val="28"/>
          <w:szCs w:val="28"/>
        </w:rPr>
        <w:t xml:space="preserve"> at para </w:t>
      </w:r>
      <w:r w:rsidR="005F7D0E">
        <w:rPr>
          <w:rFonts w:ascii="Times New Roman" w:hAnsi="Times New Roman" w:cs="Times New Roman"/>
          <w:sz w:val="28"/>
          <w:szCs w:val="28"/>
        </w:rPr>
        <w:t>59</w:t>
      </w:r>
      <w:r w:rsidR="00745A3B">
        <w:rPr>
          <w:rFonts w:ascii="Times New Roman" w:hAnsi="Times New Roman" w:cs="Times New Roman"/>
          <w:sz w:val="28"/>
          <w:szCs w:val="28"/>
        </w:rPr>
        <w:t xml:space="preserve">.  </w:t>
      </w:r>
    </w:p>
    <w:p w14:paraId="3E057B54" w14:textId="77777777" w:rsidR="006D7650" w:rsidRPr="006D7650" w:rsidRDefault="006D7650" w:rsidP="006D7650">
      <w:pPr>
        <w:pStyle w:val="ListParagraph"/>
        <w:spacing w:after="240" w:line="240" w:lineRule="auto"/>
        <w:ind w:left="0"/>
        <w:jc w:val="both"/>
        <w:rPr>
          <w:rFonts w:ascii="Times New Roman" w:hAnsi="Times New Roman" w:cs="Times New Roman"/>
          <w:sz w:val="28"/>
          <w:szCs w:val="28"/>
        </w:rPr>
      </w:pPr>
    </w:p>
    <w:p w14:paraId="0C09DA6F" w14:textId="7371DADA" w:rsidR="00074A57" w:rsidRDefault="0016244F" w:rsidP="006D7650">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w:t>
      </w:r>
      <w:r w:rsidR="006D7650">
        <w:rPr>
          <w:rFonts w:ascii="Times New Roman" w:hAnsi="Times New Roman" w:cs="Times New Roman"/>
          <w:sz w:val="28"/>
          <w:szCs w:val="28"/>
        </w:rPr>
        <w:t xml:space="preserve">Ontario Court of Appeal decision of </w:t>
      </w:r>
      <w:proofErr w:type="spellStart"/>
      <w:r w:rsidR="006D7650" w:rsidRPr="006D7650">
        <w:rPr>
          <w:rFonts w:ascii="Times New Roman" w:hAnsi="Times New Roman" w:cs="Times New Roman"/>
          <w:i/>
          <w:iCs/>
          <w:sz w:val="28"/>
          <w:szCs w:val="28"/>
        </w:rPr>
        <w:t>Climans</w:t>
      </w:r>
      <w:proofErr w:type="spellEnd"/>
      <w:r w:rsidR="006D7650" w:rsidRPr="006D7650">
        <w:rPr>
          <w:rFonts w:ascii="Times New Roman" w:hAnsi="Times New Roman" w:cs="Times New Roman"/>
          <w:i/>
          <w:iCs/>
          <w:sz w:val="28"/>
          <w:szCs w:val="28"/>
        </w:rPr>
        <w:t xml:space="preserve"> v Latner</w:t>
      </w:r>
      <w:r w:rsidR="006D7650" w:rsidRPr="006D7650">
        <w:rPr>
          <w:rFonts w:ascii="Times New Roman" w:hAnsi="Times New Roman" w:cs="Times New Roman"/>
          <w:sz w:val="28"/>
          <w:szCs w:val="28"/>
        </w:rPr>
        <w:t>, 2020 ONCA 554</w:t>
      </w:r>
      <w:r w:rsidR="00D04875">
        <w:rPr>
          <w:rFonts w:ascii="Times New Roman" w:hAnsi="Times New Roman" w:cs="Times New Roman"/>
          <w:sz w:val="28"/>
          <w:szCs w:val="28"/>
        </w:rPr>
        <w:t xml:space="preserve"> </w:t>
      </w:r>
      <w:r w:rsidR="00F045B0">
        <w:rPr>
          <w:rFonts w:ascii="Times New Roman" w:hAnsi="Times New Roman" w:cs="Times New Roman"/>
          <w:sz w:val="28"/>
          <w:szCs w:val="28"/>
        </w:rPr>
        <w:t>[</w:t>
      </w:r>
      <w:proofErr w:type="spellStart"/>
      <w:r w:rsidR="00F045B0" w:rsidRPr="00F045B0">
        <w:rPr>
          <w:rFonts w:ascii="Times New Roman" w:hAnsi="Times New Roman" w:cs="Times New Roman"/>
          <w:i/>
          <w:iCs/>
          <w:sz w:val="28"/>
          <w:szCs w:val="28"/>
        </w:rPr>
        <w:t>Climans</w:t>
      </w:r>
      <w:proofErr w:type="spellEnd"/>
      <w:r w:rsidR="00F045B0">
        <w:rPr>
          <w:rFonts w:ascii="Times New Roman" w:hAnsi="Times New Roman" w:cs="Times New Roman"/>
          <w:sz w:val="28"/>
          <w:szCs w:val="28"/>
        </w:rPr>
        <w:t>]</w:t>
      </w:r>
      <w:r w:rsidR="00D04875">
        <w:rPr>
          <w:rFonts w:ascii="Times New Roman" w:hAnsi="Times New Roman" w:cs="Times New Roman"/>
          <w:sz w:val="28"/>
          <w:szCs w:val="28"/>
        </w:rPr>
        <w:t>,</w:t>
      </w:r>
      <w:r w:rsidR="00F045B0">
        <w:rPr>
          <w:rFonts w:ascii="Times New Roman" w:hAnsi="Times New Roman" w:cs="Times New Roman"/>
          <w:sz w:val="28"/>
          <w:szCs w:val="28"/>
        </w:rPr>
        <w:t xml:space="preserve"> </w:t>
      </w:r>
      <w:r w:rsidR="006D7650">
        <w:rPr>
          <w:rFonts w:ascii="Times New Roman" w:hAnsi="Times New Roman" w:cs="Times New Roman"/>
          <w:sz w:val="28"/>
          <w:szCs w:val="28"/>
        </w:rPr>
        <w:t xml:space="preserve">is </w:t>
      </w:r>
      <w:r w:rsidR="007B5F67">
        <w:rPr>
          <w:rFonts w:ascii="Times New Roman" w:hAnsi="Times New Roman" w:cs="Times New Roman"/>
          <w:sz w:val="28"/>
          <w:szCs w:val="28"/>
        </w:rPr>
        <w:t xml:space="preserve">also helpful. </w:t>
      </w:r>
      <w:r w:rsidR="006D7650">
        <w:rPr>
          <w:rFonts w:ascii="Times New Roman" w:hAnsi="Times New Roman" w:cs="Times New Roman"/>
          <w:sz w:val="28"/>
          <w:szCs w:val="28"/>
        </w:rPr>
        <w:t xml:space="preserve"> In </w:t>
      </w:r>
      <w:proofErr w:type="spellStart"/>
      <w:r w:rsidR="006D7650" w:rsidRPr="00E927A5">
        <w:rPr>
          <w:rFonts w:ascii="Times New Roman" w:hAnsi="Times New Roman" w:cs="Times New Roman"/>
          <w:i/>
          <w:iCs/>
          <w:sz w:val="28"/>
          <w:szCs w:val="28"/>
        </w:rPr>
        <w:t>Climans</w:t>
      </w:r>
      <w:proofErr w:type="spellEnd"/>
      <w:r w:rsidR="006D7650">
        <w:rPr>
          <w:rFonts w:ascii="Times New Roman" w:hAnsi="Times New Roman" w:cs="Times New Roman"/>
          <w:sz w:val="28"/>
          <w:szCs w:val="28"/>
        </w:rPr>
        <w:t>, the parties never shared a residence, however, spent most of their holidays together</w:t>
      </w:r>
      <w:r w:rsidR="00F045B0">
        <w:rPr>
          <w:rFonts w:ascii="Times New Roman" w:hAnsi="Times New Roman" w:cs="Times New Roman"/>
          <w:sz w:val="28"/>
          <w:szCs w:val="28"/>
        </w:rPr>
        <w:t xml:space="preserve">, exchanging commitment rings, celebrated anniversaries </w:t>
      </w:r>
      <w:r w:rsidR="006D7650">
        <w:rPr>
          <w:rFonts w:ascii="Times New Roman" w:hAnsi="Times New Roman" w:cs="Times New Roman"/>
          <w:sz w:val="28"/>
          <w:szCs w:val="28"/>
        </w:rPr>
        <w:t xml:space="preserve">and </w:t>
      </w:r>
      <w:r w:rsidR="00F045B0">
        <w:rPr>
          <w:rFonts w:ascii="Times New Roman" w:hAnsi="Times New Roman" w:cs="Times New Roman"/>
          <w:sz w:val="28"/>
          <w:szCs w:val="28"/>
        </w:rPr>
        <w:t>generally</w:t>
      </w:r>
      <w:r w:rsidR="006D7650">
        <w:rPr>
          <w:rFonts w:ascii="Times New Roman" w:hAnsi="Times New Roman" w:cs="Times New Roman"/>
          <w:sz w:val="28"/>
          <w:szCs w:val="28"/>
        </w:rPr>
        <w:t xml:space="preserve"> held themselves out as a couple</w:t>
      </w:r>
      <w:r w:rsidR="00F045B0">
        <w:rPr>
          <w:rFonts w:ascii="Times New Roman" w:hAnsi="Times New Roman" w:cs="Times New Roman"/>
          <w:sz w:val="28"/>
          <w:szCs w:val="28"/>
        </w:rPr>
        <w:t xml:space="preserve"> to others. </w:t>
      </w:r>
      <w:r w:rsidR="00FB0D78">
        <w:rPr>
          <w:rFonts w:ascii="Times New Roman" w:hAnsi="Times New Roman" w:cs="Times New Roman"/>
          <w:sz w:val="28"/>
          <w:szCs w:val="28"/>
        </w:rPr>
        <w:t xml:space="preserve"> </w:t>
      </w:r>
      <w:r w:rsidR="00F045B0">
        <w:rPr>
          <w:rFonts w:ascii="Times New Roman" w:hAnsi="Times New Roman" w:cs="Times New Roman"/>
          <w:sz w:val="28"/>
          <w:szCs w:val="28"/>
        </w:rPr>
        <w:t xml:space="preserve">Ms. </w:t>
      </w:r>
      <w:proofErr w:type="spellStart"/>
      <w:r w:rsidR="00F045B0">
        <w:rPr>
          <w:rFonts w:ascii="Times New Roman" w:hAnsi="Times New Roman" w:cs="Times New Roman"/>
          <w:sz w:val="28"/>
          <w:szCs w:val="28"/>
        </w:rPr>
        <w:t>Climans</w:t>
      </w:r>
      <w:proofErr w:type="spellEnd"/>
      <w:r w:rsidR="00F045B0">
        <w:rPr>
          <w:rFonts w:ascii="Times New Roman" w:hAnsi="Times New Roman" w:cs="Times New Roman"/>
          <w:sz w:val="28"/>
          <w:szCs w:val="28"/>
        </w:rPr>
        <w:t xml:space="preserve"> was financially dependent on Mr. Latner. </w:t>
      </w:r>
      <w:r w:rsidR="00D04875">
        <w:rPr>
          <w:rFonts w:ascii="Times New Roman" w:hAnsi="Times New Roman" w:cs="Times New Roman"/>
          <w:sz w:val="28"/>
          <w:szCs w:val="28"/>
        </w:rPr>
        <w:t xml:space="preserve"> In interpreting a similarly worded definition of spouse,</w:t>
      </w:r>
      <w:r w:rsidR="00F045B0">
        <w:rPr>
          <w:rFonts w:ascii="Times New Roman" w:hAnsi="Times New Roman" w:cs="Times New Roman"/>
          <w:sz w:val="28"/>
          <w:szCs w:val="28"/>
        </w:rPr>
        <w:t xml:space="preserve"> </w:t>
      </w:r>
      <w:proofErr w:type="spellStart"/>
      <w:r w:rsidR="006D7650" w:rsidRPr="00E927A5">
        <w:rPr>
          <w:rFonts w:ascii="Times New Roman" w:hAnsi="Times New Roman" w:cs="Times New Roman"/>
          <w:i/>
          <w:iCs/>
          <w:sz w:val="28"/>
          <w:szCs w:val="28"/>
        </w:rPr>
        <w:t>Climans</w:t>
      </w:r>
      <w:proofErr w:type="spellEnd"/>
      <w:r w:rsidR="006D7650" w:rsidRPr="00E927A5">
        <w:rPr>
          <w:rFonts w:ascii="Times New Roman" w:hAnsi="Times New Roman" w:cs="Times New Roman"/>
          <w:i/>
          <w:iCs/>
          <w:sz w:val="28"/>
          <w:szCs w:val="28"/>
        </w:rPr>
        <w:t xml:space="preserve"> </w:t>
      </w:r>
      <w:r w:rsidR="006D7650" w:rsidRPr="006D7650">
        <w:rPr>
          <w:rFonts w:ascii="Times New Roman" w:hAnsi="Times New Roman" w:cs="Times New Roman"/>
          <w:sz w:val="28"/>
          <w:szCs w:val="28"/>
        </w:rPr>
        <w:t>recognized that while there needs to be "some element of living together under the same roof," a lack of a continuously shared residence is not determinative.</w:t>
      </w:r>
      <w:r w:rsidR="00FB0D78">
        <w:rPr>
          <w:rFonts w:ascii="Times New Roman" w:hAnsi="Times New Roman" w:cs="Times New Roman"/>
          <w:sz w:val="28"/>
          <w:szCs w:val="28"/>
        </w:rPr>
        <w:t xml:space="preserve"> </w:t>
      </w:r>
      <w:r w:rsidR="006D7650" w:rsidRPr="006D7650">
        <w:rPr>
          <w:rFonts w:ascii="Times New Roman" w:hAnsi="Times New Roman" w:cs="Times New Roman"/>
          <w:sz w:val="28"/>
          <w:szCs w:val="28"/>
        </w:rPr>
        <w:t xml:space="preserve"> Instead, </w:t>
      </w:r>
      <w:r w:rsidR="00F045B0">
        <w:rPr>
          <w:rFonts w:ascii="Times New Roman" w:hAnsi="Times New Roman" w:cs="Times New Roman"/>
          <w:sz w:val="28"/>
          <w:szCs w:val="28"/>
        </w:rPr>
        <w:t>the Court of Appeal</w:t>
      </w:r>
      <w:r w:rsidR="006D7650" w:rsidRPr="006D7650">
        <w:rPr>
          <w:rFonts w:ascii="Times New Roman" w:hAnsi="Times New Roman" w:cs="Times New Roman"/>
          <w:sz w:val="28"/>
          <w:szCs w:val="28"/>
        </w:rPr>
        <w:t xml:space="preserve"> </w:t>
      </w:r>
      <w:r w:rsidR="00F045B0">
        <w:rPr>
          <w:rFonts w:ascii="Times New Roman" w:hAnsi="Times New Roman" w:cs="Times New Roman"/>
          <w:sz w:val="28"/>
          <w:szCs w:val="28"/>
        </w:rPr>
        <w:t xml:space="preserve">agreed with the trial judge’s analysis </w:t>
      </w:r>
      <w:r w:rsidR="00153B16">
        <w:rPr>
          <w:rFonts w:ascii="Times New Roman" w:hAnsi="Times New Roman" w:cs="Times New Roman"/>
          <w:sz w:val="28"/>
          <w:szCs w:val="28"/>
        </w:rPr>
        <w:t>that she had to look at the entire</w:t>
      </w:r>
      <w:r w:rsidR="005F7D0E">
        <w:rPr>
          <w:rFonts w:ascii="Times New Roman" w:hAnsi="Times New Roman" w:cs="Times New Roman"/>
          <w:sz w:val="28"/>
          <w:szCs w:val="28"/>
        </w:rPr>
        <w:t>t</w:t>
      </w:r>
      <w:r w:rsidR="00153B16">
        <w:rPr>
          <w:rFonts w:ascii="Times New Roman" w:hAnsi="Times New Roman" w:cs="Times New Roman"/>
          <w:sz w:val="28"/>
          <w:szCs w:val="28"/>
        </w:rPr>
        <w:t xml:space="preserve">y of the relationship including whether, </w:t>
      </w:r>
      <w:r w:rsidR="006D7650" w:rsidRPr="006D7650">
        <w:rPr>
          <w:rFonts w:ascii="Times New Roman" w:hAnsi="Times New Roman" w:cs="Times New Roman"/>
          <w:sz w:val="28"/>
          <w:szCs w:val="28"/>
        </w:rPr>
        <w:t>over the course of the relationship, the parties intermittently shared a roof—through overnight stays, shared vacations, or other periods of cohabitation—and whether, overall, the relationship bore the hallmarks of marriage-like interdependence</w:t>
      </w:r>
      <w:r w:rsidR="00153B16">
        <w:rPr>
          <w:rFonts w:ascii="Times New Roman" w:hAnsi="Times New Roman" w:cs="Times New Roman"/>
          <w:sz w:val="28"/>
          <w:szCs w:val="28"/>
        </w:rPr>
        <w:t xml:space="preserve">:  See </w:t>
      </w:r>
      <w:proofErr w:type="spellStart"/>
      <w:r w:rsidR="00153B16" w:rsidRPr="00153B16">
        <w:rPr>
          <w:rFonts w:ascii="Times New Roman" w:hAnsi="Times New Roman" w:cs="Times New Roman"/>
          <w:i/>
          <w:iCs/>
          <w:sz w:val="28"/>
          <w:szCs w:val="28"/>
        </w:rPr>
        <w:t>Climans</w:t>
      </w:r>
      <w:proofErr w:type="spellEnd"/>
      <w:r w:rsidR="00153B16">
        <w:rPr>
          <w:rFonts w:ascii="Times New Roman" w:hAnsi="Times New Roman" w:cs="Times New Roman"/>
          <w:sz w:val="28"/>
          <w:szCs w:val="28"/>
        </w:rPr>
        <w:t>, para</w:t>
      </w:r>
      <w:r w:rsidR="005F7D0E">
        <w:rPr>
          <w:rFonts w:ascii="Times New Roman" w:hAnsi="Times New Roman" w:cs="Times New Roman"/>
          <w:sz w:val="28"/>
          <w:szCs w:val="28"/>
        </w:rPr>
        <w:t>s</w:t>
      </w:r>
      <w:r w:rsidR="00153B16">
        <w:rPr>
          <w:rFonts w:ascii="Times New Roman" w:hAnsi="Times New Roman" w:cs="Times New Roman"/>
          <w:sz w:val="28"/>
          <w:szCs w:val="28"/>
        </w:rPr>
        <w:t xml:space="preserve"> 74-76. </w:t>
      </w:r>
    </w:p>
    <w:p w14:paraId="44A34960" w14:textId="77777777" w:rsidR="00153B16" w:rsidRDefault="006D7650" w:rsidP="000A48BE">
      <w:pPr>
        <w:pStyle w:val="ListParagraph"/>
        <w:numPr>
          <w:ilvl w:val="0"/>
          <w:numId w:val="9"/>
        </w:numPr>
        <w:spacing w:after="240" w:line="240" w:lineRule="auto"/>
        <w:contextualSpacing w:val="0"/>
        <w:jc w:val="both"/>
        <w:rPr>
          <w:rFonts w:ascii="Times New Roman" w:hAnsi="Times New Roman" w:cs="Times New Roman"/>
          <w:sz w:val="28"/>
          <w:szCs w:val="28"/>
        </w:rPr>
      </w:pPr>
      <w:r w:rsidRPr="00153B16">
        <w:rPr>
          <w:rFonts w:ascii="Times New Roman" w:hAnsi="Times New Roman" w:cs="Times New Roman"/>
          <w:sz w:val="28"/>
          <w:szCs w:val="28"/>
        </w:rPr>
        <w:t xml:space="preserve">Based on the additional evidence submitted by the Applicant, I am satisfied that her relationship with the deceased bore all the hallmarks </w:t>
      </w:r>
      <w:r w:rsidR="00E927A5" w:rsidRPr="00153B16">
        <w:rPr>
          <w:rFonts w:ascii="Times New Roman" w:hAnsi="Times New Roman" w:cs="Times New Roman"/>
          <w:sz w:val="28"/>
          <w:szCs w:val="28"/>
        </w:rPr>
        <w:t>of a committed marriage-like relationship.  The parties shared a mailing address and bank account, shared insurance for a vehicle, travelled extensively together, and held themselves out to close family and friends as a couple.  The reasons behind their decision not to share a residence until shortly before the deceased’s death were external to their relationship and did not define or limit the nature of their relationship</w:t>
      </w:r>
      <w:r w:rsidR="00BB4660" w:rsidRPr="00153B16">
        <w:rPr>
          <w:rFonts w:ascii="Times New Roman" w:hAnsi="Times New Roman" w:cs="Times New Roman"/>
          <w:sz w:val="28"/>
          <w:szCs w:val="28"/>
        </w:rPr>
        <w:t xml:space="preserve">. </w:t>
      </w:r>
    </w:p>
    <w:p w14:paraId="6E03FF3D" w14:textId="2D2917E1" w:rsidR="00E927A5" w:rsidRPr="00153B16" w:rsidRDefault="00E927A5" w:rsidP="000A48BE">
      <w:pPr>
        <w:pStyle w:val="ListParagraph"/>
        <w:numPr>
          <w:ilvl w:val="0"/>
          <w:numId w:val="9"/>
        </w:numPr>
        <w:spacing w:after="240" w:line="240" w:lineRule="auto"/>
        <w:contextualSpacing w:val="0"/>
        <w:jc w:val="both"/>
        <w:rPr>
          <w:rFonts w:ascii="Times New Roman" w:hAnsi="Times New Roman" w:cs="Times New Roman"/>
          <w:sz w:val="28"/>
          <w:szCs w:val="28"/>
        </w:rPr>
      </w:pPr>
      <w:r w:rsidRPr="00153B16">
        <w:rPr>
          <w:rFonts w:ascii="Times New Roman" w:hAnsi="Times New Roman" w:cs="Times New Roman"/>
          <w:sz w:val="28"/>
          <w:szCs w:val="28"/>
        </w:rPr>
        <w:lastRenderedPageBreak/>
        <w:t xml:space="preserve">As such, I grant the application of the Applicant for a declaration that the estate of the deceased is a small estate as defined by the Estate Administration Rules and authorizing the Applicant to administer the estate. </w:t>
      </w:r>
    </w:p>
    <w:p w14:paraId="5918C0AA" w14:textId="77777777" w:rsidR="00E16C9E" w:rsidRDefault="00E16C9E" w:rsidP="00C6457B">
      <w:pPr>
        <w:pStyle w:val="ListParagraph"/>
        <w:spacing w:after="240" w:line="240" w:lineRule="auto"/>
        <w:ind w:left="0"/>
        <w:contextualSpacing w:val="0"/>
        <w:jc w:val="both"/>
        <w:rPr>
          <w:rFonts w:ascii="Times New Roman" w:hAnsi="Times New Roman" w:cs="Times New Roman"/>
          <w:sz w:val="28"/>
          <w:szCs w:val="28"/>
        </w:rPr>
      </w:pPr>
    </w:p>
    <w:p w14:paraId="25A421E9" w14:textId="77777777" w:rsidR="00B22232" w:rsidRPr="00B22232" w:rsidRDefault="00B22232" w:rsidP="00B22232">
      <w:pPr>
        <w:pStyle w:val="ListParagraph"/>
        <w:ind w:left="0"/>
        <w:rPr>
          <w:rFonts w:ascii="Times New Roman" w:hAnsi="Times New Roman" w:cs="Times New Roman"/>
          <w:sz w:val="28"/>
          <w:szCs w:val="28"/>
        </w:rPr>
      </w:pPr>
    </w:p>
    <w:p w14:paraId="24B5AD8E" w14:textId="33678015" w:rsidR="00B22232" w:rsidRPr="00B22232" w:rsidRDefault="00B22232" w:rsidP="00B22232">
      <w:pPr>
        <w:pStyle w:val="ListParagraph"/>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007B5F67">
        <w:rPr>
          <w:rFonts w:ascii="Times New Roman" w:hAnsi="Times New Roman" w:cs="Times New Roman"/>
          <w:sz w:val="28"/>
          <w:szCs w:val="28"/>
        </w:rPr>
        <w:t>S.</w:t>
      </w:r>
      <w:r w:rsidR="00E927A5">
        <w:rPr>
          <w:rFonts w:ascii="Times New Roman" w:hAnsi="Times New Roman" w:cs="Times New Roman"/>
          <w:sz w:val="28"/>
          <w:szCs w:val="28"/>
        </w:rPr>
        <w:t xml:space="preserve">M. </w:t>
      </w:r>
      <w:r w:rsidR="001F420E">
        <w:rPr>
          <w:rFonts w:ascii="Times New Roman" w:hAnsi="Times New Roman" w:cs="Times New Roman"/>
          <w:sz w:val="28"/>
          <w:szCs w:val="28"/>
        </w:rPr>
        <w:t>MacPherson</w:t>
      </w:r>
    </w:p>
    <w:p w14:paraId="68CFE61E" w14:textId="675476F1" w:rsidR="00B22232" w:rsidRPr="00B22232" w:rsidRDefault="00B22232" w:rsidP="00B22232">
      <w:pPr>
        <w:pStyle w:val="ListParagraph"/>
        <w:ind w:left="0"/>
        <w:rPr>
          <w:rFonts w:ascii="Times New Roman" w:hAnsi="Times New Roman" w:cs="Times New Roman"/>
          <w:sz w:val="28"/>
          <w:szCs w:val="28"/>
        </w:rPr>
      </w:pP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J.S.C.</w:t>
      </w:r>
    </w:p>
    <w:p w14:paraId="0ABBFC52" w14:textId="77777777" w:rsidR="00B11A8F" w:rsidRDefault="00B11A8F" w:rsidP="00B11A8F">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Dated in Yellowknife, NT this </w:t>
      </w:r>
    </w:p>
    <w:p w14:paraId="68CB8D15" w14:textId="2BA075B2" w:rsidR="00B22232" w:rsidRDefault="001F420E" w:rsidP="00B11A8F">
      <w:pPr>
        <w:pStyle w:val="ListParagraph"/>
        <w:ind w:left="0"/>
        <w:rPr>
          <w:rFonts w:ascii="Times New Roman" w:hAnsi="Times New Roman" w:cs="Times New Roman"/>
          <w:sz w:val="28"/>
          <w:szCs w:val="28"/>
        </w:rPr>
      </w:pPr>
      <w:r>
        <w:rPr>
          <w:rFonts w:ascii="Times New Roman" w:hAnsi="Times New Roman" w:cs="Times New Roman"/>
          <w:sz w:val="28"/>
          <w:szCs w:val="28"/>
        </w:rPr>
        <w:t>1</w:t>
      </w:r>
      <w:r w:rsidRPr="001F420E">
        <w:rPr>
          <w:rFonts w:ascii="Times New Roman" w:hAnsi="Times New Roman" w:cs="Times New Roman"/>
          <w:sz w:val="28"/>
          <w:szCs w:val="28"/>
          <w:vertAlign w:val="superscript"/>
        </w:rPr>
        <w:t>st</w:t>
      </w:r>
      <w:r>
        <w:rPr>
          <w:rFonts w:ascii="Times New Roman" w:hAnsi="Times New Roman" w:cs="Times New Roman"/>
          <w:sz w:val="28"/>
          <w:szCs w:val="28"/>
        </w:rPr>
        <w:t>,</w:t>
      </w:r>
      <w:r w:rsidR="00B11A8F">
        <w:rPr>
          <w:rFonts w:ascii="Times New Roman" w:hAnsi="Times New Roman" w:cs="Times New Roman"/>
          <w:sz w:val="28"/>
          <w:szCs w:val="28"/>
        </w:rPr>
        <w:t xml:space="preserve"> day of</w:t>
      </w:r>
      <w:r w:rsidR="00E927A5">
        <w:rPr>
          <w:rFonts w:ascii="Times New Roman" w:hAnsi="Times New Roman" w:cs="Times New Roman"/>
          <w:sz w:val="28"/>
          <w:szCs w:val="28"/>
        </w:rPr>
        <w:t xml:space="preserve"> October 202</w:t>
      </w:r>
      <w:r>
        <w:rPr>
          <w:rFonts w:ascii="Times New Roman" w:hAnsi="Times New Roman" w:cs="Times New Roman"/>
          <w:sz w:val="28"/>
          <w:szCs w:val="28"/>
        </w:rPr>
        <w:t>5</w:t>
      </w:r>
    </w:p>
    <w:p w14:paraId="58D10E83" w14:textId="77777777" w:rsidR="002339BB" w:rsidRDefault="002339BB" w:rsidP="00B11A8F">
      <w:pPr>
        <w:pStyle w:val="ListParagraph"/>
        <w:ind w:left="0"/>
        <w:rPr>
          <w:rFonts w:ascii="Times New Roman" w:hAnsi="Times New Roman" w:cs="Times New Roman"/>
          <w:sz w:val="28"/>
          <w:szCs w:val="28"/>
        </w:rPr>
      </w:pPr>
    </w:p>
    <w:p w14:paraId="4D35DFAD" w14:textId="77777777" w:rsidR="002339BB" w:rsidRDefault="002339BB" w:rsidP="00B11A8F">
      <w:pPr>
        <w:pStyle w:val="ListParagraph"/>
        <w:ind w:left="0"/>
        <w:rPr>
          <w:rFonts w:ascii="Times New Roman" w:hAnsi="Times New Roman" w:cs="Times New Roman"/>
          <w:sz w:val="28"/>
          <w:szCs w:val="28"/>
        </w:rPr>
      </w:pPr>
    </w:p>
    <w:p w14:paraId="3C1DDF10" w14:textId="67349B0A" w:rsidR="001F5970" w:rsidRPr="00943943" w:rsidRDefault="00E927A5" w:rsidP="00E927A5">
      <w:pPr>
        <w:pStyle w:val="ListParagraph"/>
        <w:spacing w:after="240" w:line="240" w:lineRule="auto"/>
        <w:ind w:left="0"/>
        <w:contextualSpacing w:val="0"/>
        <w:jc w:val="both"/>
        <w:rPr>
          <w:rFonts w:ascii="Times New Roman" w:hAnsi="Times New Roman" w:cs="Times New Roman"/>
          <w:sz w:val="28"/>
          <w:szCs w:val="28"/>
        </w:rPr>
        <w:sectPr w:rsidR="001F5970" w:rsidRPr="00943943" w:rsidSect="003926E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50" w:right="1440" w:bottom="1260" w:left="1440" w:header="720" w:footer="720" w:gutter="0"/>
          <w:cols w:space="720"/>
          <w:titlePg/>
          <w:docGrid w:linePitch="360"/>
        </w:sectPr>
      </w:pPr>
      <w:r>
        <w:rPr>
          <w:rFonts w:ascii="Times New Roman" w:hAnsi="Times New Roman" w:cs="Times New Roman"/>
          <w:sz w:val="28"/>
          <w:szCs w:val="28"/>
        </w:rPr>
        <w:t xml:space="preserve">The Applicant on her own behalf </w:t>
      </w:r>
      <w:r w:rsidR="00B22232">
        <w:rPr>
          <w:rFonts w:ascii="Times New Roman" w:hAnsi="Times New Roman" w:cs="Times New Roman"/>
          <w:sz w:val="28"/>
          <w:szCs w:val="28"/>
        </w:rPr>
        <w:tab/>
      </w:r>
      <w:r w:rsidR="00B22232">
        <w:rPr>
          <w:rFonts w:ascii="Times New Roman" w:hAnsi="Times New Roman" w:cs="Times New Roman"/>
          <w:sz w:val="28"/>
          <w:szCs w:val="28"/>
        </w:rPr>
        <w:tab/>
      </w:r>
    </w:p>
    <w:p w14:paraId="61033FE1" w14:textId="77777777" w:rsidR="001F5970" w:rsidRDefault="001F5970" w:rsidP="00B22232">
      <w:pPr>
        <w:spacing w:after="0" w:line="480" w:lineRule="auto"/>
        <w:jc w:val="both"/>
        <w:rPr>
          <w:rFonts w:ascii="Times New Roman" w:hAnsi="Times New Roman" w:cs="Times New Roman"/>
          <w:sz w:val="28"/>
          <w:szCs w:val="28"/>
        </w:rPr>
        <w:sectPr w:rsidR="001F5970" w:rsidSect="001F5970">
          <w:pgSz w:w="12240" w:h="15840"/>
          <w:pgMar w:top="1440" w:right="1440" w:bottom="1440" w:left="1440" w:header="720" w:footer="720" w:gutter="0"/>
          <w:cols w:space="720"/>
          <w:titlePg/>
          <w:docGrid w:linePitch="360"/>
        </w:sectPr>
      </w:pPr>
    </w:p>
    <w:p w14:paraId="54B67720" w14:textId="77777777" w:rsidR="008123F0" w:rsidRPr="001F5970" w:rsidRDefault="008C09DB" w:rsidP="00B22232">
      <w:pPr>
        <w:tabs>
          <w:tab w:val="right" w:pos="4230"/>
        </w:tabs>
        <w:spacing w:after="0" w:line="480" w:lineRule="auto"/>
        <w:ind w:right="-432"/>
        <w:jc w:val="both"/>
        <w:rPr>
          <w:rFonts w:ascii="Times New Roman" w:hAnsi="Times New Roman" w:cs="Times New Roman"/>
          <w:sz w:val="28"/>
          <w:szCs w:val="28"/>
          <w:u w:val="single"/>
        </w:rPr>
      </w:pPr>
      <w:r w:rsidRPr="001F5970">
        <w:rPr>
          <w:rFonts w:ascii="Times New Roman" w:hAnsi="Times New Roman" w:cs="Times New Roman"/>
          <w:sz w:val="28"/>
          <w:szCs w:val="28"/>
          <w:u w:val="single"/>
        </w:rPr>
        <w:br w:type="column"/>
      </w:r>
    </w:p>
    <w:tbl>
      <w:tblPr>
        <w:tblStyle w:val="TableGrid"/>
        <w:tblpPr w:leftFromText="180" w:rightFromText="180" w:vertAnchor="page" w:horzAnchor="page" w:tblpX="5206" w:tblpY="1966"/>
        <w:tblW w:w="6480" w:type="dxa"/>
        <w:tblBorders>
          <w:top w:val="none" w:sz="0" w:space="0" w:color="auto"/>
          <w:left w:val="none" w:sz="0" w:space="0" w:color="auto"/>
          <w:right w:val="none" w:sz="0" w:space="0" w:color="auto"/>
        </w:tblBorders>
        <w:tblLook w:val="04A0" w:firstRow="1" w:lastRow="0" w:firstColumn="1" w:lastColumn="0" w:noHBand="0" w:noVBand="1"/>
      </w:tblPr>
      <w:tblGrid>
        <w:gridCol w:w="6480"/>
      </w:tblGrid>
      <w:tr w:rsidR="008123F0" w:rsidRPr="0032647A" w14:paraId="7EEFC975" w14:textId="77777777" w:rsidTr="00E16C9E">
        <w:tc>
          <w:tcPr>
            <w:tcW w:w="6480" w:type="dxa"/>
          </w:tcPr>
          <w:p w14:paraId="234F2E70" w14:textId="5DA12CB2" w:rsidR="00F75079" w:rsidRPr="00F75079" w:rsidRDefault="00F75079" w:rsidP="00F75079">
            <w:pPr>
              <w:jc w:val="right"/>
              <w:rPr>
                <w:rFonts w:ascii="Times New Roman" w:hAnsi="Times New Roman" w:cs="Times New Roman"/>
                <w:sz w:val="28"/>
                <w:szCs w:val="28"/>
              </w:rPr>
            </w:pPr>
            <w:r w:rsidRPr="00F75079">
              <w:rPr>
                <w:rFonts w:ascii="Times New Roman" w:hAnsi="Times New Roman" w:cs="Times New Roman"/>
                <w:sz w:val="28"/>
                <w:szCs w:val="28"/>
              </w:rPr>
              <w:fldChar w:fldCharType="begin"/>
            </w:r>
            <w:r w:rsidRPr="00F75079">
              <w:rPr>
                <w:rFonts w:ascii="Times New Roman" w:hAnsi="Times New Roman" w:cs="Times New Roman"/>
                <w:sz w:val="28"/>
                <w:szCs w:val="28"/>
              </w:rPr>
              <w:instrText xml:space="preserve"> SEQ CHAPTER \h \r 1</w:instrText>
            </w:r>
            <w:r w:rsidRPr="00F75079">
              <w:rPr>
                <w:rFonts w:ascii="Times New Roman" w:hAnsi="Times New Roman" w:cs="Times New Roman"/>
                <w:sz w:val="28"/>
                <w:szCs w:val="28"/>
              </w:rPr>
              <w:fldChar w:fldCharType="end"/>
            </w:r>
            <w:r w:rsidRPr="00F75079">
              <w:rPr>
                <w:rFonts w:ascii="Times New Roman" w:hAnsi="Times New Roman" w:cs="Times New Roman"/>
                <w:sz w:val="28"/>
                <w:szCs w:val="28"/>
              </w:rPr>
              <w:t xml:space="preserve">Docket:  S-1-ES-2025-000 075 </w:t>
            </w:r>
          </w:p>
          <w:p w14:paraId="10ED695D" w14:textId="77777777" w:rsidR="008123F0" w:rsidRPr="0032647A" w:rsidRDefault="008123F0" w:rsidP="00B22232">
            <w:pPr>
              <w:jc w:val="right"/>
              <w:rPr>
                <w:rFonts w:ascii="Times New Roman" w:hAnsi="Times New Roman" w:cs="Times New Roman"/>
                <w:sz w:val="28"/>
                <w:szCs w:val="28"/>
              </w:rPr>
            </w:pPr>
          </w:p>
        </w:tc>
      </w:tr>
      <w:tr w:rsidR="008123F0" w:rsidRPr="0032647A" w14:paraId="25F05DF1" w14:textId="77777777" w:rsidTr="00E16C9E">
        <w:tc>
          <w:tcPr>
            <w:tcW w:w="6480" w:type="dxa"/>
          </w:tcPr>
          <w:p w14:paraId="501081F1" w14:textId="77777777" w:rsidR="008123F0" w:rsidRPr="0032647A" w:rsidRDefault="008123F0" w:rsidP="00B22232">
            <w:pPr>
              <w:tabs>
                <w:tab w:val="center" w:pos="2784"/>
              </w:tabs>
              <w:jc w:val="center"/>
              <w:rPr>
                <w:rFonts w:ascii="Times New Roman" w:hAnsi="Times New Roman" w:cs="Times New Roman"/>
                <w:b/>
                <w:bCs/>
                <w:sz w:val="28"/>
                <w:szCs w:val="28"/>
                <w:lang w:val="en-GB"/>
              </w:rPr>
            </w:pPr>
          </w:p>
          <w:p w14:paraId="2455DEE2" w14:textId="77777777" w:rsidR="008123F0" w:rsidRPr="0032647A" w:rsidRDefault="008123F0" w:rsidP="00B22232">
            <w:pPr>
              <w:tabs>
                <w:tab w:val="center" w:pos="2784"/>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IN THE SUPREME COURT OF THE</w:t>
            </w:r>
          </w:p>
          <w:p w14:paraId="0D543FE6" w14:textId="77777777" w:rsidR="008123F0" w:rsidRPr="0032647A" w:rsidRDefault="008123F0" w:rsidP="00B22232">
            <w:pPr>
              <w:tabs>
                <w:tab w:val="center" w:pos="2784"/>
                <w:tab w:val="left" w:pos="4740"/>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NORTHWEST TERRITORIES</w:t>
            </w:r>
          </w:p>
          <w:p w14:paraId="74240C14" w14:textId="77777777" w:rsidR="008123F0" w:rsidRPr="0032647A" w:rsidRDefault="008123F0" w:rsidP="00B22232">
            <w:pPr>
              <w:pStyle w:val="NoSpacing"/>
              <w:rPr>
                <w:rFonts w:ascii="Times New Roman" w:hAnsi="Times New Roman" w:cs="Times New Roman"/>
                <w:sz w:val="28"/>
                <w:szCs w:val="28"/>
                <w:lang w:val="en-GB"/>
              </w:rPr>
            </w:pPr>
          </w:p>
        </w:tc>
      </w:tr>
      <w:tr w:rsidR="008123F0" w:rsidRPr="0032647A" w14:paraId="33ED7286" w14:textId="77777777" w:rsidTr="00E16C9E">
        <w:tc>
          <w:tcPr>
            <w:tcW w:w="6480" w:type="dxa"/>
          </w:tcPr>
          <w:p w14:paraId="4C131BA3" w14:textId="286A8D28" w:rsidR="00B22232" w:rsidRDefault="00B22232" w:rsidP="00B22232">
            <w:pPr>
              <w:rPr>
                <w:rFonts w:ascii="Times New Roman" w:hAnsi="Times New Roman" w:cs="Times New Roman"/>
                <w:sz w:val="28"/>
                <w:szCs w:val="28"/>
              </w:rPr>
            </w:pPr>
          </w:p>
          <w:p w14:paraId="5180EC54" w14:textId="77777777" w:rsidR="00E927A5" w:rsidRDefault="00E927A5" w:rsidP="00B22232">
            <w:pPr>
              <w:rPr>
                <w:rFonts w:ascii="Times New Roman" w:hAnsi="Times New Roman" w:cs="Times New Roman"/>
                <w:sz w:val="28"/>
                <w:szCs w:val="28"/>
              </w:rPr>
            </w:pPr>
          </w:p>
          <w:p w14:paraId="141806D9" w14:textId="7563BC5F" w:rsidR="00B22232" w:rsidRPr="00F75079" w:rsidRDefault="00E927A5" w:rsidP="00B22232">
            <w:pPr>
              <w:rPr>
                <w:rFonts w:ascii="Times New Roman" w:hAnsi="Times New Roman" w:cs="Times New Roman"/>
                <w:b/>
                <w:bCs/>
                <w:sz w:val="28"/>
                <w:szCs w:val="28"/>
              </w:rPr>
            </w:pPr>
            <w:r w:rsidRPr="00F75079">
              <w:rPr>
                <w:rFonts w:ascii="Times New Roman" w:hAnsi="Times New Roman" w:cs="Times New Roman"/>
                <w:b/>
                <w:bCs/>
                <w:sz w:val="28"/>
                <w:szCs w:val="28"/>
              </w:rPr>
              <w:t>IN THE MATTER OF THE ESTATE OF VANCE DAVID BOURQE, late of Fort Smith in the Northwest Territories, deceased.</w:t>
            </w:r>
          </w:p>
          <w:p w14:paraId="7FCCC014" w14:textId="77777777" w:rsidR="008123F0" w:rsidRPr="00F75079" w:rsidRDefault="008123F0" w:rsidP="00B22232">
            <w:pPr>
              <w:tabs>
                <w:tab w:val="left" w:pos="720"/>
                <w:tab w:val="left" w:pos="1452"/>
                <w:tab w:val="left" w:pos="2392"/>
              </w:tabs>
              <w:jc w:val="center"/>
              <w:rPr>
                <w:rFonts w:ascii="Times New Roman" w:hAnsi="Times New Roman" w:cs="Times New Roman"/>
                <w:b/>
                <w:bCs/>
                <w:sz w:val="28"/>
                <w:szCs w:val="28"/>
                <w:lang w:val="en-GB"/>
              </w:rPr>
            </w:pPr>
          </w:p>
          <w:p w14:paraId="6CF1C54F"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122B6642"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25FE9D83" w14:textId="77777777" w:rsidR="008123F0" w:rsidRPr="0032647A" w:rsidRDefault="008123F0" w:rsidP="00B22232">
            <w:pPr>
              <w:rPr>
                <w:rFonts w:ascii="Times New Roman" w:hAnsi="Times New Roman" w:cs="Times New Roman"/>
                <w:sz w:val="28"/>
                <w:szCs w:val="28"/>
              </w:rPr>
            </w:pPr>
          </w:p>
        </w:tc>
      </w:tr>
      <w:tr w:rsidR="008123F0" w:rsidRPr="0032647A" w14:paraId="36CEC013" w14:textId="77777777" w:rsidTr="00E16C9E">
        <w:tc>
          <w:tcPr>
            <w:tcW w:w="6480" w:type="dxa"/>
          </w:tcPr>
          <w:p w14:paraId="374F408B"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766BE15F" w14:textId="02AC632E"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MEMORANDUM OF </w:t>
            </w:r>
            <w:r w:rsidR="00D04875">
              <w:rPr>
                <w:rFonts w:ascii="Times New Roman" w:hAnsi="Times New Roman" w:cs="Times New Roman"/>
                <w:sz w:val="28"/>
                <w:szCs w:val="28"/>
                <w:lang w:val="en-GB"/>
              </w:rPr>
              <w:t>DECISION</w:t>
            </w:r>
            <w:r w:rsidRPr="0032647A">
              <w:rPr>
                <w:rFonts w:ascii="Times New Roman" w:hAnsi="Times New Roman" w:cs="Times New Roman"/>
                <w:sz w:val="28"/>
                <w:szCs w:val="28"/>
                <w:lang w:val="en-GB"/>
              </w:rPr>
              <w:t xml:space="preserve"> OF</w:t>
            </w:r>
          </w:p>
          <w:p w14:paraId="23B1E14A" w14:textId="4DC792F4"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THE HONOURABLE JUSTICE </w:t>
            </w:r>
            <w:r w:rsidR="00E927A5">
              <w:rPr>
                <w:rFonts w:ascii="Times New Roman" w:hAnsi="Times New Roman" w:cs="Times New Roman"/>
                <w:sz w:val="28"/>
                <w:szCs w:val="28"/>
                <w:lang w:val="en-GB"/>
              </w:rPr>
              <w:t xml:space="preserve">S.M. </w:t>
            </w:r>
            <w:proofErr w:type="spellStart"/>
            <w:r w:rsidR="00E927A5">
              <w:rPr>
                <w:rFonts w:ascii="Times New Roman" w:hAnsi="Times New Roman" w:cs="Times New Roman"/>
                <w:sz w:val="28"/>
                <w:szCs w:val="28"/>
                <w:lang w:val="en-GB"/>
              </w:rPr>
              <w:t>MacPHERSON</w:t>
            </w:r>
            <w:proofErr w:type="spellEnd"/>
          </w:p>
          <w:p w14:paraId="7A1C9D62"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tc>
      </w:tr>
    </w:tbl>
    <w:p w14:paraId="34AB5BF7" w14:textId="77777777" w:rsidR="000812FA" w:rsidRDefault="000812FA" w:rsidP="00B22232">
      <w:pPr>
        <w:pStyle w:val="ListParagraph"/>
        <w:tabs>
          <w:tab w:val="right" w:pos="4230"/>
        </w:tabs>
        <w:spacing w:after="0" w:line="240" w:lineRule="auto"/>
        <w:ind w:left="0" w:right="-432"/>
        <w:rPr>
          <w:rFonts w:ascii="Times New Roman" w:hAnsi="Times New Roman" w:cs="Times New Roman"/>
          <w:sz w:val="28"/>
          <w:szCs w:val="28"/>
        </w:rPr>
      </w:pPr>
    </w:p>
    <w:sectPr w:rsidR="000812FA" w:rsidSect="000812FA">
      <w:headerReference w:type="default" r:id="rId17"/>
      <w:headerReference w:type="first" r:id="rId18"/>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0A29" w14:textId="77777777" w:rsidR="001E40FF" w:rsidRDefault="001E40FF" w:rsidP="005B5B19">
      <w:pPr>
        <w:spacing w:after="0" w:line="240" w:lineRule="auto"/>
      </w:pPr>
      <w:r>
        <w:separator/>
      </w:r>
    </w:p>
  </w:endnote>
  <w:endnote w:type="continuationSeparator" w:id="0">
    <w:p w14:paraId="5562AEED" w14:textId="77777777" w:rsidR="001E40FF" w:rsidRDefault="001E40FF" w:rsidP="005B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7C78" w14:textId="77777777" w:rsidR="00BF3211" w:rsidRDefault="00BF3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037A" w14:textId="77777777" w:rsidR="00BF3211" w:rsidRDefault="00BF3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274" w14:textId="77777777" w:rsidR="00BF3211" w:rsidRDefault="00BF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DC27" w14:textId="77777777" w:rsidR="001E40FF" w:rsidRDefault="001E40FF" w:rsidP="005B5B19">
      <w:pPr>
        <w:spacing w:after="0" w:line="240" w:lineRule="auto"/>
      </w:pPr>
      <w:r>
        <w:separator/>
      </w:r>
    </w:p>
  </w:footnote>
  <w:footnote w:type="continuationSeparator" w:id="0">
    <w:p w14:paraId="53FB3EF7" w14:textId="77777777" w:rsidR="001E40FF" w:rsidRDefault="001E40FF" w:rsidP="005B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02E7" w14:textId="77777777" w:rsidR="00BF3211" w:rsidRDefault="00BF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4756" w14:textId="77777777" w:rsidR="00BF3211" w:rsidRPr="00943943" w:rsidRDefault="00BF3211" w:rsidP="00943943">
    <w:pPr>
      <w:pStyle w:val="Header"/>
      <w:tabs>
        <w:tab w:val="left" w:pos="8565"/>
      </w:tabs>
      <w:rPr>
        <w:rFonts w:ascii="Times New Roman" w:hAnsi="Times New Roman" w:cs="Times New Roman"/>
      </w:rPr>
    </w:pPr>
    <w:r>
      <w:tab/>
    </w:r>
    <w:r>
      <w:tab/>
    </w:r>
    <w:r w:rsidRPr="00943943">
      <w:rPr>
        <w:rFonts w:ascii="Times New Roman" w:hAnsi="Times New Roman" w:cs="Times New Roman"/>
      </w:rPr>
      <w:tab/>
      <w:t xml:space="preserve">Page:  </w:t>
    </w:r>
    <w:sdt>
      <w:sdtPr>
        <w:rPr>
          <w:rFonts w:ascii="Times New Roman" w:hAnsi="Times New Roman" w:cs="Times New Roman"/>
        </w:rPr>
        <w:id w:val="234848530"/>
        <w:docPartObj>
          <w:docPartGallery w:val="Page Numbers (Top of Page)"/>
          <w:docPartUnique/>
        </w:docPartObj>
      </w:sdtPr>
      <w:sdtEndPr/>
      <w:sdtContent>
        <w:r w:rsidRPr="00943943">
          <w:rPr>
            <w:rFonts w:ascii="Times New Roman" w:hAnsi="Times New Roman" w:cs="Times New Roman"/>
          </w:rPr>
          <w:fldChar w:fldCharType="begin"/>
        </w:r>
        <w:r w:rsidRPr="00943943">
          <w:rPr>
            <w:rFonts w:ascii="Times New Roman" w:hAnsi="Times New Roman" w:cs="Times New Roman"/>
          </w:rPr>
          <w:instrText xml:space="preserve"> PAGE   \* MERGEFORMAT </w:instrText>
        </w:r>
        <w:r w:rsidRPr="00943943">
          <w:rPr>
            <w:rFonts w:ascii="Times New Roman" w:hAnsi="Times New Roman" w:cs="Times New Roman"/>
          </w:rPr>
          <w:fldChar w:fldCharType="separate"/>
        </w:r>
        <w:r w:rsidR="00EA27F6">
          <w:rPr>
            <w:rFonts w:ascii="Times New Roman" w:hAnsi="Times New Roman" w:cs="Times New Roman"/>
            <w:noProof/>
          </w:rPr>
          <w:t>2</w:t>
        </w:r>
        <w:r w:rsidRPr="00943943">
          <w:rPr>
            <w:rFonts w:ascii="Times New Roman" w:hAnsi="Times New Roman" w:cs="Times New Roman"/>
            <w:noProof/>
          </w:rPr>
          <w:fldChar w:fldCharType="end"/>
        </w:r>
      </w:sdtContent>
    </w:sdt>
  </w:p>
  <w:p w14:paraId="3D208802" w14:textId="77777777" w:rsidR="00BF3211" w:rsidRDefault="00BF3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A225" w14:textId="77777777" w:rsidR="00BF3211" w:rsidRDefault="00BF3211">
    <w:pPr>
      <w:pStyle w:val="Header"/>
      <w:jc w:val="right"/>
    </w:pPr>
  </w:p>
  <w:p w14:paraId="040A2536" w14:textId="77777777" w:rsidR="00BF3211" w:rsidRDefault="00BF3211" w:rsidP="005B5B19">
    <w:pPr>
      <w:pStyle w:val="Header"/>
      <w:tabs>
        <w:tab w:val="clear" w:pos="46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2C11" w14:textId="77777777" w:rsidR="00BF3211" w:rsidRDefault="00BF3211">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3</w:t>
        </w:r>
        <w:r>
          <w:rPr>
            <w:noProof/>
          </w:rPr>
          <w:fldChar w:fldCharType="end"/>
        </w:r>
      </w:sdtContent>
    </w:sdt>
  </w:p>
  <w:p w14:paraId="013E774C" w14:textId="77777777" w:rsidR="00BF3211" w:rsidRDefault="00BF32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EEF6" w14:textId="77777777" w:rsidR="00BF3211" w:rsidRDefault="00BF3211">
    <w:pPr>
      <w:pStyle w:val="Header"/>
      <w:jc w:val="right"/>
    </w:pPr>
  </w:p>
  <w:p w14:paraId="3AED4AB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F84"/>
    <w:multiLevelType w:val="multilevel"/>
    <w:tmpl w:val="8E7003B2"/>
    <w:numStyleLink w:val="JudgmentParagraphs"/>
  </w:abstractNum>
  <w:abstractNum w:abstractNumId="2"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C787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516A2"/>
    <w:multiLevelType w:val="multilevel"/>
    <w:tmpl w:val="8E7003B2"/>
    <w:numStyleLink w:val="JudgmentParagraphs"/>
  </w:abstractNum>
  <w:abstractNum w:abstractNumId="7" w15:restartNumberingAfterBreak="0">
    <w:nsid w:val="3FAF69DC"/>
    <w:multiLevelType w:val="hybridMultilevel"/>
    <w:tmpl w:val="DE063792"/>
    <w:lvl w:ilvl="0" w:tplc="3DD20CD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0783596">
    <w:abstractNumId w:val="5"/>
  </w:num>
  <w:num w:numId="2" w16cid:durableId="1652446112">
    <w:abstractNumId w:val="8"/>
  </w:num>
  <w:num w:numId="3" w16cid:durableId="1134059621">
    <w:abstractNumId w:val="3"/>
  </w:num>
  <w:num w:numId="4" w16cid:durableId="348796652">
    <w:abstractNumId w:val="0"/>
  </w:num>
  <w:num w:numId="5" w16cid:durableId="1595896539">
    <w:abstractNumId w:val="10"/>
  </w:num>
  <w:num w:numId="6" w16cid:durableId="95752768">
    <w:abstractNumId w:val="2"/>
  </w:num>
  <w:num w:numId="7" w16cid:durableId="1521359273">
    <w:abstractNumId w:val="9"/>
  </w:num>
  <w:num w:numId="8" w16cid:durableId="1998336115">
    <w:abstractNumId w:val="6"/>
  </w:num>
  <w:num w:numId="9" w16cid:durableId="945967506">
    <w:abstractNumId w:val="1"/>
  </w:num>
  <w:num w:numId="10" w16cid:durableId="463893621">
    <w:abstractNumId w:val="11"/>
  </w:num>
  <w:num w:numId="11" w16cid:durableId="394741187">
    <w:abstractNumId w:val="4"/>
  </w:num>
  <w:num w:numId="12" w16cid:durableId="494299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96"/>
    <w:rsid w:val="00032A35"/>
    <w:rsid w:val="00074A57"/>
    <w:rsid w:val="000812FA"/>
    <w:rsid w:val="000867DC"/>
    <w:rsid w:val="00086E43"/>
    <w:rsid w:val="000F53DB"/>
    <w:rsid w:val="00153B16"/>
    <w:rsid w:val="0016244F"/>
    <w:rsid w:val="00190076"/>
    <w:rsid w:val="001922F6"/>
    <w:rsid w:val="001A000F"/>
    <w:rsid w:val="001A3B2B"/>
    <w:rsid w:val="001C7DF2"/>
    <w:rsid w:val="001E0F8F"/>
    <w:rsid w:val="001E40FF"/>
    <w:rsid w:val="001F420E"/>
    <w:rsid w:val="001F5970"/>
    <w:rsid w:val="002339BB"/>
    <w:rsid w:val="00236FE4"/>
    <w:rsid w:val="00255B0C"/>
    <w:rsid w:val="002734F7"/>
    <w:rsid w:val="002A5536"/>
    <w:rsid w:val="00302395"/>
    <w:rsid w:val="003079CA"/>
    <w:rsid w:val="00321645"/>
    <w:rsid w:val="00383889"/>
    <w:rsid w:val="003926E0"/>
    <w:rsid w:val="003D3E8C"/>
    <w:rsid w:val="003F2B8B"/>
    <w:rsid w:val="003F69FF"/>
    <w:rsid w:val="00437216"/>
    <w:rsid w:val="00460360"/>
    <w:rsid w:val="0047093D"/>
    <w:rsid w:val="00491580"/>
    <w:rsid w:val="004A01B1"/>
    <w:rsid w:val="004D7782"/>
    <w:rsid w:val="0050652F"/>
    <w:rsid w:val="00533F06"/>
    <w:rsid w:val="00572126"/>
    <w:rsid w:val="00582A77"/>
    <w:rsid w:val="005B5B19"/>
    <w:rsid w:val="005F7D0E"/>
    <w:rsid w:val="0066711F"/>
    <w:rsid w:val="0067691F"/>
    <w:rsid w:val="0069467F"/>
    <w:rsid w:val="006C0CBE"/>
    <w:rsid w:val="006C54A5"/>
    <w:rsid w:val="006D7650"/>
    <w:rsid w:val="007300FD"/>
    <w:rsid w:val="007332CC"/>
    <w:rsid w:val="007404D1"/>
    <w:rsid w:val="00745A3B"/>
    <w:rsid w:val="00766DE1"/>
    <w:rsid w:val="00777B6B"/>
    <w:rsid w:val="00784254"/>
    <w:rsid w:val="007B5F67"/>
    <w:rsid w:val="007E4421"/>
    <w:rsid w:val="007E51DD"/>
    <w:rsid w:val="007F1B95"/>
    <w:rsid w:val="008123F0"/>
    <w:rsid w:val="00852397"/>
    <w:rsid w:val="00866B24"/>
    <w:rsid w:val="008C09DB"/>
    <w:rsid w:val="008E2593"/>
    <w:rsid w:val="00917C87"/>
    <w:rsid w:val="00935F95"/>
    <w:rsid w:val="00943943"/>
    <w:rsid w:val="00967BE7"/>
    <w:rsid w:val="00967D4E"/>
    <w:rsid w:val="00974606"/>
    <w:rsid w:val="0097464B"/>
    <w:rsid w:val="00976A6B"/>
    <w:rsid w:val="009C2CC4"/>
    <w:rsid w:val="009C474B"/>
    <w:rsid w:val="009D1BEE"/>
    <w:rsid w:val="009E25BD"/>
    <w:rsid w:val="00A022C2"/>
    <w:rsid w:val="00A06F57"/>
    <w:rsid w:val="00A46DED"/>
    <w:rsid w:val="00A656AC"/>
    <w:rsid w:val="00AE663E"/>
    <w:rsid w:val="00B11A8F"/>
    <w:rsid w:val="00B22232"/>
    <w:rsid w:val="00B512D6"/>
    <w:rsid w:val="00B94F8E"/>
    <w:rsid w:val="00BA1884"/>
    <w:rsid w:val="00BA537E"/>
    <w:rsid w:val="00BB4660"/>
    <w:rsid w:val="00BF3211"/>
    <w:rsid w:val="00C302BE"/>
    <w:rsid w:val="00C42226"/>
    <w:rsid w:val="00C6457B"/>
    <w:rsid w:val="00C65F56"/>
    <w:rsid w:val="00C838DD"/>
    <w:rsid w:val="00CA135F"/>
    <w:rsid w:val="00CB706C"/>
    <w:rsid w:val="00CC35A0"/>
    <w:rsid w:val="00D04875"/>
    <w:rsid w:val="00D44796"/>
    <w:rsid w:val="00D4592C"/>
    <w:rsid w:val="00D50439"/>
    <w:rsid w:val="00D65B3A"/>
    <w:rsid w:val="00D85899"/>
    <w:rsid w:val="00D85A41"/>
    <w:rsid w:val="00E05918"/>
    <w:rsid w:val="00E16C9E"/>
    <w:rsid w:val="00E400BD"/>
    <w:rsid w:val="00E528A5"/>
    <w:rsid w:val="00E533DE"/>
    <w:rsid w:val="00E61068"/>
    <w:rsid w:val="00E927A5"/>
    <w:rsid w:val="00E932D2"/>
    <w:rsid w:val="00EA15D9"/>
    <w:rsid w:val="00EA27F6"/>
    <w:rsid w:val="00ED6BFF"/>
    <w:rsid w:val="00F045B0"/>
    <w:rsid w:val="00F730CA"/>
    <w:rsid w:val="00F75079"/>
    <w:rsid w:val="00FB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015B"/>
  <w15:docId w15:val="{19012D25-14C8-4208-BE10-CCE15C5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paragraph" w:styleId="Revision">
    <w:name w:val="Revision"/>
    <w:hidden/>
    <w:uiPriority w:val="99"/>
    <w:semiHidden/>
    <w:rsid w:val="002734F7"/>
    <w:pPr>
      <w:spacing w:after="0" w:line="240" w:lineRule="auto"/>
    </w:pPr>
    <w:rPr>
      <w:lang w:val="en-CA"/>
    </w:rPr>
  </w:style>
  <w:style w:type="character" w:styleId="CommentReference">
    <w:name w:val="annotation reference"/>
    <w:basedOn w:val="DefaultParagraphFont"/>
    <w:uiPriority w:val="99"/>
    <w:semiHidden/>
    <w:unhideWhenUsed/>
    <w:rsid w:val="002734F7"/>
    <w:rPr>
      <w:sz w:val="16"/>
      <w:szCs w:val="16"/>
    </w:rPr>
  </w:style>
  <w:style w:type="paragraph" w:styleId="CommentText">
    <w:name w:val="annotation text"/>
    <w:basedOn w:val="Normal"/>
    <w:link w:val="CommentTextChar"/>
    <w:uiPriority w:val="99"/>
    <w:unhideWhenUsed/>
    <w:rsid w:val="002734F7"/>
    <w:pPr>
      <w:spacing w:line="240" w:lineRule="auto"/>
    </w:pPr>
    <w:rPr>
      <w:sz w:val="20"/>
      <w:szCs w:val="20"/>
    </w:rPr>
  </w:style>
  <w:style w:type="character" w:customStyle="1" w:styleId="CommentTextChar">
    <w:name w:val="Comment Text Char"/>
    <w:basedOn w:val="DefaultParagraphFont"/>
    <w:link w:val="CommentText"/>
    <w:uiPriority w:val="99"/>
    <w:rsid w:val="002734F7"/>
    <w:rPr>
      <w:sz w:val="20"/>
      <w:szCs w:val="20"/>
      <w:lang w:val="en-CA"/>
    </w:rPr>
  </w:style>
  <w:style w:type="paragraph" w:styleId="CommentSubject">
    <w:name w:val="annotation subject"/>
    <w:basedOn w:val="CommentText"/>
    <w:next w:val="CommentText"/>
    <w:link w:val="CommentSubjectChar"/>
    <w:uiPriority w:val="99"/>
    <w:semiHidden/>
    <w:unhideWhenUsed/>
    <w:rsid w:val="002734F7"/>
    <w:rPr>
      <w:b/>
      <w:bCs/>
    </w:rPr>
  </w:style>
  <w:style w:type="character" w:customStyle="1" w:styleId="CommentSubjectChar">
    <w:name w:val="Comment Subject Char"/>
    <w:basedOn w:val="CommentTextChar"/>
    <w:link w:val="CommentSubject"/>
    <w:uiPriority w:val="99"/>
    <w:semiHidden/>
    <w:rsid w:val="002734F7"/>
    <w:rPr>
      <w:b/>
      <w:bCs/>
      <w:sz w:val="20"/>
      <w:szCs w:val="20"/>
      <w:lang w:val="en-CA"/>
    </w:rPr>
  </w:style>
  <w:style w:type="character" w:styleId="Hyperlink">
    <w:name w:val="Hyperlink"/>
    <w:basedOn w:val="DefaultParagraphFont"/>
    <w:uiPriority w:val="99"/>
    <w:unhideWhenUsed/>
    <w:rsid w:val="00032A35"/>
    <w:rPr>
      <w:color w:val="0000FF" w:themeColor="hyperlink"/>
      <w:u w:val="single"/>
    </w:rPr>
  </w:style>
  <w:style w:type="character" w:styleId="UnresolvedMention">
    <w:name w:val="Unresolved Mention"/>
    <w:basedOn w:val="DefaultParagraphFont"/>
    <w:uiPriority w:val="99"/>
    <w:semiHidden/>
    <w:unhideWhenUsed/>
    <w:rsid w:val="00032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OneDrive%20-%20NT%20Courts\Documents%20-%20SC%20Admin\1%20SUPREME%20COURT%20FILES\JUDGMENT%20-%20TRANSCRIPT\A%20Template%20-%20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Props1.xml><?xml version="1.0" encoding="utf-8"?>
<ds:datastoreItem xmlns:ds="http://schemas.openxmlformats.org/officeDocument/2006/customXml" ds:itemID="{08906CA5-BD51-45A6-9917-7439AF851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FFD4A-292C-4743-919C-C384943DFD1A}">
  <ds:schemaRefs>
    <ds:schemaRef ds:uri="http://schemas.openxmlformats.org/officeDocument/2006/bibliography"/>
  </ds:schemaRefs>
</ds:datastoreItem>
</file>

<file path=customXml/itemProps3.xml><?xml version="1.0" encoding="utf-8"?>
<ds:datastoreItem xmlns:ds="http://schemas.openxmlformats.org/officeDocument/2006/customXml" ds:itemID="{B2E241BA-7334-4FA6-8878-F22D136D7DE6}">
  <ds:schemaRefs>
    <ds:schemaRef ds:uri="http://schemas.microsoft.com/sharepoint/v3/contenttype/forms"/>
  </ds:schemaRefs>
</ds:datastoreItem>
</file>

<file path=customXml/itemProps4.xml><?xml version="1.0" encoding="utf-8"?>
<ds:datastoreItem xmlns:ds="http://schemas.openxmlformats.org/officeDocument/2006/customXml" ds:itemID="{1330BE39-108B-426A-B459-33B999FFE464}">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5</Pages>
  <Words>1068</Words>
  <Characters>6091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Mair</dc:creator>
  <cp:lastModifiedBy>Tyler Vibert</cp:lastModifiedBy>
  <cp:revision>2</cp:revision>
  <cp:lastPrinted>2025-10-02T22:07:00Z</cp:lastPrinted>
  <dcterms:created xsi:type="dcterms:W3CDTF">2025-10-03T14:41:00Z</dcterms:created>
  <dcterms:modified xsi:type="dcterms:W3CDTF">2025-10-03T14:41:00Z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2025-03-12T17:23:21Z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a5dd3600-64f0-441a-953f-01ac7568f7c5</vt:lpwstr>
  </property>
  <property fmtid="{D5CDD505-2E9C-101B-9397-08002B2CF9AE}" pid="10" name="MSIP_Label_defa4170-0d19-0005-0004-bc88714345d2_ContentBits">
    <vt:lpwstr>0</vt:lpwstr>
  </property>
  <property fmtid="{D5CDD505-2E9C-101B-9397-08002B2CF9AE}" pid="11" name="MediaServiceImageTags">
    <vt:lpwstr/>
  </property>
</Properties>
</file>