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C392" w14:textId="39454510" w:rsidR="00B94F8E" w:rsidRPr="00FB6612" w:rsidRDefault="00531BB6" w:rsidP="00B22232">
      <w:pPr>
        <w:spacing w:after="0" w:line="240" w:lineRule="auto"/>
        <w:rPr>
          <w:rFonts w:ascii="Times New Roman" w:hAnsi="Times New Roman" w:cs="Times New Roman"/>
          <w:iCs/>
          <w:sz w:val="24"/>
          <w:szCs w:val="24"/>
        </w:rPr>
      </w:pPr>
      <w:r>
        <w:rPr>
          <w:rFonts w:ascii="Times New Roman" w:hAnsi="Times New Roman" w:cs="Times New Roman"/>
          <w:i/>
          <w:sz w:val="24"/>
          <w:szCs w:val="24"/>
        </w:rPr>
        <w:t>Gig</w:t>
      </w:r>
      <w:r w:rsidR="00FB6612">
        <w:rPr>
          <w:rFonts w:ascii="Times New Roman" w:hAnsi="Times New Roman" w:cs="Times New Roman"/>
          <w:i/>
          <w:sz w:val="24"/>
          <w:szCs w:val="24"/>
        </w:rPr>
        <w:t xml:space="preserve">nac v Hornibrook </w:t>
      </w:r>
      <w:r w:rsidR="00FB6612">
        <w:rPr>
          <w:rFonts w:ascii="Times New Roman" w:hAnsi="Times New Roman" w:cs="Times New Roman"/>
          <w:iCs/>
          <w:sz w:val="24"/>
          <w:szCs w:val="24"/>
        </w:rPr>
        <w:t xml:space="preserve">2025 NWTSC </w:t>
      </w:r>
      <w:r w:rsidR="00765E09">
        <w:rPr>
          <w:rFonts w:ascii="Times New Roman" w:hAnsi="Times New Roman" w:cs="Times New Roman"/>
          <w:iCs/>
          <w:sz w:val="24"/>
          <w:szCs w:val="24"/>
        </w:rPr>
        <w:t>71</w:t>
      </w:r>
    </w:p>
    <w:p w14:paraId="1CF3AC8E" w14:textId="546752FF" w:rsidR="00B94F8E" w:rsidRP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Date: </w:t>
      </w:r>
      <w:bookmarkStart w:id="0" w:name="1"/>
      <w:bookmarkEnd w:id="0"/>
      <w:r w:rsidR="00B94F8E" w:rsidRPr="00B94F8E">
        <w:rPr>
          <w:rFonts w:ascii="Times New Roman" w:hAnsi="Times New Roman" w:cs="Times New Roman"/>
          <w:sz w:val="28"/>
          <w:szCs w:val="28"/>
        </w:rPr>
        <w:t xml:space="preserve"> </w:t>
      </w:r>
      <w:r w:rsidR="00AB581C">
        <w:rPr>
          <w:rFonts w:ascii="Times New Roman" w:hAnsi="Times New Roman" w:cs="Times New Roman"/>
          <w:sz w:val="28"/>
          <w:szCs w:val="28"/>
        </w:rPr>
        <w:t>2025 10 06</w:t>
      </w:r>
    </w:p>
    <w:p w14:paraId="4B2F8872" w14:textId="4FD43C87" w:rsid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Docket: </w:t>
      </w:r>
      <w:bookmarkStart w:id="1" w:name="2"/>
      <w:bookmarkEnd w:id="1"/>
      <w:r w:rsidR="00B94F8E">
        <w:rPr>
          <w:rFonts w:ascii="Times New Roman" w:hAnsi="Times New Roman" w:cs="Times New Roman"/>
          <w:sz w:val="28"/>
          <w:szCs w:val="28"/>
        </w:rPr>
        <w:t xml:space="preserve"> </w:t>
      </w:r>
      <w:r w:rsidR="003079CA">
        <w:rPr>
          <w:rFonts w:ascii="Times New Roman" w:hAnsi="Times New Roman" w:cs="Times New Roman"/>
          <w:sz w:val="28"/>
          <w:szCs w:val="28"/>
        </w:rPr>
        <w:t>S-</w:t>
      </w:r>
      <w:r w:rsidR="00B94F8E" w:rsidRPr="00B94F8E">
        <w:rPr>
          <w:rFonts w:ascii="Times New Roman" w:hAnsi="Times New Roman" w:cs="Times New Roman"/>
          <w:sz w:val="28"/>
          <w:szCs w:val="28"/>
        </w:rPr>
        <w:t>1-</w:t>
      </w:r>
      <w:r w:rsidR="00BD7BF4" w:rsidRPr="00BD7BF4">
        <w:rPr>
          <w:rFonts w:ascii="Times New Roman" w:hAnsi="Times New Roman" w:cs="Times New Roman"/>
          <w:sz w:val="28"/>
          <w:szCs w:val="28"/>
        </w:rPr>
        <w:t xml:space="preserve"> CV-2021-000 162</w:t>
      </w:r>
    </w:p>
    <w:p w14:paraId="7992547A" w14:textId="77777777" w:rsidR="00B94F8E" w:rsidRDefault="00B94F8E" w:rsidP="00B22232">
      <w:pPr>
        <w:spacing w:after="0" w:line="240" w:lineRule="auto"/>
        <w:jc w:val="right"/>
        <w:rPr>
          <w:rFonts w:ascii="Times New Roman" w:hAnsi="Times New Roman" w:cs="Times New Roman"/>
          <w:sz w:val="28"/>
          <w:szCs w:val="28"/>
        </w:rPr>
      </w:pPr>
    </w:p>
    <w:p w14:paraId="7DBFCF11" w14:textId="77777777" w:rsidR="00B94F8E" w:rsidRDefault="00B94F8E" w:rsidP="00B22232">
      <w:pPr>
        <w:spacing w:after="0" w:line="240" w:lineRule="auto"/>
        <w:jc w:val="right"/>
        <w:rPr>
          <w:rFonts w:ascii="Times New Roman" w:hAnsi="Times New Roman" w:cs="Times New Roman"/>
          <w:sz w:val="28"/>
          <w:szCs w:val="28"/>
        </w:rPr>
      </w:pPr>
    </w:p>
    <w:p w14:paraId="4277BE08" w14:textId="77777777" w:rsidR="00784254" w:rsidRPr="00E13AAC" w:rsidRDefault="00784254" w:rsidP="00B22232">
      <w:pPr>
        <w:jc w:val="center"/>
        <w:rPr>
          <w:rFonts w:ascii="Times New Roman" w:hAnsi="Times New Roman" w:cs="Times New Roman"/>
          <w:b/>
          <w:bCs/>
          <w:sz w:val="28"/>
          <w:szCs w:val="28"/>
        </w:rPr>
      </w:pPr>
      <w:r w:rsidRPr="00E13AAC">
        <w:rPr>
          <w:rFonts w:ascii="Times New Roman" w:hAnsi="Times New Roman" w:cs="Times New Roman"/>
          <w:b/>
          <w:bCs/>
          <w:sz w:val="28"/>
          <w:szCs w:val="28"/>
        </w:rPr>
        <w:t>IN THE SUPREME COURT OF THE NORTHWEST TERRITORIES</w:t>
      </w:r>
    </w:p>
    <w:p w14:paraId="06C20051" w14:textId="77777777" w:rsidR="00784254" w:rsidRPr="00E13AAC" w:rsidRDefault="00784254" w:rsidP="00B22232">
      <w:pPr>
        <w:rPr>
          <w:rFonts w:ascii="Times New Roman" w:hAnsi="Times New Roman" w:cs="Times New Roman"/>
          <w:b/>
          <w:bCs/>
          <w:sz w:val="28"/>
          <w:szCs w:val="28"/>
        </w:rPr>
      </w:pPr>
      <w:r w:rsidRPr="00E13AAC">
        <w:rPr>
          <w:rFonts w:ascii="Times New Roman" w:hAnsi="Times New Roman" w:cs="Times New Roman"/>
          <w:b/>
          <w:bCs/>
          <w:sz w:val="28"/>
          <w:szCs w:val="28"/>
        </w:rPr>
        <w:t>BETWEEN:</w:t>
      </w:r>
    </w:p>
    <w:p w14:paraId="13D77128" w14:textId="77777777" w:rsidR="003E7E35" w:rsidRPr="003E7E35" w:rsidRDefault="003E7E35" w:rsidP="003E7E35">
      <w:pPr>
        <w:jc w:val="center"/>
        <w:rPr>
          <w:rFonts w:ascii="Times New Roman" w:hAnsi="Times New Roman" w:cs="Times New Roman"/>
          <w:b/>
          <w:bCs/>
          <w:sz w:val="28"/>
          <w:szCs w:val="28"/>
        </w:rPr>
      </w:pPr>
      <w:r w:rsidRPr="003E7E35">
        <w:rPr>
          <w:rFonts w:ascii="Times New Roman" w:hAnsi="Times New Roman" w:cs="Times New Roman"/>
          <w:b/>
          <w:bCs/>
          <w:sz w:val="28"/>
          <w:szCs w:val="28"/>
        </w:rPr>
        <w:t>KARINE GIGNAC</w:t>
      </w:r>
    </w:p>
    <w:p w14:paraId="4B1CD303" w14:textId="2EBB6C3D" w:rsidR="003E7E35" w:rsidRPr="003E7E35" w:rsidRDefault="00A940B9" w:rsidP="00A940B9">
      <w:pPr>
        <w:jc w:val="right"/>
        <w:rPr>
          <w:rFonts w:ascii="Times New Roman" w:hAnsi="Times New Roman" w:cs="Times New Roman"/>
          <w:b/>
          <w:bCs/>
          <w:sz w:val="28"/>
          <w:szCs w:val="28"/>
        </w:rPr>
      </w:pPr>
      <w:r>
        <w:rPr>
          <w:rFonts w:ascii="Times New Roman" w:hAnsi="Times New Roman" w:cs="Times New Roman"/>
          <w:b/>
          <w:bCs/>
          <w:sz w:val="28"/>
          <w:szCs w:val="28"/>
        </w:rPr>
        <w:t>Plaintiff</w:t>
      </w:r>
      <w:r w:rsidR="006604ED">
        <w:rPr>
          <w:rFonts w:ascii="Times New Roman" w:hAnsi="Times New Roman" w:cs="Times New Roman"/>
          <w:b/>
          <w:bCs/>
          <w:sz w:val="28"/>
          <w:szCs w:val="28"/>
        </w:rPr>
        <w:t>/Respondent</w:t>
      </w:r>
    </w:p>
    <w:p w14:paraId="2BD7FEDF" w14:textId="77777777" w:rsidR="003E7E35" w:rsidRPr="003E7E35" w:rsidRDefault="003E7E35" w:rsidP="003E7E35">
      <w:pPr>
        <w:jc w:val="center"/>
        <w:rPr>
          <w:rFonts w:ascii="Times New Roman" w:hAnsi="Times New Roman" w:cs="Times New Roman"/>
          <w:b/>
          <w:bCs/>
          <w:sz w:val="28"/>
          <w:szCs w:val="28"/>
        </w:rPr>
      </w:pPr>
      <w:r w:rsidRPr="003E7E35">
        <w:rPr>
          <w:rFonts w:ascii="Times New Roman" w:hAnsi="Times New Roman" w:cs="Times New Roman"/>
          <w:b/>
          <w:bCs/>
          <w:sz w:val="28"/>
          <w:szCs w:val="28"/>
        </w:rPr>
        <w:t>-and-</w:t>
      </w:r>
    </w:p>
    <w:p w14:paraId="18597041" w14:textId="77777777" w:rsidR="003E7E35" w:rsidRPr="003E7E35" w:rsidRDefault="003E7E35" w:rsidP="003E7E35">
      <w:pPr>
        <w:jc w:val="center"/>
        <w:rPr>
          <w:rFonts w:ascii="Times New Roman" w:hAnsi="Times New Roman" w:cs="Times New Roman"/>
          <w:b/>
          <w:bCs/>
          <w:sz w:val="28"/>
          <w:szCs w:val="28"/>
        </w:rPr>
      </w:pPr>
    </w:p>
    <w:p w14:paraId="3A342CC7" w14:textId="77777777" w:rsidR="003E7E35" w:rsidRPr="003E7E35" w:rsidRDefault="003E7E35" w:rsidP="003E7E35">
      <w:pPr>
        <w:jc w:val="center"/>
        <w:rPr>
          <w:rFonts w:ascii="Times New Roman" w:hAnsi="Times New Roman" w:cs="Times New Roman"/>
          <w:b/>
          <w:bCs/>
          <w:sz w:val="28"/>
          <w:szCs w:val="28"/>
        </w:rPr>
      </w:pPr>
      <w:r w:rsidRPr="003E7E35">
        <w:rPr>
          <w:rFonts w:ascii="Times New Roman" w:hAnsi="Times New Roman" w:cs="Times New Roman"/>
          <w:b/>
          <w:bCs/>
          <w:sz w:val="28"/>
          <w:szCs w:val="28"/>
        </w:rPr>
        <w:t>DAVID HORNIBROOK</w:t>
      </w:r>
    </w:p>
    <w:p w14:paraId="2F4C66E7" w14:textId="37B924DB" w:rsidR="00784254" w:rsidRDefault="00CC422C" w:rsidP="00143E2F">
      <w:pPr>
        <w:jc w:val="right"/>
        <w:rPr>
          <w:rFonts w:ascii="Times New Roman" w:hAnsi="Times New Roman" w:cs="Times New Roman"/>
          <w:b/>
          <w:bCs/>
          <w:sz w:val="28"/>
          <w:szCs w:val="28"/>
        </w:rPr>
      </w:pPr>
      <w:r>
        <w:rPr>
          <w:rFonts w:ascii="Times New Roman" w:hAnsi="Times New Roman" w:cs="Times New Roman"/>
          <w:b/>
          <w:bCs/>
          <w:sz w:val="28"/>
          <w:szCs w:val="28"/>
        </w:rPr>
        <w:t>Defendant</w:t>
      </w:r>
      <w:r w:rsidR="006604ED">
        <w:rPr>
          <w:rFonts w:ascii="Times New Roman" w:hAnsi="Times New Roman" w:cs="Times New Roman"/>
          <w:b/>
          <w:bCs/>
          <w:sz w:val="28"/>
          <w:szCs w:val="28"/>
        </w:rPr>
        <w:t>/Applicant</w:t>
      </w:r>
    </w:p>
    <w:p w14:paraId="0EC71511" w14:textId="77777777" w:rsidR="006604ED" w:rsidRPr="00E13AAC" w:rsidRDefault="006604ED" w:rsidP="00143E2F">
      <w:pPr>
        <w:jc w:val="right"/>
        <w:rPr>
          <w:rFonts w:ascii="Times New Roman" w:hAnsi="Times New Roman" w:cs="Times New Roman"/>
          <w:b/>
          <w:bCs/>
          <w:sz w:val="28"/>
          <w:szCs w:val="28"/>
        </w:rPr>
      </w:pPr>
    </w:p>
    <w:p w14:paraId="21147CFE" w14:textId="77777777" w:rsidR="00784254" w:rsidRDefault="00784254" w:rsidP="00B22232">
      <w:pPr>
        <w:jc w:val="center"/>
        <w:rPr>
          <w:rFonts w:ascii="Times New Roman" w:hAnsi="Times New Roman" w:cs="Times New Roman"/>
          <w:b/>
          <w:bCs/>
          <w:sz w:val="28"/>
          <w:szCs w:val="28"/>
        </w:rPr>
      </w:pPr>
      <w:r w:rsidRPr="00E13AAC">
        <w:rPr>
          <w:rFonts w:ascii="Times New Roman" w:hAnsi="Times New Roman" w:cs="Times New Roman"/>
          <w:b/>
          <w:bCs/>
          <w:sz w:val="28"/>
          <w:szCs w:val="28"/>
        </w:rPr>
        <w:t>MEMORANDUM OF JUDGMENT</w:t>
      </w:r>
    </w:p>
    <w:p w14:paraId="41281DDB" w14:textId="77777777" w:rsidR="00376017" w:rsidRPr="00E13AAC" w:rsidRDefault="00376017" w:rsidP="00B22232">
      <w:pPr>
        <w:jc w:val="center"/>
        <w:rPr>
          <w:rFonts w:ascii="Times New Roman" w:hAnsi="Times New Roman" w:cs="Times New Roman"/>
          <w:b/>
          <w:bCs/>
          <w:sz w:val="28"/>
          <w:szCs w:val="28"/>
        </w:rPr>
      </w:pPr>
    </w:p>
    <w:p w14:paraId="7FE17D51" w14:textId="3B7D1616" w:rsidR="00C9430E" w:rsidRPr="00C9430E" w:rsidRDefault="00C9430E" w:rsidP="00C9430E">
      <w:pPr>
        <w:pStyle w:val="ListParagraph"/>
        <w:spacing w:after="0" w:line="240" w:lineRule="auto"/>
        <w:ind w:left="0"/>
        <w:rPr>
          <w:rFonts w:ascii="Times New Roman" w:hAnsi="Times New Roman" w:cs="Times New Roman"/>
          <w:b/>
          <w:bCs/>
          <w:sz w:val="28"/>
          <w:szCs w:val="28"/>
        </w:rPr>
      </w:pPr>
      <w:r w:rsidRPr="00C9430E">
        <w:rPr>
          <w:rFonts w:ascii="Times New Roman" w:hAnsi="Times New Roman" w:cs="Times New Roman"/>
          <w:b/>
          <w:bCs/>
          <w:sz w:val="28"/>
          <w:szCs w:val="28"/>
        </w:rPr>
        <w:t xml:space="preserve">INTRODUCTION </w:t>
      </w:r>
      <w:r>
        <w:rPr>
          <w:rFonts w:ascii="Times New Roman" w:hAnsi="Times New Roman" w:cs="Times New Roman"/>
          <w:b/>
          <w:bCs/>
          <w:sz w:val="28"/>
          <w:szCs w:val="28"/>
        </w:rPr>
        <w:t xml:space="preserve">AND </w:t>
      </w:r>
      <w:r w:rsidRPr="00C9430E">
        <w:rPr>
          <w:rFonts w:ascii="Times New Roman" w:hAnsi="Times New Roman" w:cs="Times New Roman"/>
          <w:b/>
          <w:bCs/>
          <w:sz w:val="28"/>
          <w:szCs w:val="28"/>
        </w:rPr>
        <w:t>OVERVIEW</w:t>
      </w:r>
    </w:p>
    <w:p w14:paraId="54E65620" w14:textId="77777777" w:rsidR="00C9430E" w:rsidRDefault="00C9430E" w:rsidP="00B22232">
      <w:pPr>
        <w:pStyle w:val="ListParagraph"/>
        <w:spacing w:after="0" w:line="240" w:lineRule="auto"/>
        <w:ind w:left="0"/>
        <w:jc w:val="center"/>
        <w:rPr>
          <w:rFonts w:ascii="Times New Roman" w:hAnsi="Times New Roman" w:cs="Times New Roman"/>
          <w:sz w:val="28"/>
          <w:szCs w:val="28"/>
        </w:rPr>
      </w:pPr>
    </w:p>
    <w:p w14:paraId="5B2708EC" w14:textId="6D69CED3" w:rsidR="001E12E3" w:rsidRPr="001E12E3" w:rsidRDefault="001E12E3" w:rsidP="00376017">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The Defendant, David Hornibrook (“the Defendant”) seeks an award of costs on a solicitor-and-client basis as the successful party on his application to set aside a noting in default, and to permit him to file a defence and counterclaim in litigation instituted by the Plaintiff, Karine Gignac (“the Plaintiff”). This application was heard on August 14, 2024, at Yellowknife, Northwest Territories. During oral argument, counsel for the Plaintiff (Respondent on this application) consented to the setting aside of the Noting in Default and withdrew her opposition to the Defendant filing a defence and counterclaim.</w:t>
      </w:r>
    </w:p>
    <w:p w14:paraId="7E0D9FB1" w14:textId="283A2068" w:rsidR="001E12E3" w:rsidRDefault="001E12E3" w:rsidP="00376017">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The parties made extensive oral submissions on the issue of costs. At the conclusion of the hearing, I reserved my decision. These are my reasons for decision.</w:t>
      </w:r>
    </w:p>
    <w:p w14:paraId="6BB4495A" w14:textId="77777777" w:rsidR="001E12E3" w:rsidRPr="001E12E3" w:rsidRDefault="001E12E3" w:rsidP="00376017">
      <w:pPr>
        <w:pStyle w:val="ListParagraph"/>
        <w:spacing w:after="240" w:line="240" w:lineRule="auto"/>
        <w:ind w:left="0"/>
        <w:jc w:val="both"/>
        <w:rPr>
          <w:rFonts w:ascii="Times New Roman" w:hAnsi="Times New Roman" w:cs="Times New Roman"/>
          <w:b/>
          <w:bCs/>
          <w:sz w:val="28"/>
          <w:szCs w:val="28"/>
        </w:rPr>
      </w:pPr>
      <w:r w:rsidRPr="001E12E3">
        <w:rPr>
          <w:rFonts w:ascii="Times New Roman" w:hAnsi="Times New Roman" w:cs="Times New Roman"/>
          <w:b/>
          <w:bCs/>
          <w:sz w:val="28"/>
          <w:szCs w:val="28"/>
        </w:rPr>
        <w:lastRenderedPageBreak/>
        <w:t>FACTS</w:t>
      </w:r>
    </w:p>
    <w:p w14:paraId="7E6EEBDD" w14:textId="77777777" w:rsidR="001E12E3" w:rsidRPr="001E12E3" w:rsidRDefault="001E12E3" w:rsidP="00376017">
      <w:pPr>
        <w:pStyle w:val="ListParagraph"/>
        <w:spacing w:after="240" w:line="240" w:lineRule="auto"/>
        <w:ind w:left="0"/>
        <w:jc w:val="both"/>
        <w:rPr>
          <w:rFonts w:ascii="Times New Roman" w:hAnsi="Times New Roman" w:cs="Times New Roman"/>
          <w:b/>
          <w:bCs/>
          <w:sz w:val="28"/>
          <w:szCs w:val="28"/>
        </w:rPr>
      </w:pPr>
    </w:p>
    <w:p w14:paraId="53231C8D" w14:textId="7D72528C" w:rsidR="001E12E3" w:rsidRPr="001E12E3" w:rsidRDefault="001E12E3" w:rsidP="00376017">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The background to this matter is complex. Given the Defendant’s request for solicitor-client costs, it is necessary to set out the history of these proceedings in some detail.</w:t>
      </w:r>
    </w:p>
    <w:p w14:paraId="1753D778" w14:textId="00C01BEC" w:rsidR="001E12E3" w:rsidRPr="001E12E3" w:rsidRDefault="001E12E3" w:rsidP="00376017">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On June 25, 2021, the Plaintiff filed a Statement of Claim in the Supreme Court of the NWT alleging sexual battery by the Defendant. The alleged sexual battery consists of several sexual acts occurring between October 2018, and October 2020. The Plaintiff seeks general and punitive, and/or aggravated damages, as well as post-judgment interest and costs.</w:t>
      </w:r>
    </w:p>
    <w:p w14:paraId="24B4EF95" w14:textId="5745C54D" w:rsidR="001E12E3" w:rsidRPr="001E12E3" w:rsidRDefault="001E12E3" w:rsidP="00376017">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The Defendant was served with the Statement of Claim on December 21, 2023. Prior to service, the Plaintiff obtained </w:t>
      </w:r>
      <w:r w:rsidRPr="001E12E3">
        <w:rPr>
          <w:rFonts w:ascii="Times New Roman" w:hAnsi="Times New Roman" w:cs="Times New Roman"/>
          <w:i/>
          <w:iCs/>
          <w:sz w:val="28"/>
          <w:szCs w:val="28"/>
        </w:rPr>
        <w:t>ex parte</w:t>
      </w:r>
      <w:r w:rsidRPr="001E12E3">
        <w:rPr>
          <w:rFonts w:ascii="Times New Roman" w:hAnsi="Times New Roman" w:cs="Times New Roman"/>
          <w:sz w:val="28"/>
          <w:szCs w:val="28"/>
        </w:rPr>
        <w:t xml:space="preserve"> orders on June 24, 2022, December 12, 2022, and June 29, 2023, extending the time for service. The June 29, 2023, order gave the Plaintiff until December 25, 2023, to effect service.</w:t>
      </w:r>
    </w:p>
    <w:p w14:paraId="6281116F" w14:textId="2BA223CD" w:rsidR="001E12E3" w:rsidRPr="001E12E3" w:rsidRDefault="001E12E3" w:rsidP="00376017">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The Defendant had previously been charged with four counts of sexual assault and one count of assault relating to the events alleged in the Statement of Claim. A replacement indictment was subsequently filed alleged two counts of sexual assault and one count of assault. Following the resolution of a series of pre-trial applications, the Crown filed a stay of proceedings on October 11, 2023. </w:t>
      </w:r>
    </w:p>
    <w:p w14:paraId="2858FC4C" w14:textId="5F8374A8" w:rsidR="001E12E3" w:rsidRPr="001E12E3" w:rsidRDefault="001E12E3" w:rsidP="00376017">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Counsel for the Defendant, previously obtained a Restricted Appearance Certificate (“RAC”) to represent the Defendant in relation to the criminal</w:t>
      </w:r>
      <w:r w:rsidR="009756B3">
        <w:rPr>
          <w:rFonts w:ascii="Times New Roman" w:hAnsi="Times New Roman" w:cs="Times New Roman"/>
          <w:sz w:val="28"/>
          <w:szCs w:val="28"/>
        </w:rPr>
        <w:t>.</w:t>
      </w:r>
      <w:r w:rsidRPr="001E12E3">
        <w:rPr>
          <w:rFonts w:ascii="Times New Roman" w:hAnsi="Times New Roman" w:cs="Times New Roman"/>
          <w:sz w:val="28"/>
          <w:szCs w:val="28"/>
        </w:rPr>
        <w:t xml:space="preserve"> He is a non-resident lawyer practising periodically in the Northwest Territories. Although the certificate itself is not before the Court, Exhibit “A” to the Affidavit of Anna Wiebe, a student employed by Defendant’s counsel, is a notice from the Law Society dated November 17, 2023, advising that his Restricted Appearance Certificate had expired on October 14, 2023.</w:t>
      </w:r>
    </w:p>
    <w:p w14:paraId="6E54846C" w14:textId="4B052335" w:rsidR="001E12E3" w:rsidRPr="001E12E3" w:rsidRDefault="001E12E3" w:rsidP="00376017">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On January 4, 2024, Defendant’s counsel sent an email to the Plaintiff’s Yellowknife-based counsel, advising that he “anticipate[d]” being retained by the Defendant to represent him on this matter”. He continued: “[G]</w:t>
      </w:r>
      <w:proofErr w:type="spellStart"/>
      <w:r w:rsidRPr="001E12E3">
        <w:rPr>
          <w:rFonts w:ascii="Times New Roman" w:hAnsi="Times New Roman" w:cs="Times New Roman"/>
          <w:sz w:val="28"/>
          <w:szCs w:val="28"/>
        </w:rPr>
        <w:t>iven</w:t>
      </w:r>
      <w:proofErr w:type="spellEnd"/>
      <w:r w:rsidRPr="001E12E3">
        <w:rPr>
          <w:rFonts w:ascii="Times New Roman" w:hAnsi="Times New Roman" w:cs="Times New Roman"/>
          <w:sz w:val="28"/>
          <w:szCs w:val="28"/>
        </w:rPr>
        <w:t xml:space="preserve"> that we’re just coming out of the holiday season, I seek your indulgence for some time to allow me to perfect my retainer, reinstate my RAC, and file a Statement of Defence.”</w:t>
      </w:r>
    </w:p>
    <w:p w14:paraId="3B692071" w14:textId="77777777" w:rsidR="001E12E3" w:rsidRPr="001E12E3" w:rsidRDefault="001E12E3" w:rsidP="001E12E3">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lastRenderedPageBreak/>
        <w:t>Plaintiff’s counsel responded on January 8, 2024, stating in part:</w:t>
      </w:r>
    </w:p>
    <w:p w14:paraId="02944E92" w14:textId="306A52BA" w:rsidR="001E12E3" w:rsidRPr="001E12E3" w:rsidRDefault="001E12E3" w:rsidP="006B4CBB">
      <w:pPr>
        <w:pStyle w:val="ListParagraph"/>
        <w:spacing w:after="240"/>
        <w:ind w:left="567" w:right="571"/>
        <w:contextualSpacing w:val="0"/>
        <w:jc w:val="both"/>
        <w:rPr>
          <w:rFonts w:ascii="Times New Roman" w:hAnsi="Times New Roman" w:cs="Times New Roman"/>
          <w:sz w:val="24"/>
          <w:szCs w:val="24"/>
        </w:rPr>
      </w:pPr>
      <w:r w:rsidRPr="001E12E3">
        <w:rPr>
          <w:rFonts w:ascii="Times New Roman" w:hAnsi="Times New Roman" w:cs="Times New Roman"/>
          <w:sz w:val="24"/>
          <w:szCs w:val="24"/>
        </w:rPr>
        <w:t>I have received instructions to grant an extension for the Defendant to file and serve the Statement of Defence to January 31, 2024, or if you have not received your Restricted Appearance Certificate by that date, then three business days after you receive your RAC for this matter from the Law Society of the Northwest Territories (emphasis added).</w:t>
      </w:r>
    </w:p>
    <w:p w14:paraId="507E752D" w14:textId="43BC2598" w:rsidR="001E12E3" w:rsidRPr="001E12E3" w:rsidRDefault="001E12E3" w:rsidP="006B4CBB">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On January 21, 2024, Plaintiff’s counsel emailed Defendant’s counsel to inquire about the status of his RAC application, noting that the Law Society’s process “can take a while to be processed”. The following day, Defendant’s counsel provided further information that the Law Society’s computer system had been experiencing issues, creating additional delays. Defendant’s counsel also related that the Law Society “indicates that I need to </w:t>
      </w:r>
      <w:r w:rsidRPr="00C55E64">
        <w:rPr>
          <w:rFonts w:ascii="Times New Roman" w:hAnsi="Times New Roman" w:cs="Times New Roman"/>
          <w:sz w:val="28"/>
          <w:szCs w:val="28"/>
        </w:rPr>
        <w:t>‘reapply</w:t>
      </w:r>
      <w:r w:rsidR="00C55E64" w:rsidRPr="00C55E64">
        <w:rPr>
          <w:rFonts w:ascii="Times New Roman" w:hAnsi="Times New Roman" w:cs="Times New Roman"/>
          <w:sz w:val="28"/>
          <w:szCs w:val="28"/>
        </w:rPr>
        <w:t>’</w:t>
      </w:r>
      <w:r w:rsidRPr="00A11726">
        <w:rPr>
          <w:rFonts w:ascii="Times New Roman" w:hAnsi="Times New Roman" w:cs="Times New Roman"/>
          <w:sz w:val="28"/>
          <w:szCs w:val="28"/>
        </w:rPr>
        <w:t>,</w:t>
      </w:r>
      <w:r w:rsidRPr="001E12E3">
        <w:rPr>
          <w:rFonts w:ascii="Times New Roman" w:hAnsi="Times New Roman" w:cs="Times New Roman"/>
          <w:sz w:val="28"/>
          <w:szCs w:val="28"/>
        </w:rPr>
        <w:t xml:space="preserve"> and that I need to provide certificates of standing/insurance by February 22 (because they had issues with computer and notices were not being sent out to advise of reapplication deadlines.”</w:t>
      </w:r>
    </w:p>
    <w:p w14:paraId="1E622F1B" w14:textId="77777777" w:rsidR="001E12E3" w:rsidRPr="001E12E3" w:rsidRDefault="001E12E3" w:rsidP="001E12E3">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 On February 7, 2024, Plaintiff’s counsel sent a further email to Defendant’s counsel stating: </w:t>
      </w:r>
    </w:p>
    <w:p w14:paraId="57B550A5" w14:textId="77777777" w:rsidR="001E12E3" w:rsidRPr="001E12E3" w:rsidRDefault="001E12E3" w:rsidP="00C45E18">
      <w:pPr>
        <w:pStyle w:val="ListParagraph"/>
        <w:spacing w:after="240" w:line="240" w:lineRule="auto"/>
        <w:ind w:left="567" w:right="571"/>
        <w:contextualSpacing w:val="0"/>
        <w:jc w:val="both"/>
        <w:rPr>
          <w:rFonts w:ascii="Times New Roman" w:hAnsi="Times New Roman" w:cs="Times New Roman"/>
          <w:sz w:val="24"/>
          <w:szCs w:val="24"/>
        </w:rPr>
      </w:pPr>
      <w:r w:rsidRPr="001E12E3">
        <w:rPr>
          <w:rFonts w:ascii="Times New Roman" w:hAnsi="Times New Roman" w:cs="Times New Roman"/>
          <w:sz w:val="24"/>
          <w:szCs w:val="24"/>
        </w:rPr>
        <w:t>Thank you for the update on your reapplication for a RAC.</w:t>
      </w:r>
    </w:p>
    <w:p w14:paraId="18C0ABFB" w14:textId="77777777" w:rsidR="00FA6DA2" w:rsidRDefault="001E12E3" w:rsidP="00904063">
      <w:pPr>
        <w:pStyle w:val="ListParagraph"/>
        <w:spacing w:after="240"/>
        <w:ind w:left="567" w:right="571"/>
        <w:contextualSpacing w:val="0"/>
        <w:jc w:val="both"/>
        <w:rPr>
          <w:rFonts w:ascii="Times New Roman" w:hAnsi="Times New Roman" w:cs="Times New Roman"/>
          <w:sz w:val="24"/>
          <w:szCs w:val="24"/>
        </w:rPr>
      </w:pPr>
      <w:r w:rsidRPr="001E12E3">
        <w:rPr>
          <w:rFonts w:ascii="Times New Roman" w:hAnsi="Times New Roman" w:cs="Times New Roman"/>
          <w:sz w:val="24"/>
          <w:szCs w:val="24"/>
        </w:rPr>
        <w:t>My client has instructed me to advise that the Statement of Defence should be filed and served by the end of business on February 29, 2024, after which time we will note your client in default and apply for default judgment.</w:t>
      </w:r>
    </w:p>
    <w:p w14:paraId="0CD38CE5" w14:textId="57B2059C" w:rsidR="001E12E3" w:rsidRPr="00FA6DA2" w:rsidRDefault="001E12E3" w:rsidP="00AC5CD8">
      <w:pPr>
        <w:spacing w:after="0"/>
        <w:ind w:right="571"/>
        <w:jc w:val="both"/>
        <w:rPr>
          <w:rFonts w:ascii="Times New Roman" w:hAnsi="Times New Roman" w:cs="Times New Roman"/>
          <w:sz w:val="24"/>
          <w:szCs w:val="24"/>
        </w:rPr>
      </w:pPr>
      <w:r w:rsidRPr="00FA6DA2">
        <w:rPr>
          <w:rFonts w:ascii="Times New Roman" w:hAnsi="Times New Roman" w:cs="Times New Roman"/>
          <w:sz w:val="28"/>
          <w:szCs w:val="28"/>
        </w:rPr>
        <w:t>No explanation was provided for the selection of February 29</w:t>
      </w:r>
      <w:r w:rsidRPr="00FA6DA2">
        <w:rPr>
          <w:rFonts w:ascii="Times New Roman" w:hAnsi="Times New Roman" w:cs="Times New Roman"/>
          <w:sz w:val="28"/>
          <w:szCs w:val="28"/>
          <w:vertAlign w:val="superscript"/>
        </w:rPr>
        <w:t>th</w:t>
      </w:r>
      <w:proofErr w:type="gramStart"/>
      <w:r w:rsidR="00D01318">
        <w:rPr>
          <w:rFonts w:ascii="Times New Roman" w:hAnsi="Times New Roman" w:cs="Times New Roman"/>
          <w:sz w:val="28"/>
          <w:szCs w:val="28"/>
          <w:vertAlign w:val="superscript"/>
        </w:rPr>
        <w:t xml:space="preserve"> </w:t>
      </w:r>
      <w:r w:rsidR="00AC5CD8">
        <w:rPr>
          <w:rFonts w:ascii="Times New Roman" w:hAnsi="Times New Roman" w:cs="Times New Roman"/>
          <w:sz w:val="28"/>
          <w:szCs w:val="28"/>
        </w:rPr>
        <w:t>2024</w:t>
      </w:r>
      <w:proofErr w:type="gramEnd"/>
      <w:r w:rsidRPr="00FA6DA2">
        <w:rPr>
          <w:rFonts w:ascii="Times New Roman" w:hAnsi="Times New Roman" w:cs="Times New Roman"/>
          <w:sz w:val="28"/>
          <w:szCs w:val="28"/>
        </w:rPr>
        <w:t>. It appears, however, that the date coincided with the week following the Law Society’s February 22</w:t>
      </w:r>
      <w:r w:rsidRPr="00FA6DA2">
        <w:rPr>
          <w:rFonts w:ascii="Times New Roman" w:hAnsi="Times New Roman" w:cs="Times New Roman"/>
          <w:sz w:val="28"/>
          <w:szCs w:val="28"/>
          <w:vertAlign w:val="superscript"/>
        </w:rPr>
        <w:t>nd</w:t>
      </w:r>
      <w:r w:rsidRPr="00FA6DA2">
        <w:rPr>
          <w:rFonts w:ascii="Times New Roman" w:hAnsi="Times New Roman" w:cs="Times New Roman"/>
          <w:sz w:val="28"/>
          <w:szCs w:val="28"/>
        </w:rPr>
        <w:t xml:space="preserve"> deadline for supporting materials. </w:t>
      </w:r>
    </w:p>
    <w:p w14:paraId="30D0BC4A" w14:textId="77777777" w:rsidR="00C45E18" w:rsidRPr="001E12E3" w:rsidRDefault="00C45E18" w:rsidP="00C45E18">
      <w:pPr>
        <w:pStyle w:val="ListParagraph"/>
        <w:spacing w:after="240" w:line="240" w:lineRule="auto"/>
        <w:ind w:left="0"/>
        <w:jc w:val="both"/>
        <w:rPr>
          <w:rFonts w:ascii="Times New Roman" w:hAnsi="Times New Roman" w:cs="Times New Roman"/>
          <w:sz w:val="28"/>
          <w:szCs w:val="28"/>
        </w:rPr>
      </w:pPr>
    </w:p>
    <w:p w14:paraId="2AD0E9A9" w14:textId="77777777" w:rsidR="001E12E3" w:rsidRPr="001E12E3" w:rsidRDefault="001E12E3" w:rsidP="001E12E3">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Defendant’s counsel responded on February 28, 2024, requesting “another couple weeks indulgence” on the basis that “I don’t have my RAC yet and if Mr. Hornibrook has to file as a self-rep, it’s just going to cause additional headaches for everyone.” Plaintiff’s counsel responded the following day, stating:</w:t>
      </w:r>
    </w:p>
    <w:p w14:paraId="187DCF46" w14:textId="5A352042" w:rsidR="001E12E3" w:rsidRPr="001E12E3" w:rsidRDefault="001E12E3" w:rsidP="00FA6DA2">
      <w:pPr>
        <w:pStyle w:val="ListParagraph"/>
        <w:spacing w:after="240"/>
        <w:ind w:left="567" w:right="571"/>
        <w:contextualSpacing w:val="0"/>
        <w:jc w:val="both"/>
        <w:rPr>
          <w:rFonts w:ascii="Times New Roman" w:hAnsi="Times New Roman" w:cs="Times New Roman"/>
          <w:sz w:val="24"/>
          <w:szCs w:val="24"/>
        </w:rPr>
      </w:pPr>
      <w:r w:rsidRPr="001E12E3">
        <w:rPr>
          <w:rFonts w:ascii="Times New Roman" w:hAnsi="Times New Roman" w:cs="Times New Roman"/>
          <w:sz w:val="24"/>
          <w:szCs w:val="24"/>
        </w:rPr>
        <w:t>My client is not happy with this request. She has been very patient, as it has been over two months since your client was served with the Statement of Claim. She appreciates that there may be delays in getting your RAC, but there are</w:t>
      </w:r>
      <w:r w:rsidRPr="001E12E3">
        <w:rPr>
          <w:rFonts w:ascii="Times New Roman" w:hAnsi="Times New Roman" w:cs="Times New Roman"/>
          <w:sz w:val="28"/>
          <w:szCs w:val="28"/>
        </w:rPr>
        <w:t xml:space="preserve"> </w:t>
      </w:r>
      <w:r w:rsidRPr="00EE6E60">
        <w:rPr>
          <w:rFonts w:ascii="Times New Roman" w:hAnsi="Times New Roman" w:cs="Times New Roman"/>
          <w:sz w:val="24"/>
          <w:szCs w:val="24"/>
        </w:rPr>
        <w:t>other options available</w:t>
      </w:r>
      <w:r w:rsidRPr="001E12E3">
        <w:rPr>
          <w:rFonts w:ascii="Times New Roman" w:hAnsi="Times New Roman" w:cs="Times New Roman"/>
          <w:sz w:val="28"/>
          <w:szCs w:val="28"/>
        </w:rPr>
        <w:t xml:space="preserve"> </w:t>
      </w:r>
      <w:r w:rsidRPr="001E12E3">
        <w:rPr>
          <w:rFonts w:ascii="Times New Roman" w:hAnsi="Times New Roman" w:cs="Times New Roman"/>
          <w:sz w:val="24"/>
          <w:szCs w:val="24"/>
        </w:rPr>
        <w:t xml:space="preserve">in </w:t>
      </w:r>
      <w:r w:rsidRPr="001E12E3">
        <w:rPr>
          <w:rFonts w:ascii="Times New Roman" w:hAnsi="Times New Roman" w:cs="Times New Roman"/>
          <w:sz w:val="24"/>
          <w:szCs w:val="24"/>
        </w:rPr>
        <w:lastRenderedPageBreak/>
        <w:t xml:space="preserve">the meantime. </w:t>
      </w:r>
      <w:proofErr w:type="gramStart"/>
      <w:r w:rsidRPr="001E12E3">
        <w:rPr>
          <w:rFonts w:ascii="Times New Roman" w:hAnsi="Times New Roman" w:cs="Times New Roman"/>
          <w:sz w:val="24"/>
          <w:szCs w:val="24"/>
        </w:rPr>
        <w:t xml:space="preserve">In particular, Mr. </w:t>
      </w:r>
      <w:r w:rsidR="0043193B" w:rsidRPr="001E12E3">
        <w:rPr>
          <w:rFonts w:ascii="Times New Roman" w:hAnsi="Times New Roman" w:cs="Times New Roman"/>
          <w:sz w:val="24"/>
          <w:szCs w:val="24"/>
        </w:rPr>
        <w:t>Hornibrook</w:t>
      </w:r>
      <w:proofErr w:type="gramEnd"/>
      <w:r w:rsidRPr="001E12E3">
        <w:rPr>
          <w:rFonts w:ascii="Times New Roman" w:hAnsi="Times New Roman" w:cs="Times New Roman"/>
          <w:sz w:val="24"/>
          <w:szCs w:val="24"/>
        </w:rPr>
        <w:t xml:space="preserve"> could retain a local agent to file the Statement of Defence.</w:t>
      </w:r>
    </w:p>
    <w:p w14:paraId="74E2E415" w14:textId="035B436A" w:rsidR="001E12E3" w:rsidRPr="001E12E3" w:rsidRDefault="001E12E3" w:rsidP="00392087">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Plaintiff’s counsel then asked if an unfiled Statement of Defence could be sent to him that day, stating: </w:t>
      </w:r>
    </w:p>
    <w:p w14:paraId="3A406F48" w14:textId="1C0684E3" w:rsidR="001E12E3" w:rsidRPr="001E12E3" w:rsidRDefault="001E12E3" w:rsidP="00392087">
      <w:pPr>
        <w:pStyle w:val="ListParagraph"/>
        <w:spacing w:after="240"/>
        <w:ind w:left="567" w:right="571"/>
        <w:contextualSpacing w:val="0"/>
        <w:jc w:val="both"/>
        <w:rPr>
          <w:rFonts w:ascii="Times New Roman" w:hAnsi="Times New Roman" w:cs="Times New Roman"/>
          <w:sz w:val="24"/>
          <w:szCs w:val="24"/>
        </w:rPr>
      </w:pPr>
      <w:r w:rsidRPr="001E12E3">
        <w:rPr>
          <w:rFonts w:ascii="Times New Roman" w:hAnsi="Times New Roman" w:cs="Times New Roman"/>
          <w:sz w:val="24"/>
          <w:szCs w:val="24"/>
        </w:rPr>
        <w:t xml:space="preserve">I will not take issue with you not having a RAC. If you could send me the unfiled Statement of Defence and undertake to file it once you have your RAC, I believe that would be a reasonable solution. Please let me know right away, because I have instructions to note your client in </w:t>
      </w:r>
      <w:r w:rsidR="00E4373D" w:rsidRPr="001E12E3">
        <w:rPr>
          <w:rFonts w:ascii="Times New Roman" w:hAnsi="Times New Roman" w:cs="Times New Roman"/>
          <w:sz w:val="24"/>
          <w:szCs w:val="24"/>
        </w:rPr>
        <w:t>default” (</w:t>
      </w:r>
      <w:r w:rsidRPr="001E12E3">
        <w:rPr>
          <w:rFonts w:ascii="Times New Roman" w:hAnsi="Times New Roman" w:cs="Times New Roman"/>
          <w:sz w:val="24"/>
          <w:szCs w:val="24"/>
        </w:rPr>
        <w:t>emphasis added).</w:t>
      </w:r>
    </w:p>
    <w:p w14:paraId="1368D31D" w14:textId="4D8C2A21" w:rsidR="001E12E3" w:rsidRPr="001E12E3" w:rsidRDefault="001E12E3" w:rsidP="008918DD">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On March 1, 2024, Defendant’s counsel provided an unfiled Statement of Defence and Counterclaim to Plaintiff’s counsel in which the Defendant vigorously denied the allegations of sexual battery and maintained that he at no time touched the Plaintiff, either sexually or otherwise, without her consent. The Defendant also denied that the Plaintiff suffered any personal injuries related to the parties’ sexual encounters and, as such, denied entitlement to damages. In addition, by way of Counterclaim, the Defendant sought damages from the Plaintiff for abuse of process, alleging she fabricated similar allegations of sexual assault to the RCMP on March 16, 2021, which led to criminal charges ultimately stayed by the Crown on October 11, 2023. </w:t>
      </w:r>
    </w:p>
    <w:p w14:paraId="09B04283" w14:textId="0882A998" w:rsidR="001E12E3" w:rsidRPr="001E12E3" w:rsidRDefault="001E12E3" w:rsidP="008918DD">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On the same date, Plaintiff’s counsel sent an email to Defendant’s counsel acknowledging receipt of the unfiled pleadings.</w:t>
      </w:r>
    </w:p>
    <w:p w14:paraId="3AEF0358" w14:textId="0E83CA09" w:rsidR="001E12E3" w:rsidRPr="001E12E3" w:rsidRDefault="001E12E3" w:rsidP="008918DD">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On March 27, 2024, Plaintiff’s counsel sent a further email to Defendant’s counsel inquiring about the status of the filing of the Statement of Defence and Counterclaim. When he did not receive a response within approximately one week, he sent a direction to the Court on April 4, 2024, to note Mr. Hornibrook in default for failing to file a Statement of Defence or appearance. On the same date, Plaintiff’s counsel sent a letter to Defendant’s counsel enclosing a copy of the Noting in Default and providing his rationale for taking this step.</w:t>
      </w:r>
    </w:p>
    <w:p w14:paraId="7E6007DA" w14:textId="4C445BD2" w:rsidR="001E12E3" w:rsidRPr="001E12E3" w:rsidRDefault="001E12E3" w:rsidP="001E12E3">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 Following receipt of Plaintiff’s counsel’s April 4</w:t>
      </w:r>
      <w:r w:rsidRPr="001E12E3">
        <w:rPr>
          <w:rFonts w:ascii="Times New Roman" w:hAnsi="Times New Roman" w:cs="Times New Roman"/>
          <w:sz w:val="28"/>
          <w:szCs w:val="28"/>
          <w:vertAlign w:val="superscript"/>
        </w:rPr>
        <w:t>th</w:t>
      </w:r>
      <w:r w:rsidRPr="001E12E3">
        <w:rPr>
          <w:rFonts w:ascii="Times New Roman" w:hAnsi="Times New Roman" w:cs="Times New Roman"/>
          <w:sz w:val="28"/>
          <w:szCs w:val="28"/>
        </w:rPr>
        <w:t xml:space="preserve"> correspondence, counsel exchanged a series of emails on April 24, 2024. Defendant’s counsel wrote: “[C]an we please talk about this? The Law Society required me to re-apply and not simply renew.” He further explained that he did not have an RAC for the civil matter, had attempted to renew his existing RAC for the criminal matter, but the Law Society </w:t>
      </w:r>
      <w:r w:rsidRPr="001E12E3">
        <w:rPr>
          <w:rFonts w:ascii="Times New Roman" w:hAnsi="Times New Roman" w:cs="Times New Roman"/>
          <w:sz w:val="28"/>
          <w:szCs w:val="28"/>
        </w:rPr>
        <w:lastRenderedPageBreak/>
        <w:t>required him to file a new application. At the same time, he also noted that Mr. Hornibrook could file the Statement of Defence himself. Plaintiff’s counsel responded:</w:t>
      </w:r>
    </w:p>
    <w:p w14:paraId="5C0B23FE" w14:textId="503E7B15" w:rsidR="001E12E3" w:rsidRDefault="001E12E3" w:rsidP="008918DD">
      <w:pPr>
        <w:pStyle w:val="ListParagraph"/>
        <w:spacing w:after="240"/>
        <w:ind w:left="567" w:right="571"/>
        <w:jc w:val="both"/>
        <w:rPr>
          <w:rFonts w:ascii="Times New Roman" w:hAnsi="Times New Roman" w:cs="Times New Roman"/>
          <w:sz w:val="24"/>
          <w:szCs w:val="24"/>
        </w:rPr>
      </w:pPr>
      <w:r w:rsidRPr="001E12E3">
        <w:rPr>
          <w:rFonts w:ascii="Times New Roman" w:hAnsi="Times New Roman" w:cs="Times New Roman"/>
          <w:sz w:val="24"/>
          <w:szCs w:val="24"/>
        </w:rPr>
        <w:t xml:space="preserve">My client is not able to take any further steps in the action until the Statement of Defence and Counterclaim is filed. It’s been three months you’ve known that you’ll have to apply for a RAC. The LSNT advises it takes two weeks to process a RAC application. The Law Society of Ontario says it takes 10 business days to process a Certificate of Standing. I’m not sure why you haven’t got a RAC by now. As I explained in the letter, my client has been very patient, but the case needs to move </w:t>
      </w:r>
      <w:proofErr w:type="gramStart"/>
      <w:r w:rsidRPr="001E12E3">
        <w:rPr>
          <w:rFonts w:ascii="Times New Roman" w:hAnsi="Times New Roman" w:cs="Times New Roman"/>
          <w:sz w:val="24"/>
          <w:szCs w:val="24"/>
        </w:rPr>
        <w:t>forward</w:t>
      </w:r>
      <w:r w:rsidR="005F47BA">
        <w:rPr>
          <w:rFonts w:ascii="Times New Roman" w:hAnsi="Times New Roman" w:cs="Times New Roman"/>
          <w:sz w:val="24"/>
          <w:szCs w:val="24"/>
        </w:rPr>
        <w:t>(</w:t>
      </w:r>
      <w:proofErr w:type="gramEnd"/>
      <w:r w:rsidRPr="001E12E3">
        <w:rPr>
          <w:rFonts w:ascii="Times New Roman" w:hAnsi="Times New Roman" w:cs="Times New Roman"/>
          <w:sz w:val="24"/>
          <w:szCs w:val="24"/>
        </w:rPr>
        <w:t>…</w:t>
      </w:r>
      <w:r w:rsidR="005F47BA">
        <w:rPr>
          <w:rFonts w:ascii="Times New Roman" w:hAnsi="Times New Roman" w:cs="Times New Roman"/>
          <w:sz w:val="24"/>
          <w:szCs w:val="24"/>
        </w:rPr>
        <w:t>)</w:t>
      </w:r>
    </w:p>
    <w:p w14:paraId="15D66D19" w14:textId="77777777" w:rsidR="008918DD" w:rsidRPr="001E12E3" w:rsidRDefault="008918DD" w:rsidP="008918DD">
      <w:pPr>
        <w:pStyle w:val="ListParagraph"/>
        <w:spacing w:after="240"/>
        <w:ind w:left="567" w:right="571"/>
        <w:jc w:val="both"/>
        <w:rPr>
          <w:rFonts w:ascii="Times New Roman" w:hAnsi="Times New Roman" w:cs="Times New Roman"/>
          <w:sz w:val="24"/>
          <w:szCs w:val="24"/>
        </w:rPr>
      </w:pPr>
    </w:p>
    <w:p w14:paraId="266BA100" w14:textId="5B00DC25" w:rsidR="001E12E3" w:rsidRPr="001E12E3" w:rsidRDefault="001E12E3" w:rsidP="008918DD">
      <w:pPr>
        <w:pStyle w:val="ListParagraph"/>
        <w:numPr>
          <w:ilvl w:val="0"/>
          <w:numId w:val="9"/>
        </w:numPr>
        <w:spacing w:after="240"/>
        <w:contextualSpacing w:val="0"/>
        <w:jc w:val="both"/>
        <w:rPr>
          <w:rFonts w:ascii="Times New Roman" w:hAnsi="Times New Roman" w:cs="Times New Roman"/>
          <w:b/>
          <w:bCs/>
          <w:sz w:val="28"/>
          <w:szCs w:val="28"/>
        </w:rPr>
      </w:pPr>
      <w:r w:rsidRPr="001E12E3">
        <w:rPr>
          <w:rFonts w:ascii="Times New Roman" w:hAnsi="Times New Roman" w:cs="Times New Roman"/>
          <w:sz w:val="28"/>
          <w:szCs w:val="28"/>
        </w:rPr>
        <w:t>Plaintiff’s counsel’s April 4</w:t>
      </w:r>
      <w:r w:rsidRPr="001E12E3">
        <w:rPr>
          <w:rFonts w:ascii="Times New Roman" w:hAnsi="Times New Roman" w:cs="Times New Roman"/>
          <w:sz w:val="28"/>
          <w:szCs w:val="28"/>
          <w:vertAlign w:val="superscript"/>
        </w:rPr>
        <w:t>th</w:t>
      </w:r>
      <w:r w:rsidRPr="001E12E3">
        <w:rPr>
          <w:rFonts w:ascii="Times New Roman" w:hAnsi="Times New Roman" w:cs="Times New Roman"/>
          <w:sz w:val="28"/>
          <w:szCs w:val="28"/>
        </w:rPr>
        <w:t xml:space="preserve"> letter provides a detailed explanation for his decision to note the Applicant in default. In particular, he stated his belief that Defendant’s counsel “actually had a RAC for this matter up until March 15, 2024, which means you could have filed the Statement of Defence and Counterclaim this whole time.”</w:t>
      </w:r>
    </w:p>
    <w:p w14:paraId="157512E7" w14:textId="250FA405" w:rsidR="001E12E3" w:rsidRPr="001E12E3" w:rsidRDefault="001E12E3" w:rsidP="008918DD">
      <w:pPr>
        <w:pStyle w:val="ListParagraph"/>
        <w:numPr>
          <w:ilvl w:val="0"/>
          <w:numId w:val="9"/>
        </w:numPr>
        <w:spacing w:after="240"/>
        <w:contextualSpacing w:val="0"/>
        <w:jc w:val="both"/>
        <w:rPr>
          <w:rFonts w:ascii="Times New Roman" w:hAnsi="Times New Roman" w:cs="Times New Roman"/>
          <w:b/>
          <w:bCs/>
          <w:sz w:val="28"/>
          <w:szCs w:val="28"/>
        </w:rPr>
      </w:pPr>
      <w:r w:rsidRPr="001E12E3">
        <w:rPr>
          <w:rFonts w:ascii="Times New Roman" w:hAnsi="Times New Roman" w:cs="Times New Roman"/>
          <w:sz w:val="28"/>
          <w:szCs w:val="28"/>
        </w:rPr>
        <w:t xml:space="preserve">While communication between counsel was taking place, there was simultaneous communication between Defendant’s counsel and the various law societies with which he was associated. After being advised by the Law Society sometime prior to January 22, 2024, that he was required to reapply for an RAC, Defendant’s counsel began gathering the necessary materials for his new RAC application. He contacted the law societies of Ontario, Saskatchewan and Alberta to obtain certificates of standing. On February 27, 2024, the Law Society of Upper Canada acknowledged receipt of his request for a certificate of standing, which was sent to him on March 4, 2024. On February 29, 2024, the Law Society of Saskatchewan confirmed that it had completed processing his certificate of standing. </w:t>
      </w:r>
    </w:p>
    <w:p w14:paraId="37D4F45D" w14:textId="3DFFBBBA" w:rsidR="001E12E3" w:rsidRPr="001E12E3" w:rsidRDefault="001E12E3" w:rsidP="008918DD">
      <w:pPr>
        <w:pStyle w:val="ListParagraph"/>
        <w:numPr>
          <w:ilvl w:val="0"/>
          <w:numId w:val="9"/>
        </w:numPr>
        <w:spacing w:after="240"/>
        <w:contextualSpacing w:val="0"/>
        <w:jc w:val="both"/>
        <w:rPr>
          <w:rFonts w:ascii="Times New Roman" w:hAnsi="Times New Roman" w:cs="Times New Roman"/>
          <w:b/>
          <w:bCs/>
          <w:sz w:val="28"/>
          <w:szCs w:val="28"/>
        </w:rPr>
      </w:pPr>
      <w:r w:rsidRPr="001E12E3">
        <w:rPr>
          <w:rFonts w:ascii="Times New Roman" w:hAnsi="Times New Roman" w:cs="Times New Roman"/>
          <w:sz w:val="28"/>
          <w:szCs w:val="28"/>
        </w:rPr>
        <w:t>These parallel dealings with the law societies gave rise to further developments in early March. On March 1, 2024, Defendant’s counsel’s legal assistant advised him by email that the Law Society’s portal issues had been resolved and that he was once again able to access the website. The email also confirmed that the Law Society had received his certificates of standing from Saskatchewan and Alberta, while the certificate from Ontario was pending. His legal assistant also relayed to him that the Law Society had extended the deadline for the completion of the application to March 15, 2024.</w:t>
      </w:r>
    </w:p>
    <w:p w14:paraId="0555C419" w14:textId="06584DC4" w:rsidR="001E12E3" w:rsidRPr="001E12E3" w:rsidRDefault="001E12E3" w:rsidP="008918DD">
      <w:pPr>
        <w:pStyle w:val="ListParagraph"/>
        <w:numPr>
          <w:ilvl w:val="0"/>
          <w:numId w:val="9"/>
        </w:numPr>
        <w:spacing w:after="240"/>
        <w:contextualSpacing w:val="0"/>
        <w:jc w:val="both"/>
        <w:rPr>
          <w:rFonts w:ascii="Times New Roman" w:hAnsi="Times New Roman" w:cs="Times New Roman"/>
          <w:b/>
          <w:bCs/>
          <w:sz w:val="28"/>
          <w:szCs w:val="28"/>
        </w:rPr>
      </w:pPr>
      <w:r w:rsidRPr="001E12E3">
        <w:rPr>
          <w:rFonts w:ascii="Times New Roman" w:hAnsi="Times New Roman" w:cs="Times New Roman"/>
          <w:sz w:val="28"/>
          <w:szCs w:val="28"/>
        </w:rPr>
        <w:lastRenderedPageBreak/>
        <w:t xml:space="preserve">The exhibits to Ms. Weibe’s affidavit also include a series of emails between Liz Jackson, the Membership Coordinator for the Law Society, and Defendant’s counsel dated March 6, 15 and 18, April 10th, 28th, and 29, 2024. These emails further document Defendant’s counsel’s efforts to comply with the application requirements. </w:t>
      </w:r>
    </w:p>
    <w:p w14:paraId="1EFB8EA8" w14:textId="53F51F84" w:rsidR="001E12E3" w:rsidRPr="001E12E3" w:rsidRDefault="001E12E3" w:rsidP="008C2E25">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On March 18, 2024, Defendant’s counsel was again advised that a new RAC would be required for the civil proceedings. The record indicates that he had attempted, unsuccessfully, to explain the similarities between the criminal and civil matters shortly before receiving this notice. The reason for the apparent repetition of the requirement to reapply—first communicated before January 22 and then reiterated on March 18—remains unclear on the record.</w:t>
      </w:r>
    </w:p>
    <w:p w14:paraId="339C9707" w14:textId="77777777" w:rsidR="001E12E3" w:rsidRPr="001E12E3" w:rsidRDefault="001E12E3" w:rsidP="001E12E3">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During this same period, Plaintiff’s counsel served as a member of the Law Society’s Executive. On March 6, 2024, he exchanged several emails with Jessica Copple, the Law Society’s Executive Director, regarding Defendant’s counsel’s RAC:</w:t>
      </w:r>
    </w:p>
    <w:p w14:paraId="195AB2C6" w14:textId="77777777" w:rsidR="001E12E3" w:rsidRDefault="001E12E3" w:rsidP="001737B8">
      <w:pPr>
        <w:pStyle w:val="ListParagraph"/>
        <w:spacing w:after="0"/>
        <w:ind w:left="567" w:right="571"/>
        <w:jc w:val="both"/>
        <w:rPr>
          <w:rFonts w:ascii="Times New Roman" w:hAnsi="Times New Roman" w:cs="Times New Roman"/>
          <w:sz w:val="24"/>
          <w:szCs w:val="24"/>
        </w:rPr>
      </w:pPr>
      <w:r w:rsidRPr="001E12E3">
        <w:rPr>
          <w:rFonts w:ascii="Times New Roman" w:hAnsi="Times New Roman" w:cs="Times New Roman"/>
          <w:sz w:val="24"/>
          <w:szCs w:val="24"/>
        </w:rPr>
        <w:t>Plaintiff’s counsel:</w:t>
      </w:r>
      <w:r w:rsidRPr="001E12E3">
        <w:rPr>
          <w:rFonts w:ascii="Times New Roman" w:hAnsi="Times New Roman" w:cs="Times New Roman"/>
          <w:sz w:val="24"/>
          <w:szCs w:val="24"/>
        </w:rPr>
        <w:tab/>
        <w:t xml:space="preserve">Has Chris Murphy </w:t>
      </w:r>
      <w:proofErr w:type="gramStart"/>
      <w:r w:rsidRPr="001E12E3">
        <w:rPr>
          <w:rFonts w:ascii="Times New Roman" w:hAnsi="Times New Roman" w:cs="Times New Roman"/>
          <w:sz w:val="24"/>
          <w:szCs w:val="24"/>
        </w:rPr>
        <w:t>submitted an application</w:t>
      </w:r>
      <w:proofErr w:type="gramEnd"/>
      <w:r w:rsidRPr="001E12E3">
        <w:rPr>
          <w:rFonts w:ascii="Times New Roman" w:hAnsi="Times New Roman" w:cs="Times New Roman"/>
          <w:sz w:val="24"/>
          <w:szCs w:val="24"/>
        </w:rPr>
        <w:t xml:space="preserve"> for a RAC? </w:t>
      </w:r>
    </w:p>
    <w:p w14:paraId="41FAC7DE" w14:textId="77777777" w:rsidR="004C6B06" w:rsidRPr="001E12E3" w:rsidRDefault="004C6B06" w:rsidP="001737B8">
      <w:pPr>
        <w:pStyle w:val="ListParagraph"/>
        <w:spacing w:after="0"/>
        <w:ind w:left="567" w:right="571"/>
        <w:jc w:val="both"/>
        <w:rPr>
          <w:rFonts w:ascii="Times New Roman" w:hAnsi="Times New Roman" w:cs="Times New Roman"/>
          <w:sz w:val="24"/>
          <w:szCs w:val="24"/>
        </w:rPr>
      </w:pPr>
    </w:p>
    <w:p w14:paraId="4789177E" w14:textId="2F5D8FE6" w:rsidR="001E12E3" w:rsidRDefault="001E12E3" w:rsidP="001737B8">
      <w:pPr>
        <w:pStyle w:val="ListParagraph"/>
        <w:spacing w:after="0"/>
        <w:ind w:left="567" w:right="571"/>
        <w:jc w:val="both"/>
        <w:rPr>
          <w:rFonts w:ascii="Times New Roman" w:hAnsi="Times New Roman" w:cs="Times New Roman"/>
          <w:sz w:val="24"/>
          <w:szCs w:val="24"/>
        </w:rPr>
      </w:pPr>
      <w:r w:rsidRPr="001E12E3">
        <w:rPr>
          <w:rFonts w:ascii="Times New Roman" w:hAnsi="Times New Roman" w:cs="Times New Roman"/>
          <w:sz w:val="24"/>
          <w:szCs w:val="24"/>
        </w:rPr>
        <w:t xml:space="preserve">Ms. Copple: </w:t>
      </w:r>
      <w:r w:rsidRPr="001E12E3">
        <w:rPr>
          <w:rFonts w:ascii="Times New Roman" w:hAnsi="Times New Roman" w:cs="Times New Roman"/>
          <w:sz w:val="24"/>
          <w:szCs w:val="24"/>
        </w:rPr>
        <w:tab/>
      </w:r>
      <w:r w:rsidR="006D5B3E">
        <w:rPr>
          <w:rFonts w:ascii="Times New Roman" w:hAnsi="Times New Roman" w:cs="Times New Roman"/>
          <w:sz w:val="24"/>
          <w:szCs w:val="24"/>
        </w:rPr>
        <w:tab/>
      </w:r>
      <w:r w:rsidRPr="001E12E3">
        <w:rPr>
          <w:rFonts w:ascii="Times New Roman" w:hAnsi="Times New Roman" w:cs="Times New Roman"/>
          <w:sz w:val="24"/>
          <w:szCs w:val="24"/>
        </w:rPr>
        <w:t>I have a [Defendant’s counsel’s name] on record with an Active RAC.</w:t>
      </w:r>
    </w:p>
    <w:p w14:paraId="3DD56137" w14:textId="77777777" w:rsidR="004C6B06" w:rsidRPr="001E12E3" w:rsidRDefault="004C6B06" w:rsidP="001737B8">
      <w:pPr>
        <w:pStyle w:val="ListParagraph"/>
        <w:spacing w:after="0"/>
        <w:ind w:left="567" w:right="571"/>
        <w:jc w:val="both"/>
        <w:rPr>
          <w:rFonts w:ascii="Times New Roman" w:hAnsi="Times New Roman" w:cs="Times New Roman"/>
          <w:sz w:val="24"/>
          <w:szCs w:val="24"/>
        </w:rPr>
      </w:pPr>
    </w:p>
    <w:p w14:paraId="71571423" w14:textId="77777777" w:rsidR="001E12E3" w:rsidRDefault="001E12E3" w:rsidP="001737B8">
      <w:pPr>
        <w:pStyle w:val="ListParagraph"/>
        <w:spacing w:after="0"/>
        <w:ind w:left="567" w:right="571"/>
        <w:jc w:val="both"/>
        <w:rPr>
          <w:rFonts w:ascii="Times New Roman" w:hAnsi="Times New Roman" w:cs="Times New Roman"/>
          <w:sz w:val="24"/>
          <w:szCs w:val="24"/>
        </w:rPr>
      </w:pPr>
      <w:r w:rsidRPr="001E12E3">
        <w:rPr>
          <w:rFonts w:ascii="Times New Roman" w:hAnsi="Times New Roman" w:cs="Times New Roman"/>
          <w:sz w:val="24"/>
          <w:szCs w:val="24"/>
        </w:rPr>
        <w:t>Plaintiff’s counsel:</w:t>
      </w:r>
      <w:r w:rsidRPr="001E12E3">
        <w:rPr>
          <w:rFonts w:ascii="Times New Roman" w:hAnsi="Times New Roman" w:cs="Times New Roman"/>
          <w:sz w:val="24"/>
          <w:szCs w:val="24"/>
        </w:rPr>
        <w:tab/>
        <w:t xml:space="preserve">For a matter called </w:t>
      </w:r>
      <w:r w:rsidRPr="001E12E3">
        <w:rPr>
          <w:rFonts w:ascii="Times New Roman" w:hAnsi="Times New Roman" w:cs="Times New Roman"/>
          <w:i/>
          <w:iCs/>
          <w:sz w:val="24"/>
          <w:szCs w:val="24"/>
        </w:rPr>
        <w:t>Katrine Gignac v David Hornibrook</w:t>
      </w:r>
      <w:r w:rsidRPr="001E12E3">
        <w:rPr>
          <w:rFonts w:ascii="Times New Roman" w:hAnsi="Times New Roman" w:cs="Times New Roman"/>
          <w:sz w:val="24"/>
          <w:szCs w:val="24"/>
        </w:rPr>
        <w:t>?</w:t>
      </w:r>
    </w:p>
    <w:p w14:paraId="04D94B52" w14:textId="77777777" w:rsidR="004C6B06" w:rsidRPr="001E12E3" w:rsidRDefault="004C6B06" w:rsidP="001737B8">
      <w:pPr>
        <w:pStyle w:val="ListParagraph"/>
        <w:spacing w:after="0"/>
        <w:ind w:left="567" w:right="571"/>
        <w:jc w:val="both"/>
        <w:rPr>
          <w:rFonts w:ascii="Times New Roman" w:hAnsi="Times New Roman" w:cs="Times New Roman"/>
          <w:sz w:val="24"/>
          <w:szCs w:val="24"/>
        </w:rPr>
      </w:pPr>
    </w:p>
    <w:p w14:paraId="34AC7AFA" w14:textId="336649CA" w:rsidR="001E12E3" w:rsidRDefault="001E12E3" w:rsidP="001737B8">
      <w:pPr>
        <w:pStyle w:val="ListParagraph"/>
        <w:spacing w:after="0"/>
        <w:ind w:left="567" w:right="571"/>
        <w:jc w:val="both"/>
        <w:rPr>
          <w:rFonts w:ascii="Times New Roman" w:hAnsi="Times New Roman" w:cs="Times New Roman"/>
          <w:sz w:val="24"/>
          <w:szCs w:val="24"/>
        </w:rPr>
      </w:pPr>
      <w:r w:rsidRPr="001E12E3">
        <w:rPr>
          <w:rFonts w:ascii="Times New Roman" w:hAnsi="Times New Roman" w:cs="Times New Roman"/>
          <w:sz w:val="24"/>
          <w:szCs w:val="24"/>
        </w:rPr>
        <w:t>Ms. Copple:</w:t>
      </w:r>
      <w:r w:rsidRPr="001E12E3">
        <w:rPr>
          <w:rFonts w:ascii="Times New Roman" w:hAnsi="Times New Roman" w:cs="Times New Roman"/>
          <w:sz w:val="24"/>
          <w:szCs w:val="24"/>
        </w:rPr>
        <w:tab/>
      </w:r>
      <w:r w:rsidR="006D5B3E">
        <w:rPr>
          <w:rFonts w:ascii="Times New Roman" w:hAnsi="Times New Roman" w:cs="Times New Roman"/>
          <w:sz w:val="24"/>
          <w:szCs w:val="24"/>
        </w:rPr>
        <w:tab/>
      </w:r>
      <w:r w:rsidRPr="001E12E3">
        <w:rPr>
          <w:rFonts w:ascii="Times New Roman" w:hAnsi="Times New Roman" w:cs="Times New Roman"/>
          <w:sz w:val="24"/>
          <w:szCs w:val="24"/>
        </w:rPr>
        <w:t>Yup. His RAC expires on March 15, 2024, unless it is renewed prior to that date.</w:t>
      </w:r>
    </w:p>
    <w:p w14:paraId="5AD8D5AC" w14:textId="77777777" w:rsidR="004C6B06" w:rsidRPr="001E12E3" w:rsidRDefault="004C6B06" w:rsidP="001737B8">
      <w:pPr>
        <w:pStyle w:val="ListParagraph"/>
        <w:spacing w:after="0"/>
        <w:ind w:left="567" w:right="571"/>
        <w:jc w:val="both"/>
        <w:rPr>
          <w:rFonts w:ascii="Times New Roman" w:hAnsi="Times New Roman" w:cs="Times New Roman"/>
          <w:sz w:val="24"/>
          <w:szCs w:val="24"/>
        </w:rPr>
      </w:pPr>
    </w:p>
    <w:p w14:paraId="57F690D3" w14:textId="77777777" w:rsidR="001E12E3" w:rsidRDefault="001E12E3" w:rsidP="001737B8">
      <w:pPr>
        <w:pStyle w:val="ListParagraph"/>
        <w:spacing w:after="0"/>
        <w:ind w:left="567" w:right="571"/>
        <w:jc w:val="both"/>
        <w:rPr>
          <w:rFonts w:ascii="Times New Roman" w:hAnsi="Times New Roman" w:cs="Times New Roman"/>
          <w:sz w:val="24"/>
          <w:szCs w:val="24"/>
        </w:rPr>
      </w:pPr>
      <w:r w:rsidRPr="001E12E3">
        <w:rPr>
          <w:rFonts w:ascii="Times New Roman" w:hAnsi="Times New Roman" w:cs="Times New Roman"/>
          <w:sz w:val="24"/>
          <w:szCs w:val="24"/>
        </w:rPr>
        <w:t>Plaintiff’s counsel</w:t>
      </w:r>
      <w:r w:rsidRPr="001E12E3">
        <w:rPr>
          <w:rFonts w:ascii="Times New Roman" w:hAnsi="Times New Roman" w:cs="Times New Roman"/>
          <w:sz w:val="24"/>
          <w:szCs w:val="24"/>
        </w:rPr>
        <w:tab/>
        <w:t>But I don’t remember approving his RAC for this case.</w:t>
      </w:r>
    </w:p>
    <w:p w14:paraId="0B165FA9" w14:textId="77777777" w:rsidR="004C6B06" w:rsidRPr="001E12E3" w:rsidRDefault="004C6B06" w:rsidP="001737B8">
      <w:pPr>
        <w:pStyle w:val="ListParagraph"/>
        <w:spacing w:after="0"/>
        <w:ind w:left="567" w:right="571"/>
        <w:jc w:val="both"/>
        <w:rPr>
          <w:rFonts w:ascii="Times New Roman" w:hAnsi="Times New Roman" w:cs="Times New Roman"/>
          <w:sz w:val="24"/>
          <w:szCs w:val="24"/>
        </w:rPr>
      </w:pPr>
    </w:p>
    <w:p w14:paraId="291EDDD9" w14:textId="76299F0C" w:rsidR="001E12E3" w:rsidRDefault="001E12E3" w:rsidP="00324F75">
      <w:pPr>
        <w:pStyle w:val="ListParagraph"/>
        <w:spacing w:after="0"/>
        <w:ind w:left="2877" w:right="571" w:hanging="2310"/>
        <w:jc w:val="both"/>
        <w:rPr>
          <w:rFonts w:ascii="Times New Roman" w:hAnsi="Times New Roman" w:cs="Times New Roman"/>
          <w:sz w:val="24"/>
          <w:szCs w:val="24"/>
        </w:rPr>
      </w:pPr>
      <w:r w:rsidRPr="001E12E3">
        <w:rPr>
          <w:rFonts w:ascii="Times New Roman" w:hAnsi="Times New Roman" w:cs="Times New Roman"/>
          <w:sz w:val="24"/>
          <w:szCs w:val="24"/>
        </w:rPr>
        <w:t>Ms. Copple:</w:t>
      </w:r>
      <w:r w:rsidRPr="001E12E3">
        <w:rPr>
          <w:rFonts w:ascii="Times New Roman" w:hAnsi="Times New Roman" w:cs="Times New Roman"/>
          <w:sz w:val="24"/>
          <w:szCs w:val="24"/>
        </w:rPr>
        <w:tab/>
      </w:r>
      <w:r w:rsidR="006D5B3E">
        <w:rPr>
          <w:rFonts w:ascii="Times New Roman" w:hAnsi="Times New Roman" w:cs="Times New Roman"/>
          <w:sz w:val="24"/>
          <w:szCs w:val="24"/>
        </w:rPr>
        <w:tab/>
      </w:r>
      <w:r w:rsidRPr="001E12E3">
        <w:rPr>
          <w:rFonts w:ascii="Times New Roman" w:hAnsi="Times New Roman" w:cs="Times New Roman"/>
          <w:sz w:val="24"/>
          <w:szCs w:val="24"/>
        </w:rPr>
        <w:t>You didn’t! It was initially approved by the Executive in 2012, and it has been renewed (renewals don’t require Executive approval.)</w:t>
      </w:r>
    </w:p>
    <w:p w14:paraId="37289B17" w14:textId="77777777" w:rsidR="004C6B06" w:rsidRPr="001E12E3" w:rsidRDefault="004C6B06" w:rsidP="001737B8">
      <w:pPr>
        <w:pStyle w:val="ListParagraph"/>
        <w:spacing w:after="0"/>
        <w:ind w:left="567" w:right="571"/>
        <w:jc w:val="both"/>
        <w:rPr>
          <w:rFonts w:ascii="Times New Roman" w:hAnsi="Times New Roman" w:cs="Times New Roman"/>
          <w:sz w:val="24"/>
          <w:szCs w:val="24"/>
        </w:rPr>
      </w:pPr>
    </w:p>
    <w:p w14:paraId="20319697" w14:textId="74469B2F" w:rsidR="001E12E3" w:rsidRDefault="001E12E3" w:rsidP="00324F75">
      <w:pPr>
        <w:pStyle w:val="ListParagraph"/>
        <w:spacing w:after="0"/>
        <w:ind w:left="2877" w:right="571" w:hanging="2310"/>
        <w:jc w:val="both"/>
        <w:rPr>
          <w:rFonts w:ascii="Times New Roman" w:hAnsi="Times New Roman" w:cs="Times New Roman"/>
          <w:sz w:val="24"/>
          <w:szCs w:val="24"/>
        </w:rPr>
      </w:pPr>
      <w:r w:rsidRPr="001E12E3">
        <w:rPr>
          <w:rFonts w:ascii="Times New Roman" w:hAnsi="Times New Roman" w:cs="Times New Roman"/>
          <w:sz w:val="24"/>
          <w:szCs w:val="24"/>
        </w:rPr>
        <w:t>Plaintiff’s counsel:</w:t>
      </w:r>
      <w:r w:rsidRPr="001E12E3">
        <w:rPr>
          <w:rFonts w:ascii="Times New Roman" w:hAnsi="Times New Roman" w:cs="Times New Roman"/>
          <w:sz w:val="24"/>
          <w:szCs w:val="24"/>
        </w:rPr>
        <w:tab/>
        <w:t xml:space="preserve">He would have had one for </w:t>
      </w:r>
      <w:r w:rsidRPr="001E12E3">
        <w:rPr>
          <w:rFonts w:ascii="Times New Roman" w:hAnsi="Times New Roman" w:cs="Times New Roman"/>
          <w:i/>
          <w:iCs/>
          <w:sz w:val="24"/>
          <w:szCs w:val="24"/>
        </w:rPr>
        <w:t>R v David Hornibrook</w:t>
      </w:r>
      <w:r w:rsidRPr="001E12E3">
        <w:rPr>
          <w:rFonts w:ascii="Times New Roman" w:hAnsi="Times New Roman" w:cs="Times New Roman"/>
          <w:sz w:val="24"/>
          <w:szCs w:val="24"/>
        </w:rPr>
        <w:t xml:space="preserve"> (a criminal case) back in 2021. But this is a civil case. What is the court file number on it?</w:t>
      </w:r>
    </w:p>
    <w:p w14:paraId="46C9FF2B" w14:textId="77777777" w:rsidR="004C6B06" w:rsidRPr="001E12E3" w:rsidRDefault="004C6B06" w:rsidP="001737B8">
      <w:pPr>
        <w:pStyle w:val="ListParagraph"/>
        <w:spacing w:after="0"/>
        <w:ind w:left="567" w:right="571"/>
        <w:jc w:val="both"/>
        <w:rPr>
          <w:rFonts w:ascii="Times New Roman" w:hAnsi="Times New Roman" w:cs="Times New Roman"/>
          <w:sz w:val="24"/>
          <w:szCs w:val="24"/>
        </w:rPr>
      </w:pPr>
    </w:p>
    <w:p w14:paraId="296AE0A5" w14:textId="35C7994E" w:rsidR="001E12E3" w:rsidRDefault="001E12E3" w:rsidP="00324F75">
      <w:pPr>
        <w:pStyle w:val="ListParagraph"/>
        <w:spacing w:after="0"/>
        <w:ind w:left="2877" w:right="571" w:hanging="2310"/>
        <w:jc w:val="both"/>
        <w:rPr>
          <w:rFonts w:ascii="Times New Roman" w:hAnsi="Times New Roman" w:cs="Times New Roman"/>
          <w:sz w:val="24"/>
          <w:szCs w:val="24"/>
        </w:rPr>
      </w:pPr>
      <w:r w:rsidRPr="001E12E3">
        <w:rPr>
          <w:rFonts w:ascii="Times New Roman" w:hAnsi="Times New Roman" w:cs="Times New Roman"/>
          <w:sz w:val="24"/>
          <w:szCs w:val="24"/>
        </w:rPr>
        <w:lastRenderedPageBreak/>
        <w:t>Ms. Copple:</w:t>
      </w:r>
      <w:r w:rsidRPr="001E12E3">
        <w:rPr>
          <w:rFonts w:ascii="Times New Roman" w:hAnsi="Times New Roman" w:cs="Times New Roman"/>
          <w:sz w:val="24"/>
          <w:szCs w:val="24"/>
        </w:rPr>
        <w:tab/>
      </w:r>
      <w:r w:rsidR="006D5B3E">
        <w:rPr>
          <w:rFonts w:ascii="Times New Roman" w:hAnsi="Times New Roman" w:cs="Times New Roman"/>
          <w:sz w:val="24"/>
          <w:szCs w:val="24"/>
        </w:rPr>
        <w:tab/>
      </w:r>
      <w:r w:rsidRPr="001E12E3">
        <w:rPr>
          <w:rFonts w:ascii="Times New Roman" w:hAnsi="Times New Roman" w:cs="Times New Roman"/>
          <w:sz w:val="24"/>
          <w:szCs w:val="24"/>
        </w:rPr>
        <w:t xml:space="preserve">Yes, that is the original file for the RAC in 2021, the problem might be the ambiguity of the RAC “all related actions and proceedings” and that it can be interpreted differently depending on who is looking at it. We approve RACs as one case=one RAC. Is this a matter that is due to be in court? I just looked through the dockets and I don’t see it. Since you brought this forward, we can ensure that we have confirmation of the file for the renewal if he does not renew the current RAC. This is tricky as I can’t disclose who is in the application process, but you would know if there was a new RAC for someone since you were appointed to the </w:t>
      </w:r>
      <w:proofErr w:type="gramStart"/>
      <w:r w:rsidRPr="001E12E3">
        <w:rPr>
          <w:rFonts w:ascii="Times New Roman" w:hAnsi="Times New Roman" w:cs="Times New Roman"/>
          <w:sz w:val="24"/>
          <w:szCs w:val="24"/>
        </w:rPr>
        <w:t>Executive</w:t>
      </w:r>
      <w:r w:rsidR="005711A4">
        <w:rPr>
          <w:rFonts w:ascii="Times New Roman" w:hAnsi="Times New Roman" w:cs="Times New Roman"/>
          <w:sz w:val="24"/>
          <w:szCs w:val="24"/>
        </w:rPr>
        <w:t>(</w:t>
      </w:r>
      <w:proofErr w:type="gramEnd"/>
      <w:r w:rsidRPr="001E12E3">
        <w:rPr>
          <w:rFonts w:ascii="Times New Roman" w:hAnsi="Times New Roman" w:cs="Times New Roman"/>
          <w:sz w:val="24"/>
          <w:szCs w:val="24"/>
        </w:rPr>
        <w:t>…</w:t>
      </w:r>
      <w:r w:rsidR="005711A4">
        <w:rPr>
          <w:rFonts w:ascii="Times New Roman" w:hAnsi="Times New Roman" w:cs="Times New Roman"/>
          <w:sz w:val="24"/>
          <w:szCs w:val="24"/>
        </w:rPr>
        <w:t>)</w:t>
      </w:r>
    </w:p>
    <w:p w14:paraId="443900E3" w14:textId="77777777" w:rsidR="004C6B06" w:rsidRPr="001E12E3" w:rsidRDefault="004C6B06" w:rsidP="001737B8">
      <w:pPr>
        <w:pStyle w:val="ListParagraph"/>
        <w:spacing w:after="0"/>
        <w:ind w:left="567" w:right="571"/>
        <w:jc w:val="both"/>
        <w:rPr>
          <w:rFonts w:ascii="Times New Roman" w:hAnsi="Times New Roman" w:cs="Times New Roman"/>
          <w:sz w:val="24"/>
          <w:szCs w:val="24"/>
        </w:rPr>
      </w:pPr>
    </w:p>
    <w:p w14:paraId="0438DFDA" w14:textId="77777777" w:rsidR="001E12E3" w:rsidRDefault="001E12E3" w:rsidP="00324F75">
      <w:pPr>
        <w:pStyle w:val="ListParagraph"/>
        <w:spacing w:after="0"/>
        <w:ind w:left="2877" w:right="571" w:hanging="2310"/>
        <w:jc w:val="both"/>
        <w:rPr>
          <w:rFonts w:ascii="Times New Roman" w:hAnsi="Times New Roman" w:cs="Times New Roman"/>
          <w:sz w:val="24"/>
          <w:szCs w:val="24"/>
        </w:rPr>
      </w:pPr>
      <w:r w:rsidRPr="001E12E3">
        <w:rPr>
          <w:rFonts w:ascii="Times New Roman" w:hAnsi="Times New Roman" w:cs="Times New Roman"/>
          <w:sz w:val="24"/>
          <w:szCs w:val="24"/>
        </w:rPr>
        <w:t>Plaintiff’s counsel:</w:t>
      </w:r>
      <w:r w:rsidRPr="001E12E3">
        <w:rPr>
          <w:rFonts w:ascii="Times New Roman" w:hAnsi="Times New Roman" w:cs="Times New Roman"/>
          <w:sz w:val="24"/>
          <w:szCs w:val="24"/>
        </w:rPr>
        <w:tab/>
        <w:t>I suppose it is a related proceeding, so that’s not an issue. I just wanted to make sure the RAC covers the civil case. Does it expire in one week or one year?</w:t>
      </w:r>
    </w:p>
    <w:p w14:paraId="136D03B0" w14:textId="77777777" w:rsidR="004C6B06" w:rsidRPr="001E12E3" w:rsidRDefault="004C6B06" w:rsidP="001737B8">
      <w:pPr>
        <w:pStyle w:val="ListParagraph"/>
        <w:spacing w:after="0"/>
        <w:ind w:left="567" w:right="571"/>
        <w:jc w:val="both"/>
        <w:rPr>
          <w:rFonts w:ascii="Times New Roman" w:hAnsi="Times New Roman" w:cs="Times New Roman"/>
          <w:sz w:val="24"/>
          <w:szCs w:val="24"/>
        </w:rPr>
      </w:pPr>
    </w:p>
    <w:p w14:paraId="14F073BB" w14:textId="19D63654" w:rsidR="001E12E3" w:rsidRPr="001E12E3" w:rsidRDefault="001E12E3" w:rsidP="00324F75">
      <w:pPr>
        <w:pStyle w:val="ListParagraph"/>
        <w:spacing w:after="0"/>
        <w:ind w:left="2877" w:right="571" w:hanging="2310"/>
        <w:jc w:val="both"/>
        <w:rPr>
          <w:rFonts w:ascii="Times New Roman" w:hAnsi="Times New Roman" w:cs="Times New Roman"/>
          <w:sz w:val="24"/>
          <w:szCs w:val="24"/>
        </w:rPr>
      </w:pPr>
      <w:r w:rsidRPr="001E12E3">
        <w:rPr>
          <w:rFonts w:ascii="Times New Roman" w:hAnsi="Times New Roman" w:cs="Times New Roman"/>
          <w:sz w:val="24"/>
          <w:szCs w:val="24"/>
        </w:rPr>
        <w:t>Ms. Copple:</w:t>
      </w:r>
      <w:r w:rsidR="00324F75">
        <w:rPr>
          <w:rFonts w:ascii="Times New Roman" w:hAnsi="Times New Roman" w:cs="Times New Roman"/>
          <w:sz w:val="24"/>
          <w:szCs w:val="24"/>
        </w:rPr>
        <w:tab/>
      </w:r>
      <w:r w:rsidR="00324F75">
        <w:rPr>
          <w:rFonts w:ascii="Times New Roman" w:hAnsi="Times New Roman" w:cs="Times New Roman"/>
          <w:sz w:val="24"/>
          <w:szCs w:val="24"/>
        </w:rPr>
        <w:tab/>
      </w:r>
      <w:r w:rsidRPr="001E12E3">
        <w:rPr>
          <w:rFonts w:ascii="Times New Roman" w:hAnsi="Times New Roman" w:cs="Times New Roman"/>
          <w:sz w:val="24"/>
          <w:szCs w:val="24"/>
        </w:rPr>
        <w:t xml:space="preserve">March 15, 2024. Liz just touched base with him and copied me inquiring about a renewal. If a member was going to apply for an RAC for two court files, unless it was CLOSELY RELATED, I would still ask for a second RAC.  Again, totally up to interpretation. Myself and </w:t>
      </w:r>
      <w:r w:rsidR="0043193B" w:rsidRPr="001E12E3">
        <w:rPr>
          <w:rFonts w:ascii="Times New Roman" w:hAnsi="Times New Roman" w:cs="Times New Roman"/>
          <w:sz w:val="24"/>
          <w:szCs w:val="24"/>
        </w:rPr>
        <w:t>Glen Tait</w:t>
      </w:r>
      <w:r w:rsidRPr="001E12E3">
        <w:rPr>
          <w:rFonts w:ascii="Times New Roman" w:hAnsi="Times New Roman" w:cs="Times New Roman"/>
          <w:sz w:val="24"/>
          <w:szCs w:val="24"/>
        </w:rPr>
        <w:t xml:space="preserve"> could be looking at the same request and give different answers. As we are developing the new </w:t>
      </w:r>
      <w:r w:rsidRPr="00DE090A">
        <w:rPr>
          <w:rFonts w:ascii="Times New Roman" w:hAnsi="Times New Roman" w:cs="Times New Roman"/>
          <w:sz w:val="24"/>
          <w:szCs w:val="24"/>
        </w:rPr>
        <w:t>Rules,</w:t>
      </w:r>
      <w:r w:rsidRPr="001E12E3">
        <w:rPr>
          <w:rFonts w:ascii="Times New Roman" w:hAnsi="Times New Roman" w:cs="Times New Roman"/>
          <w:sz w:val="24"/>
          <w:szCs w:val="24"/>
        </w:rPr>
        <w:t xml:space="preserve"> I want to develop a clear policy for RAC’s for issues like this [Emphasis in original].</w:t>
      </w:r>
    </w:p>
    <w:p w14:paraId="679495FD" w14:textId="77777777" w:rsidR="001E12E3" w:rsidRPr="001E12E3" w:rsidRDefault="001E12E3" w:rsidP="001737B8">
      <w:pPr>
        <w:pStyle w:val="ListParagraph"/>
        <w:spacing w:after="0" w:line="240" w:lineRule="auto"/>
        <w:ind w:left="567" w:right="571"/>
        <w:contextualSpacing w:val="0"/>
        <w:jc w:val="both"/>
        <w:rPr>
          <w:rFonts w:ascii="Times New Roman" w:hAnsi="Times New Roman" w:cs="Times New Roman"/>
          <w:sz w:val="24"/>
          <w:szCs w:val="24"/>
        </w:rPr>
      </w:pPr>
    </w:p>
    <w:p w14:paraId="4A4AE892" w14:textId="77777777" w:rsidR="001E12E3" w:rsidRPr="001E12E3" w:rsidRDefault="001E12E3" w:rsidP="001E12E3">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Following the email exchange between Plaintiff’s counsel and Ms. Copple, additional communication occurred between Defendant’s counsel and Liz Jackson, Membership Coordinator for the Law Society, on March 6, 15, and 18, and April 10, 28, and 29, 2024. These emails document Defendant’s counsel’s ongoing efforts to complete his RAC application. </w:t>
      </w:r>
    </w:p>
    <w:p w14:paraId="58CB000C" w14:textId="7E34EA64" w:rsidR="001E12E3" w:rsidRPr="0070374E" w:rsidRDefault="0070374E" w:rsidP="008D3D42">
      <w:pPr>
        <w:pStyle w:val="ListParagraph"/>
        <w:spacing w:after="240" w:line="240" w:lineRule="auto"/>
        <w:ind w:left="0"/>
        <w:jc w:val="both"/>
        <w:rPr>
          <w:rFonts w:ascii="Times New Roman" w:hAnsi="Times New Roman" w:cs="Times New Roman"/>
          <w:b/>
          <w:bCs/>
          <w:sz w:val="28"/>
          <w:szCs w:val="28"/>
        </w:rPr>
      </w:pPr>
      <w:r w:rsidRPr="0070374E">
        <w:rPr>
          <w:rFonts w:ascii="Times New Roman" w:hAnsi="Times New Roman" w:cs="Times New Roman"/>
          <w:b/>
          <w:bCs/>
          <w:sz w:val="28"/>
          <w:szCs w:val="28"/>
        </w:rPr>
        <w:t>THE POSITION OF THE PARTIES</w:t>
      </w:r>
    </w:p>
    <w:p w14:paraId="118BD642" w14:textId="77777777" w:rsidR="0070374E" w:rsidRPr="001E12E3" w:rsidRDefault="0070374E" w:rsidP="008D3D42">
      <w:pPr>
        <w:pStyle w:val="ListParagraph"/>
        <w:spacing w:after="240" w:line="240" w:lineRule="auto"/>
        <w:ind w:left="0"/>
        <w:jc w:val="both"/>
        <w:rPr>
          <w:rFonts w:ascii="Times New Roman" w:hAnsi="Times New Roman" w:cs="Times New Roman"/>
          <w:sz w:val="28"/>
          <w:szCs w:val="28"/>
          <w:u w:val="single"/>
        </w:rPr>
      </w:pPr>
    </w:p>
    <w:p w14:paraId="338D3745" w14:textId="411C2A5A" w:rsidR="001E12E3" w:rsidRPr="001E12E3" w:rsidRDefault="001E12E3" w:rsidP="0070374E">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In her filed written submissions, the Plaintiff sought solicitor-and-client costs, asserting that she was forced to incur unnecessary legal expenses due to the actions of the Defendant. However, given her withdrawal of opposition to the Defendant’s applications at this hearing, she now concedes that the Defendant is entitled to party-and-party costs, while strongly resisting the claim for solicitor-and-client costs.</w:t>
      </w:r>
    </w:p>
    <w:p w14:paraId="4B8E0F22" w14:textId="77777777" w:rsidR="001E12E3" w:rsidRPr="001E12E3" w:rsidRDefault="001E12E3" w:rsidP="001E12E3">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lastRenderedPageBreak/>
        <w:t xml:space="preserve">The Defendant seeks solicitor-client costs on the basis that the Plaintiff noted him in default without </w:t>
      </w:r>
      <w:proofErr w:type="gramStart"/>
      <w:r w:rsidRPr="001E12E3">
        <w:rPr>
          <w:rFonts w:ascii="Times New Roman" w:hAnsi="Times New Roman" w:cs="Times New Roman"/>
          <w:sz w:val="28"/>
          <w:szCs w:val="28"/>
        </w:rPr>
        <w:t>prior warning</w:t>
      </w:r>
      <w:proofErr w:type="gramEnd"/>
      <w:r w:rsidRPr="001E12E3">
        <w:rPr>
          <w:rFonts w:ascii="Times New Roman" w:hAnsi="Times New Roman" w:cs="Times New Roman"/>
          <w:sz w:val="28"/>
          <w:szCs w:val="28"/>
        </w:rPr>
        <w:t>, and despite earlier representations that this would not occur if he provided an unfiled copy of his pleadings. He also relies on the shifting deadlines and inconsistent positions from the outset – beginning with the initial January 31, 2024 deadline tied to his receipt of a RAC – to support his contention that the actions of the Plaintiff constitute “sharp practice” warranting solicitor-client costs.</w:t>
      </w:r>
    </w:p>
    <w:p w14:paraId="7F587803" w14:textId="53995B70" w:rsidR="001E12E3" w:rsidRDefault="00211514" w:rsidP="0070374E">
      <w:pPr>
        <w:pStyle w:val="ListParagraph"/>
        <w:spacing w:after="240" w:line="240" w:lineRule="auto"/>
        <w:ind w:left="0"/>
        <w:jc w:val="both"/>
        <w:rPr>
          <w:rFonts w:ascii="Times New Roman" w:hAnsi="Times New Roman" w:cs="Times New Roman"/>
          <w:b/>
          <w:bCs/>
          <w:sz w:val="28"/>
          <w:szCs w:val="28"/>
        </w:rPr>
      </w:pPr>
      <w:r w:rsidRPr="001E12E3">
        <w:rPr>
          <w:rFonts w:ascii="Times New Roman" w:hAnsi="Times New Roman" w:cs="Times New Roman"/>
          <w:b/>
          <w:bCs/>
          <w:sz w:val="28"/>
          <w:szCs w:val="28"/>
        </w:rPr>
        <w:t>THE LAW</w:t>
      </w:r>
    </w:p>
    <w:p w14:paraId="2684DD0F" w14:textId="77777777" w:rsidR="00141ED6" w:rsidRDefault="00141ED6" w:rsidP="0070374E">
      <w:pPr>
        <w:pStyle w:val="ListParagraph"/>
        <w:spacing w:after="240" w:line="240" w:lineRule="auto"/>
        <w:ind w:left="0"/>
        <w:jc w:val="both"/>
        <w:rPr>
          <w:rFonts w:ascii="Times New Roman" w:hAnsi="Times New Roman" w:cs="Times New Roman"/>
          <w:b/>
          <w:bCs/>
          <w:sz w:val="28"/>
          <w:szCs w:val="28"/>
        </w:rPr>
      </w:pPr>
    </w:p>
    <w:p w14:paraId="00010946" w14:textId="77777777" w:rsidR="001E12E3" w:rsidRPr="001E12E3" w:rsidRDefault="001E12E3" w:rsidP="001E12E3">
      <w:pPr>
        <w:pStyle w:val="ListParagraph"/>
        <w:numPr>
          <w:ilvl w:val="0"/>
          <w:numId w:val="9"/>
        </w:numPr>
        <w:spacing w:after="240"/>
        <w:contextualSpacing w:val="0"/>
        <w:jc w:val="both"/>
        <w:rPr>
          <w:rFonts w:ascii="Times New Roman" w:hAnsi="Times New Roman" w:cs="Times New Roman"/>
          <w:i/>
          <w:iCs/>
          <w:sz w:val="28"/>
          <w:szCs w:val="28"/>
        </w:rPr>
      </w:pPr>
      <w:r w:rsidRPr="001E12E3">
        <w:rPr>
          <w:rFonts w:ascii="Times New Roman" w:hAnsi="Times New Roman" w:cs="Times New Roman"/>
          <w:sz w:val="28"/>
          <w:szCs w:val="28"/>
        </w:rPr>
        <w:t xml:space="preserve">The Rules pertaining to costs in the NWT are set out in Part 50 of </w:t>
      </w:r>
      <w:r w:rsidRPr="001E12E3">
        <w:rPr>
          <w:rFonts w:ascii="Times New Roman" w:hAnsi="Times New Roman" w:cs="Times New Roman"/>
          <w:i/>
          <w:iCs/>
          <w:sz w:val="28"/>
          <w:szCs w:val="28"/>
        </w:rPr>
        <w:t xml:space="preserve">The Rules of Court of the Supreme Court of the Northwest Territories. </w:t>
      </w:r>
      <w:r w:rsidRPr="001E12E3">
        <w:rPr>
          <w:rFonts w:ascii="Times New Roman" w:hAnsi="Times New Roman" w:cs="Times New Roman"/>
          <w:sz w:val="28"/>
          <w:szCs w:val="28"/>
        </w:rPr>
        <w:t>Costs are defined in s. 641, while the awarding of costs is addressed in s. 643:</w:t>
      </w:r>
    </w:p>
    <w:p w14:paraId="5E849EB6" w14:textId="77777777" w:rsidR="001E12E3" w:rsidRPr="001E12E3" w:rsidRDefault="001E12E3" w:rsidP="00357D5E">
      <w:pPr>
        <w:pStyle w:val="ListParagraph"/>
        <w:spacing w:after="240" w:line="240" w:lineRule="auto"/>
        <w:ind w:left="567" w:right="571"/>
        <w:contextualSpacing w:val="0"/>
        <w:jc w:val="both"/>
        <w:rPr>
          <w:rFonts w:ascii="Times New Roman" w:hAnsi="Times New Roman" w:cs="Times New Roman"/>
          <w:sz w:val="24"/>
          <w:szCs w:val="24"/>
        </w:rPr>
      </w:pPr>
      <w:r w:rsidRPr="001E12E3">
        <w:rPr>
          <w:rFonts w:ascii="Times New Roman" w:hAnsi="Times New Roman" w:cs="Times New Roman"/>
          <w:sz w:val="24"/>
          <w:szCs w:val="24"/>
        </w:rPr>
        <w:t>643.(1) Notwithstanding anything else in this Part, the Court has discretion as to awarding the costs of the parties, including third parties, to an action or a proceeding, the amount of costs and the party by whom or the fund or estate out of which the costs are to be paid, and the Court may:</w:t>
      </w:r>
    </w:p>
    <w:p w14:paraId="20C9A474" w14:textId="77777777" w:rsidR="001E12E3" w:rsidRPr="001E12E3" w:rsidRDefault="001E12E3" w:rsidP="00357D5E">
      <w:pPr>
        <w:pStyle w:val="ListParagraph"/>
        <w:spacing w:after="240"/>
        <w:ind w:left="567" w:right="571"/>
        <w:contextualSpacing w:val="0"/>
        <w:jc w:val="both"/>
        <w:rPr>
          <w:rFonts w:ascii="Times New Roman" w:hAnsi="Times New Roman" w:cs="Times New Roman"/>
          <w:sz w:val="24"/>
          <w:szCs w:val="24"/>
        </w:rPr>
      </w:pPr>
      <w:r w:rsidRPr="001E12E3">
        <w:rPr>
          <w:rFonts w:ascii="Times New Roman" w:hAnsi="Times New Roman" w:cs="Times New Roman"/>
          <w:sz w:val="24"/>
          <w:szCs w:val="24"/>
        </w:rPr>
        <w:t>Award a gross sum in lieu of, or in addition to, any taxed costs;</w:t>
      </w:r>
    </w:p>
    <w:p w14:paraId="72B6C50A" w14:textId="77777777" w:rsidR="001E12E3" w:rsidRPr="001E12E3" w:rsidRDefault="001E12E3" w:rsidP="00357D5E">
      <w:pPr>
        <w:pStyle w:val="ListParagraph"/>
        <w:spacing w:after="240"/>
        <w:ind w:left="567" w:right="571"/>
        <w:contextualSpacing w:val="0"/>
        <w:jc w:val="both"/>
        <w:rPr>
          <w:rFonts w:ascii="Times New Roman" w:hAnsi="Times New Roman" w:cs="Times New Roman"/>
          <w:sz w:val="24"/>
          <w:szCs w:val="24"/>
        </w:rPr>
      </w:pPr>
      <w:r w:rsidRPr="001E12E3">
        <w:rPr>
          <w:rFonts w:ascii="Times New Roman" w:hAnsi="Times New Roman" w:cs="Times New Roman"/>
          <w:sz w:val="24"/>
          <w:szCs w:val="24"/>
        </w:rPr>
        <w:t xml:space="preserve">Allow costs to be taxed to one or more parties on one scale and to another or other parties on the same or another </w:t>
      </w:r>
      <w:proofErr w:type="gramStart"/>
      <w:r w:rsidRPr="001E12E3">
        <w:rPr>
          <w:rFonts w:ascii="Times New Roman" w:hAnsi="Times New Roman" w:cs="Times New Roman"/>
          <w:sz w:val="24"/>
          <w:szCs w:val="24"/>
        </w:rPr>
        <w:t>scale;</w:t>
      </w:r>
      <w:proofErr w:type="gramEnd"/>
      <w:r w:rsidRPr="001E12E3">
        <w:rPr>
          <w:rFonts w:ascii="Times New Roman" w:hAnsi="Times New Roman" w:cs="Times New Roman"/>
          <w:sz w:val="24"/>
          <w:szCs w:val="24"/>
        </w:rPr>
        <w:t xml:space="preserve"> or</w:t>
      </w:r>
    </w:p>
    <w:p w14:paraId="68B1F4BC" w14:textId="77777777" w:rsidR="001E12E3" w:rsidRPr="001E12E3" w:rsidRDefault="001E12E3" w:rsidP="00357D5E">
      <w:pPr>
        <w:pStyle w:val="ListParagraph"/>
        <w:spacing w:after="240"/>
        <w:ind w:left="567" w:right="571"/>
        <w:contextualSpacing w:val="0"/>
        <w:jc w:val="both"/>
        <w:rPr>
          <w:rFonts w:ascii="Times New Roman" w:hAnsi="Times New Roman" w:cs="Times New Roman"/>
          <w:sz w:val="24"/>
          <w:szCs w:val="24"/>
        </w:rPr>
      </w:pPr>
      <w:r w:rsidRPr="001E12E3">
        <w:rPr>
          <w:rFonts w:ascii="Times New Roman" w:hAnsi="Times New Roman" w:cs="Times New Roman"/>
          <w:sz w:val="24"/>
          <w:szCs w:val="24"/>
        </w:rPr>
        <w:t xml:space="preserve">Direct </w:t>
      </w:r>
      <w:proofErr w:type="gramStart"/>
      <w:r w:rsidRPr="001E12E3">
        <w:rPr>
          <w:rFonts w:ascii="Times New Roman" w:hAnsi="Times New Roman" w:cs="Times New Roman"/>
          <w:sz w:val="24"/>
          <w:szCs w:val="24"/>
        </w:rPr>
        <w:t>whether or not</w:t>
      </w:r>
      <w:proofErr w:type="gramEnd"/>
      <w:r w:rsidRPr="001E12E3">
        <w:rPr>
          <w:rFonts w:ascii="Times New Roman" w:hAnsi="Times New Roman" w:cs="Times New Roman"/>
          <w:sz w:val="24"/>
          <w:szCs w:val="24"/>
        </w:rPr>
        <w:t xml:space="preserve"> any costs are to be set off.</w:t>
      </w:r>
    </w:p>
    <w:p w14:paraId="3496A5E6" w14:textId="77777777" w:rsidR="001E12E3" w:rsidRPr="00357D5E" w:rsidRDefault="001E12E3" w:rsidP="00414CF1">
      <w:pPr>
        <w:pStyle w:val="ListParagraph"/>
        <w:spacing w:after="240" w:line="240" w:lineRule="auto"/>
        <w:ind w:right="571" w:firstLine="153"/>
        <w:jc w:val="both"/>
        <w:rPr>
          <w:rFonts w:ascii="Times New Roman" w:hAnsi="Times New Roman" w:cs="Times New Roman"/>
          <w:sz w:val="24"/>
          <w:szCs w:val="24"/>
        </w:rPr>
      </w:pPr>
      <w:r w:rsidRPr="001E12E3">
        <w:rPr>
          <w:rFonts w:ascii="Times New Roman" w:hAnsi="Times New Roman" w:cs="Times New Roman"/>
          <w:sz w:val="24"/>
          <w:szCs w:val="24"/>
        </w:rPr>
        <w:t>(2) Where no order of costs is made in an action or proceeding the costs follow the event.</w:t>
      </w:r>
    </w:p>
    <w:p w14:paraId="3D599851" w14:textId="77777777" w:rsidR="007F221D" w:rsidRPr="001E12E3" w:rsidRDefault="007F221D" w:rsidP="00357D5E">
      <w:pPr>
        <w:pStyle w:val="ListParagraph"/>
        <w:spacing w:after="240" w:line="240" w:lineRule="auto"/>
        <w:ind w:left="567" w:right="571"/>
        <w:jc w:val="both"/>
        <w:rPr>
          <w:rFonts w:ascii="Times New Roman" w:hAnsi="Times New Roman" w:cs="Times New Roman"/>
          <w:sz w:val="24"/>
          <w:szCs w:val="24"/>
        </w:rPr>
      </w:pPr>
    </w:p>
    <w:p w14:paraId="126743BF" w14:textId="77777777" w:rsidR="001E12E3" w:rsidRPr="00357D5E" w:rsidRDefault="001E12E3" w:rsidP="00414CF1">
      <w:pPr>
        <w:pStyle w:val="ListParagraph"/>
        <w:spacing w:after="240" w:line="240" w:lineRule="auto"/>
        <w:ind w:right="571" w:firstLine="153"/>
        <w:jc w:val="both"/>
        <w:rPr>
          <w:rFonts w:ascii="Times New Roman" w:hAnsi="Times New Roman" w:cs="Times New Roman"/>
          <w:sz w:val="24"/>
          <w:szCs w:val="24"/>
        </w:rPr>
      </w:pPr>
      <w:r w:rsidRPr="001E12E3">
        <w:rPr>
          <w:rFonts w:ascii="Times New Roman" w:hAnsi="Times New Roman" w:cs="Times New Roman"/>
          <w:sz w:val="24"/>
          <w:szCs w:val="24"/>
        </w:rPr>
        <w:t>(3) Costs may be dealt with at any stage of any action or proceeding before the entry of judgment.</w:t>
      </w:r>
    </w:p>
    <w:p w14:paraId="0213738C" w14:textId="77777777" w:rsidR="007F221D" w:rsidRPr="001E12E3" w:rsidRDefault="007F221D" w:rsidP="00357D5E">
      <w:pPr>
        <w:pStyle w:val="ListParagraph"/>
        <w:spacing w:after="240" w:line="240" w:lineRule="auto"/>
        <w:ind w:left="567" w:right="571"/>
        <w:jc w:val="both"/>
        <w:rPr>
          <w:rFonts w:ascii="Times New Roman" w:hAnsi="Times New Roman" w:cs="Times New Roman"/>
          <w:sz w:val="24"/>
          <w:szCs w:val="24"/>
        </w:rPr>
      </w:pPr>
    </w:p>
    <w:p w14:paraId="1E9EAC0A" w14:textId="77777777" w:rsidR="001E12E3" w:rsidRPr="00357D5E" w:rsidRDefault="001E12E3" w:rsidP="00357D5E">
      <w:pPr>
        <w:pStyle w:val="ListParagraph"/>
        <w:spacing w:after="240" w:line="240" w:lineRule="auto"/>
        <w:ind w:left="567" w:right="571"/>
        <w:jc w:val="both"/>
        <w:rPr>
          <w:rFonts w:ascii="Times New Roman" w:hAnsi="Times New Roman" w:cs="Times New Roman"/>
          <w:sz w:val="24"/>
          <w:szCs w:val="24"/>
        </w:rPr>
      </w:pPr>
      <w:r w:rsidRPr="001E12E3">
        <w:rPr>
          <w:rFonts w:ascii="Times New Roman" w:hAnsi="Times New Roman" w:cs="Times New Roman"/>
          <w:sz w:val="24"/>
          <w:szCs w:val="24"/>
        </w:rPr>
        <w:t>644. In a proper case, the Court may order a solicitor who has acted for a party to an action or a proceeding to pay any of the costs of the action or proceeding.</w:t>
      </w:r>
    </w:p>
    <w:p w14:paraId="159FD63A" w14:textId="77777777" w:rsidR="006C31BC" w:rsidRPr="001E12E3" w:rsidRDefault="006C31BC" w:rsidP="006C31BC">
      <w:pPr>
        <w:pStyle w:val="ListParagraph"/>
        <w:spacing w:after="240" w:line="240" w:lineRule="auto"/>
        <w:ind w:left="0"/>
        <w:jc w:val="both"/>
        <w:rPr>
          <w:rFonts w:ascii="Times New Roman" w:hAnsi="Times New Roman" w:cs="Times New Roman"/>
          <w:sz w:val="28"/>
          <w:szCs w:val="28"/>
        </w:rPr>
      </w:pPr>
    </w:p>
    <w:p w14:paraId="0EAD133A" w14:textId="24CBFDA8" w:rsidR="001E12E3" w:rsidRPr="001E12E3" w:rsidRDefault="001E12E3" w:rsidP="00AC28ED">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I would also refer to Rule 93:</w:t>
      </w:r>
    </w:p>
    <w:p w14:paraId="20C74ACD" w14:textId="77777777" w:rsidR="001E12E3" w:rsidRPr="00973633" w:rsidRDefault="001E12E3" w:rsidP="00973633">
      <w:pPr>
        <w:pStyle w:val="ListParagraph"/>
        <w:spacing w:after="240" w:line="240" w:lineRule="auto"/>
        <w:ind w:left="567" w:right="571"/>
        <w:jc w:val="both"/>
        <w:rPr>
          <w:rFonts w:ascii="Times New Roman" w:hAnsi="Times New Roman" w:cs="Times New Roman"/>
          <w:sz w:val="24"/>
          <w:szCs w:val="24"/>
        </w:rPr>
      </w:pPr>
      <w:r w:rsidRPr="001E12E3">
        <w:rPr>
          <w:rFonts w:ascii="Times New Roman" w:hAnsi="Times New Roman" w:cs="Times New Roman"/>
          <w:sz w:val="24"/>
          <w:szCs w:val="24"/>
        </w:rPr>
        <w:t>93(1) A defendant must deliver his or her appearance or statement of defence within the following periods of time commencing the day after the day on which the defendant is served with the statement of claim:</w:t>
      </w:r>
    </w:p>
    <w:p w14:paraId="5389F36E" w14:textId="77777777" w:rsidR="009043C1" w:rsidRPr="001E12E3" w:rsidRDefault="009043C1" w:rsidP="00973633">
      <w:pPr>
        <w:pStyle w:val="ListParagraph"/>
        <w:spacing w:after="240" w:line="240" w:lineRule="auto"/>
        <w:ind w:left="567" w:right="571"/>
        <w:jc w:val="both"/>
        <w:rPr>
          <w:rFonts w:ascii="Times New Roman" w:hAnsi="Times New Roman" w:cs="Times New Roman"/>
          <w:sz w:val="24"/>
          <w:szCs w:val="24"/>
        </w:rPr>
      </w:pPr>
    </w:p>
    <w:p w14:paraId="7FC916E3" w14:textId="309E3A21" w:rsidR="001E12E3" w:rsidRPr="001E12E3" w:rsidRDefault="001E12E3" w:rsidP="00A47503">
      <w:pPr>
        <w:pStyle w:val="ListParagraph"/>
        <w:numPr>
          <w:ilvl w:val="0"/>
          <w:numId w:val="16"/>
        </w:numPr>
        <w:spacing w:after="240"/>
        <w:ind w:right="571"/>
        <w:contextualSpacing w:val="0"/>
        <w:jc w:val="both"/>
        <w:rPr>
          <w:rFonts w:ascii="Times New Roman" w:hAnsi="Times New Roman" w:cs="Times New Roman"/>
          <w:sz w:val="24"/>
          <w:szCs w:val="24"/>
        </w:rPr>
      </w:pPr>
      <w:r w:rsidRPr="001E12E3">
        <w:rPr>
          <w:rFonts w:ascii="Times New Roman" w:hAnsi="Times New Roman" w:cs="Times New Roman"/>
          <w:sz w:val="24"/>
          <w:szCs w:val="24"/>
        </w:rPr>
        <w:t xml:space="preserve">Where the defendant is served within the jurisdiction, 25 </w:t>
      </w:r>
      <w:proofErr w:type="gramStart"/>
      <w:r w:rsidRPr="001E12E3">
        <w:rPr>
          <w:rFonts w:ascii="Times New Roman" w:hAnsi="Times New Roman" w:cs="Times New Roman"/>
          <w:sz w:val="24"/>
          <w:szCs w:val="24"/>
        </w:rPr>
        <w:t>days</w:t>
      </w:r>
      <w:r w:rsidR="0032726C">
        <w:rPr>
          <w:rFonts w:ascii="Times New Roman" w:hAnsi="Times New Roman" w:cs="Times New Roman"/>
          <w:sz w:val="24"/>
          <w:szCs w:val="24"/>
        </w:rPr>
        <w:t>(</w:t>
      </w:r>
      <w:proofErr w:type="gramEnd"/>
      <w:r w:rsidRPr="001E12E3">
        <w:rPr>
          <w:rFonts w:ascii="Times New Roman" w:hAnsi="Times New Roman" w:cs="Times New Roman"/>
          <w:sz w:val="24"/>
          <w:szCs w:val="24"/>
        </w:rPr>
        <w:t>…</w:t>
      </w:r>
      <w:r w:rsidR="0032726C">
        <w:rPr>
          <w:rFonts w:ascii="Times New Roman" w:hAnsi="Times New Roman" w:cs="Times New Roman"/>
          <w:sz w:val="24"/>
          <w:szCs w:val="24"/>
        </w:rPr>
        <w:t>)</w:t>
      </w:r>
    </w:p>
    <w:p w14:paraId="27A5E675" w14:textId="4128DC41" w:rsidR="001E12E3" w:rsidRPr="001E12E3" w:rsidRDefault="001E12E3" w:rsidP="008D139A">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lastRenderedPageBreak/>
        <w:t xml:space="preserve">In </w:t>
      </w:r>
      <w:r w:rsidRPr="001E12E3">
        <w:rPr>
          <w:rFonts w:ascii="Times New Roman" w:hAnsi="Times New Roman" w:cs="Times New Roman"/>
          <w:b/>
          <w:bCs/>
          <w:i/>
          <w:iCs/>
          <w:sz w:val="28"/>
          <w:szCs w:val="28"/>
        </w:rPr>
        <w:t>The Commissioner of the Northwest Territories v 923115 NWT Limited et al</w:t>
      </w:r>
      <w:r w:rsidRPr="001E12E3">
        <w:rPr>
          <w:rFonts w:ascii="Times New Roman" w:hAnsi="Times New Roman" w:cs="Times New Roman"/>
          <w:sz w:val="28"/>
          <w:szCs w:val="28"/>
        </w:rPr>
        <w:t>., 2019 NWTSC 13, Shaner J. (as she then was), provided a clear summary of the legal framework related to costs in the NWT. At para. 31-34, she explained:</w:t>
      </w:r>
    </w:p>
    <w:p w14:paraId="2286D84B" w14:textId="7F4D865F" w:rsidR="001E12E3" w:rsidRPr="001E12E3" w:rsidRDefault="00921914" w:rsidP="00C06ED6">
      <w:pPr>
        <w:pStyle w:val="ListParagraph"/>
        <w:spacing w:after="240"/>
        <w:ind w:left="567" w:right="571"/>
        <w:contextualSpacing w:val="0"/>
        <w:jc w:val="both"/>
        <w:rPr>
          <w:rFonts w:ascii="Times New Roman" w:hAnsi="Times New Roman" w:cs="Times New Roman"/>
          <w:sz w:val="24"/>
          <w:szCs w:val="24"/>
        </w:rPr>
      </w:pPr>
      <w:r>
        <w:rPr>
          <w:rFonts w:ascii="Times New Roman" w:hAnsi="Times New Roman" w:cs="Times New Roman"/>
          <w:sz w:val="24"/>
          <w:szCs w:val="24"/>
        </w:rPr>
        <w:t xml:space="preserve">[31]  </w:t>
      </w:r>
      <w:r w:rsidR="008573E6">
        <w:rPr>
          <w:rFonts w:ascii="Times New Roman" w:hAnsi="Times New Roman" w:cs="Times New Roman"/>
          <w:sz w:val="24"/>
          <w:szCs w:val="24"/>
        </w:rPr>
        <w:t xml:space="preserve"> </w:t>
      </w:r>
      <w:r w:rsidR="001E12E3" w:rsidRPr="001E12E3">
        <w:rPr>
          <w:rFonts w:ascii="Times New Roman" w:hAnsi="Times New Roman" w:cs="Times New Roman"/>
          <w:sz w:val="24"/>
          <w:szCs w:val="24"/>
        </w:rPr>
        <w:t xml:space="preserve">The legal framework is well-known. Costs are discretionary. They are typically awarded on a “party-and-party” scale, which provides partial indemnity in accordance with the tariff set out in Schedule “A” of the </w:t>
      </w:r>
      <w:r w:rsidR="001E12E3" w:rsidRPr="001E12E3">
        <w:rPr>
          <w:rFonts w:ascii="Times New Roman" w:hAnsi="Times New Roman" w:cs="Times New Roman"/>
          <w:i/>
          <w:iCs/>
          <w:sz w:val="24"/>
          <w:szCs w:val="24"/>
        </w:rPr>
        <w:t>Rules of the Supreme Court of the Northwest Territories</w:t>
      </w:r>
      <w:r w:rsidR="001E12E3" w:rsidRPr="001E12E3">
        <w:rPr>
          <w:rFonts w:ascii="Times New Roman" w:hAnsi="Times New Roman" w:cs="Times New Roman"/>
          <w:sz w:val="24"/>
          <w:szCs w:val="24"/>
        </w:rPr>
        <w:t>. Schedule “A” is divided into five columns, each representing costs for steps taken in the suit in relation to the value of the suit or the amount claimed in damages.</w:t>
      </w:r>
    </w:p>
    <w:p w14:paraId="54957310" w14:textId="59521873" w:rsidR="001E12E3" w:rsidRPr="001E12E3" w:rsidRDefault="009725DB" w:rsidP="00C06ED6">
      <w:pPr>
        <w:pStyle w:val="ListParagraph"/>
        <w:spacing w:after="240"/>
        <w:ind w:left="567" w:right="571"/>
        <w:contextualSpacing w:val="0"/>
        <w:jc w:val="both"/>
        <w:rPr>
          <w:rFonts w:ascii="Times New Roman" w:hAnsi="Times New Roman" w:cs="Times New Roman"/>
          <w:sz w:val="24"/>
          <w:szCs w:val="24"/>
        </w:rPr>
      </w:pPr>
      <w:r>
        <w:rPr>
          <w:rFonts w:ascii="Times New Roman" w:hAnsi="Times New Roman" w:cs="Times New Roman"/>
          <w:sz w:val="24"/>
          <w:szCs w:val="24"/>
        </w:rPr>
        <w:t xml:space="preserve">[32]  </w:t>
      </w:r>
      <w:r w:rsidR="002D7AAD">
        <w:rPr>
          <w:rFonts w:ascii="Times New Roman" w:hAnsi="Times New Roman" w:cs="Times New Roman"/>
          <w:sz w:val="24"/>
          <w:szCs w:val="24"/>
        </w:rPr>
        <w:t xml:space="preserve"> </w:t>
      </w:r>
      <w:r w:rsidR="001E12E3" w:rsidRPr="001E12E3">
        <w:rPr>
          <w:rFonts w:ascii="Times New Roman" w:hAnsi="Times New Roman" w:cs="Times New Roman"/>
          <w:sz w:val="24"/>
          <w:szCs w:val="24"/>
        </w:rPr>
        <w:t xml:space="preserve">Recognizing that strict adherence to the tariff may not provide a just result, the Court may, in its discretion, award “enhanced” party-and-party costs. Enhanced party-and-party costs can be calculated in a variety of ways, such as using a multiplier of one of the columns in Schedule “A” or calculating costs on the basis of a column that corresponds to a higher amount than what is claimed or awarded in the suit. (For example, </w:t>
      </w:r>
      <w:proofErr w:type="spellStart"/>
      <w:r w:rsidR="001E12E3" w:rsidRPr="001E12E3">
        <w:rPr>
          <w:rFonts w:ascii="Times New Roman" w:hAnsi="Times New Roman" w:cs="Times New Roman"/>
          <w:i/>
          <w:iCs/>
          <w:sz w:val="24"/>
          <w:szCs w:val="24"/>
        </w:rPr>
        <w:t>Fullowka</w:t>
      </w:r>
      <w:proofErr w:type="spellEnd"/>
      <w:r w:rsidR="001E12E3" w:rsidRPr="001E12E3">
        <w:rPr>
          <w:rFonts w:ascii="Times New Roman" w:hAnsi="Times New Roman" w:cs="Times New Roman"/>
          <w:i/>
          <w:iCs/>
          <w:sz w:val="24"/>
          <w:szCs w:val="24"/>
        </w:rPr>
        <w:t xml:space="preserve"> v Royal Oak Ventures Inc.</w:t>
      </w:r>
      <w:r w:rsidR="001E12E3" w:rsidRPr="001E12E3">
        <w:rPr>
          <w:rFonts w:ascii="Times New Roman" w:hAnsi="Times New Roman" w:cs="Times New Roman"/>
          <w:sz w:val="24"/>
          <w:szCs w:val="24"/>
        </w:rPr>
        <w:t xml:space="preserve">, 2008 NWTCA 9). In determining whether enhanced costs are justified, the Court may take a number of factors into account, including: the complexity of the suit; the amount of the costs recoverable under the tariff compared to the actual costs incurred; the conduct of the other party or parties; and the importance of the issues raised for both litigants and the broader community. </w:t>
      </w:r>
      <w:r w:rsidR="001E12E3" w:rsidRPr="001E12E3">
        <w:rPr>
          <w:rFonts w:ascii="Times New Roman" w:hAnsi="Times New Roman" w:cs="Times New Roman"/>
          <w:i/>
          <w:iCs/>
          <w:sz w:val="24"/>
          <w:szCs w:val="24"/>
        </w:rPr>
        <w:t>WCB v Mercer et al</w:t>
      </w:r>
      <w:r w:rsidR="001E12E3" w:rsidRPr="001E12E3">
        <w:rPr>
          <w:rFonts w:ascii="Times New Roman" w:hAnsi="Times New Roman" w:cs="Times New Roman"/>
          <w:sz w:val="24"/>
          <w:szCs w:val="24"/>
        </w:rPr>
        <w:t xml:space="preserve">; and </w:t>
      </w:r>
      <w:r w:rsidR="001E12E3" w:rsidRPr="001E12E3">
        <w:rPr>
          <w:rFonts w:ascii="Times New Roman" w:hAnsi="Times New Roman" w:cs="Times New Roman"/>
          <w:i/>
          <w:iCs/>
          <w:sz w:val="24"/>
          <w:szCs w:val="24"/>
        </w:rPr>
        <w:t>Mercer v WCB</w:t>
      </w:r>
      <w:r w:rsidR="001E12E3" w:rsidRPr="001E12E3">
        <w:rPr>
          <w:rFonts w:ascii="Times New Roman" w:hAnsi="Times New Roman" w:cs="Times New Roman"/>
          <w:sz w:val="24"/>
          <w:szCs w:val="24"/>
        </w:rPr>
        <w:t xml:space="preserve"> 2012 NWTSC 78 (CanLII), at para 11; </w:t>
      </w:r>
      <w:r w:rsidR="001E12E3" w:rsidRPr="001E12E3">
        <w:rPr>
          <w:rFonts w:ascii="Times New Roman" w:hAnsi="Times New Roman" w:cs="Times New Roman"/>
          <w:i/>
          <w:iCs/>
          <w:sz w:val="24"/>
          <w:szCs w:val="24"/>
        </w:rPr>
        <w:t>5142 NWT Ltd et al v Town of Hay River et al</w:t>
      </w:r>
      <w:r w:rsidR="001E12E3" w:rsidRPr="001E12E3">
        <w:rPr>
          <w:rFonts w:ascii="Times New Roman" w:hAnsi="Times New Roman" w:cs="Times New Roman"/>
          <w:sz w:val="24"/>
          <w:szCs w:val="24"/>
        </w:rPr>
        <w:t xml:space="preserve">, 2008 NWTCA 31 (CanLII), at para 6; </w:t>
      </w:r>
      <w:r w:rsidR="001E12E3" w:rsidRPr="001E12E3">
        <w:rPr>
          <w:rFonts w:ascii="Times New Roman" w:hAnsi="Times New Roman" w:cs="Times New Roman"/>
          <w:i/>
          <w:iCs/>
          <w:sz w:val="24"/>
          <w:szCs w:val="24"/>
        </w:rPr>
        <w:t>Union of Northern Workers v Carriere (No. 2)</w:t>
      </w:r>
      <w:r w:rsidR="001E12E3" w:rsidRPr="001E12E3">
        <w:rPr>
          <w:rFonts w:ascii="Times New Roman" w:hAnsi="Times New Roman" w:cs="Times New Roman"/>
          <w:sz w:val="24"/>
          <w:szCs w:val="24"/>
        </w:rPr>
        <w:t>, 2013 NWTSC 27 (CanLII), at para. 17.</w:t>
      </w:r>
    </w:p>
    <w:p w14:paraId="4283E118" w14:textId="6F09781E" w:rsidR="001E12E3" w:rsidRPr="001E12E3" w:rsidRDefault="009725DB" w:rsidP="00C30260">
      <w:pPr>
        <w:pStyle w:val="ListParagraph"/>
        <w:spacing w:after="240"/>
        <w:ind w:left="567" w:right="571"/>
        <w:contextualSpacing w:val="0"/>
        <w:jc w:val="both"/>
        <w:rPr>
          <w:rFonts w:ascii="Times New Roman" w:hAnsi="Times New Roman" w:cs="Times New Roman"/>
          <w:sz w:val="24"/>
          <w:szCs w:val="24"/>
        </w:rPr>
      </w:pPr>
      <w:r>
        <w:rPr>
          <w:rFonts w:ascii="Times New Roman" w:hAnsi="Times New Roman" w:cs="Times New Roman"/>
          <w:sz w:val="24"/>
          <w:szCs w:val="24"/>
        </w:rPr>
        <w:t xml:space="preserve">[33] </w:t>
      </w:r>
      <w:r w:rsidR="002D7AAD">
        <w:rPr>
          <w:rFonts w:ascii="Times New Roman" w:hAnsi="Times New Roman" w:cs="Times New Roman"/>
          <w:sz w:val="24"/>
          <w:szCs w:val="24"/>
        </w:rPr>
        <w:t xml:space="preserve"> </w:t>
      </w:r>
      <w:r>
        <w:rPr>
          <w:rFonts w:ascii="Times New Roman" w:hAnsi="Times New Roman" w:cs="Times New Roman"/>
          <w:sz w:val="24"/>
          <w:szCs w:val="24"/>
        </w:rPr>
        <w:t xml:space="preserve"> </w:t>
      </w:r>
      <w:r w:rsidR="001E12E3" w:rsidRPr="001E12E3">
        <w:rPr>
          <w:rFonts w:ascii="Times New Roman" w:hAnsi="Times New Roman" w:cs="Times New Roman"/>
          <w:sz w:val="24"/>
          <w:szCs w:val="24"/>
        </w:rPr>
        <w:t xml:space="preserve">Costs may also be awarded on a “solicitor-and-client basis, which is based largely on what counsel </w:t>
      </w:r>
      <w:proofErr w:type="gramStart"/>
      <w:r w:rsidR="001E12E3" w:rsidRPr="001E12E3">
        <w:rPr>
          <w:rFonts w:ascii="Times New Roman" w:hAnsi="Times New Roman" w:cs="Times New Roman"/>
          <w:sz w:val="24"/>
          <w:szCs w:val="24"/>
        </w:rPr>
        <w:t>actually charged</w:t>
      </w:r>
      <w:proofErr w:type="gramEnd"/>
      <w:r w:rsidR="001E12E3" w:rsidRPr="001E12E3">
        <w:rPr>
          <w:rFonts w:ascii="Times New Roman" w:hAnsi="Times New Roman" w:cs="Times New Roman"/>
          <w:sz w:val="24"/>
          <w:szCs w:val="24"/>
        </w:rPr>
        <w:t xml:space="preserve"> the client to complete various steps in the litigation. Barring contractual or legislative provisions allowing for costs on this scale, they are not awarded unless “there has been reprehensible, scandalous or outrageous conduct on the part of one of the parties”. </w:t>
      </w:r>
      <w:r w:rsidR="001E12E3" w:rsidRPr="001E12E3">
        <w:rPr>
          <w:rFonts w:ascii="Times New Roman" w:hAnsi="Times New Roman" w:cs="Times New Roman"/>
          <w:i/>
          <w:iCs/>
          <w:sz w:val="24"/>
          <w:szCs w:val="24"/>
        </w:rPr>
        <w:t>Young v Young</w:t>
      </w:r>
      <w:r w:rsidR="001E12E3" w:rsidRPr="001E12E3">
        <w:rPr>
          <w:rFonts w:ascii="Times New Roman" w:hAnsi="Times New Roman" w:cs="Times New Roman"/>
          <w:sz w:val="24"/>
          <w:szCs w:val="24"/>
        </w:rPr>
        <w:t>, 1993 CanLII 34 (SCC), [1993] 4 SCR 3 (at 134).</w:t>
      </w:r>
    </w:p>
    <w:p w14:paraId="7885384E" w14:textId="5C7E2976" w:rsidR="001E12E3" w:rsidRPr="00C30260" w:rsidRDefault="002D7AAD" w:rsidP="00C30260">
      <w:pPr>
        <w:pStyle w:val="ListParagraph"/>
        <w:spacing w:after="240"/>
        <w:ind w:left="567" w:right="571"/>
        <w:contextualSpacing w:val="0"/>
        <w:jc w:val="both"/>
        <w:rPr>
          <w:rFonts w:ascii="Times New Roman" w:hAnsi="Times New Roman" w:cs="Times New Roman"/>
          <w:sz w:val="24"/>
          <w:szCs w:val="24"/>
        </w:rPr>
      </w:pPr>
      <w:r>
        <w:rPr>
          <w:rFonts w:ascii="Times New Roman" w:hAnsi="Times New Roman" w:cs="Times New Roman"/>
          <w:sz w:val="24"/>
          <w:szCs w:val="24"/>
        </w:rPr>
        <w:t>[34</w:t>
      </w:r>
      <w:proofErr w:type="gramStart"/>
      <w:r>
        <w:rPr>
          <w:rFonts w:ascii="Times New Roman" w:hAnsi="Times New Roman" w:cs="Times New Roman"/>
          <w:sz w:val="24"/>
          <w:szCs w:val="24"/>
        </w:rPr>
        <w:t xml:space="preserve">]  </w:t>
      </w:r>
      <w:r w:rsidR="001E12E3" w:rsidRPr="001E12E3">
        <w:rPr>
          <w:rFonts w:ascii="Times New Roman" w:hAnsi="Times New Roman" w:cs="Times New Roman"/>
          <w:sz w:val="24"/>
          <w:szCs w:val="24"/>
        </w:rPr>
        <w:t>An</w:t>
      </w:r>
      <w:proofErr w:type="gramEnd"/>
      <w:r w:rsidR="001E12E3" w:rsidRPr="001E12E3">
        <w:rPr>
          <w:rFonts w:ascii="Times New Roman" w:hAnsi="Times New Roman" w:cs="Times New Roman"/>
          <w:sz w:val="24"/>
          <w:szCs w:val="24"/>
        </w:rPr>
        <w:t xml:space="preserve"> award of solicitor-and-client costs does not necessarily provide a full indemnity. Costs on this scale may be reduced through taxation and must be reasonable, having regard to </w:t>
      </w:r>
      <w:proofErr w:type="gramStart"/>
      <w:r w:rsidR="001E12E3" w:rsidRPr="001E12E3">
        <w:rPr>
          <w:rFonts w:ascii="Times New Roman" w:hAnsi="Times New Roman" w:cs="Times New Roman"/>
          <w:sz w:val="24"/>
          <w:szCs w:val="24"/>
        </w:rPr>
        <w:t>a number of</w:t>
      </w:r>
      <w:proofErr w:type="gramEnd"/>
      <w:r w:rsidR="001E12E3" w:rsidRPr="001E12E3">
        <w:rPr>
          <w:rFonts w:ascii="Times New Roman" w:hAnsi="Times New Roman" w:cs="Times New Roman"/>
          <w:sz w:val="24"/>
          <w:szCs w:val="24"/>
        </w:rPr>
        <w:t xml:space="preserve"> factors, including the nature and urgency of the proceedings, the skill and labour required, the general conduct of the proceedings and other relevant factors. (Citations omitted.)</w:t>
      </w:r>
    </w:p>
    <w:p w14:paraId="5FE28B30" w14:textId="6F271882" w:rsidR="001E12E3" w:rsidRPr="001E12E3" w:rsidRDefault="001E12E3" w:rsidP="00A57ECA">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lastRenderedPageBreak/>
        <w:t>Shaner J. awarded solicitor-and-client costs in that instance, rejecting the Defendants’ submission that full-indemnity costs were warranted. She held (at para 73) that:</w:t>
      </w:r>
    </w:p>
    <w:p w14:paraId="11028BB4" w14:textId="66B22B51" w:rsidR="001E12E3" w:rsidRDefault="008573E6" w:rsidP="004A50F7">
      <w:pPr>
        <w:pStyle w:val="ListParagraph"/>
        <w:spacing w:after="240"/>
        <w:ind w:left="567" w:right="571"/>
        <w:jc w:val="both"/>
        <w:rPr>
          <w:rFonts w:ascii="Times New Roman" w:hAnsi="Times New Roman" w:cs="Times New Roman"/>
          <w:sz w:val="24"/>
          <w:szCs w:val="24"/>
        </w:rPr>
      </w:pPr>
      <w:r>
        <w:rPr>
          <w:rFonts w:ascii="Times New Roman" w:hAnsi="Times New Roman" w:cs="Times New Roman"/>
          <w:sz w:val="24"/>
          <w:szCs w:val="24"/>
        </w:rPr>
        <w:t>[73</w:t>
      </w:r>
      <w:r w:rsidR="00EC259F">
        <w:rPr>
          <w:rFonts w:ascii="Times New Roman" w:hAnsi="Times New Roman" w:cs="Times New Roman"/>
          <w:sz w:val="24"/>
          <w:szCs w:val="24"/>
        </w:rPr>
        <w:t>]</w:t>
      </w:r>
      <w:proofErr w:type="gramStart"/>
      <w:r w:rsidR="00EC259F">
        <w:rPr>
          <w:rFonts w:ascii="Times New Roman" w:hAnsi="Times New Roman" w:cs="Times New Roman"/>
          <w:sz w:val="24"/>
          <w:szCs w:val="24"/>
        </w:rPr>
        <w:t xml:space="preserve">   </w:t>
      </w:r>
      <w:r w:rsidR="003B4273">
        <w:rPr>
          <w:rFonts w:ascii="Times New Roman" w:hAnsi="Times New Roman" w:cs="Times New Roman"/>
          <w:sz w:val="24"/>
          <w:szCs w:val="24"/>
        </w:rPr>
        <w:t>(</w:t>
      </w:r>
      <w:proofErr w:type="gramEnd"/>
      <w:r w:rsidR="00E63519">
        <w:rPr>
          <w:rFonts w:ascii="Times New Roman" w:hAnsi="Times New Roman" w:cs="Times New Roman"/>
          <w:sz w:val="24"/>
          <w:szCs w:val="24"/>
        </w:rPr>
        <w:t xml:space="preserve">…) </w:t>
      </w:r>
      <w:r w:rsidR="001E12E3" w:rsidRPr="001E12E3">
        <w:rPr>
          <w:rFonts w:ascii="Times New Roman" w:hAnsi="Times New Roman" w:cs="Times New Roman"/>
          <w:sz w:val="24"/>
          <w:szCs w:val="24"/>
        </w:rPr>
        <w:t>The Plaintiff’s conduct does not amount to the type of deliberate misconduct that requires this highly punitive response from the Court. There was no deliberate attempt to mislead the Court, Mr. Holubec or his counsel. The allegations the Plaintiff made against Mr. Holubec and his firm, while ultimately without merit, were not outrageous, made in bad faith or designed to cause harm to these defendants.</w:t>
      </w:r>
    </w:p>
    <w:p w14:paraId="2EC14F85" w14:textId="77777777" w:rsidR="004A50F7" w:rsidRPr="001E12E3" w:rsidRDefault="004A50F7" w:rsidP="004A50F7">
      <w:pPr>
        <w:pStyle w:val="ListParagraph"/>
        <w:spacing w:after="240"/>
        <w:ind w:left="567" w:right="571"/>
        <w:jc w:val="both"/>
        <w:rPr>
          <w:rFonts w:ascii="Times New Roman" w:hAnsi="Times New Roman" w:cs="Times New Roman"/>
          <w:sz w:val="24"/>
          <w:szCs w:val="24"/>
        </w:rPr>
      </w:pPr>
    </w:p>
    <w:p w14:paraId="4E1C658B" w14:textId="63B00B53" w:rsidR="001E12E3" w:rsidRPr="001E12E3" w:rsidRDefault="001E12E3" w:rsidP="004A50F7">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In awarding solicitor-and-client costs, the Court characterized the Plaintiff’s conduct as “reprehensible and an abuse of the Court’s process” (at para 74).</w:t>
      </w:r>
    </w:p>
    <w:p w14:paraId="1B59BFAD" w14:textId="3538DE39" w:rsidR="001E12E3" w:rsidRPr="001E12E3" w:rsidRDefault="001E12E3" w:rsidP="004A50F7">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This approach to the awarding of solicitor-client costs finds support in several other decisions of this Court, including: </w:t>
      </w:r>
      <w:r w:rsidRPr="001E12E3">
        <w:rPr>
          <w:rFonts w:ascii="Times New Roman" w:hAnsi="Times New Roman" w:cs="Times New Roman"/>
          <w:b/>
          <w:bCs/>
          <w:i/>
          <w:iCs/>
          <w:sz w:val="28"/>
          <w:szCs w:val="28"/>
        </w:rPr>
        <w:t>Metis Nation Local 66 and Metis Nation Local 64 v North Slave Metis Alliance</w:t>
      </w:r>
      <w:r w:rsidRPr="001E12E3">
        <w:rPr>
          <w:rFonts w:ascii="Times New Roman" w:hAnsi="Times New Roman" w:cs="Times New Roman"/>
          <w:sz w:val="28"/>
          <w:szCs w:val="28"/>
        </w:rPr>
        <w:t xml:space="preserve">, 1999 NWTSC 23; </w:t>
      </w:r>
      <w:r w:rsidRPr="001E12E3">
        <w:rPr>
          <w:rFonts w:ascii="Times New Roman" w:hAnsi="Times New Roman" w:cs="Times New Roman"/>
          <w:b/>
          <w:bCs/>
          <w:i/>
          <w:iCs/>
          <w:sz w:val="28"/>
          <w:szCs w:val="28"/>
        </w:rPr>
        <w:t>Mackenzie-Luxton v Mackenzie-Luxton</w:t>
      </w:r>
      <w:r w:rsidRPr="001E12E3">
        <w:rPr>
          <w:rFonts w:ascii="Times New Roman" w:hAnsi="Times New Roman" w:cs="Times New Roman"/>
          <w:sz w:val="28"/>
          <w:szCs w:val="28"/>
        </w:rPr>
        <w:t xml:space="preserve">, 2014 NWTSC 65; and </w:t>
      </w:r>
      <w:r w:rsidRPr="001E12E3">
        <w:rPr>
          <w:rFonts w:ascii="Times New Roman" w:hAnsi="Times New Roman" w:cs="Times New Roman"/>
          <w:b/>
          <w:bCs/>
          <w:i/>
          <w:iCs/>
          <w:sz w:val="28"/>
          <w:szCs w:val="28"/>
        </w:rPr>
        <w:t>Yellowknife (City) v Foliot</w:t>
      </w:r>
      <w:r w:rsidRPr="001E12E3">
        <w:rPr>
          <w:rFonts w:ascii="Times New Roman" w:hAnsi="Times New Roman" w:cs="Times New Roman"/>
          <w:sz w:val="28"/>
          <w:szCs w:val="28"/>
        </w:rPr>
        <w:t xml:space="preserve">, 2002 NWTSC 1. </w:t>
      </w:r>
    </w:p>
    <w:p w14:paraId="5D1B13F5" w14:textId="0479C37C" w:rsidR="001E12E3" w:rsidRDefault="004A50F7" w:rsidP="004A50F7">
      <w:pPr>
        <w:pStyle w:val="ListParagraph"/>
        <w:spacing w:after="240" w:line="240" w:lineRule="auto"/>
        <w:ind w:left="0"/>
        <w:jc w:val="both"/>
        <w:rPr>
          <w:rFonts w:ascii="Times New Roman" w:hAnsi="Times New Roman" w:cs="Times New Roman"/>
          <w:b/>
          <w:bCs/>
          <w:sz w:val="28"/>
          <w:szCs w:val="28"/>
        </w:rPr>
      </w:pPr>
      <w:r w:rsidRPr="001E12E3">
        <w:rPr>
          <w:rFonts w:ascii="Times New Roman" w:hAnsi="Times New Roman" w:cs="Times New Roman"/>
          <w:b/>
          <w:bCs/>
          <w:sz w:val="28"/>
          <w:szCs w:val="28"/>
        </w:rPr>
        <w:t>ANALYSIS</w:t>
      </w:r>
    </w:p>
    <w:p w14:paraId="01FE0F7E" w14:textId="77777777" w:rsidR="004A50F7" w:rsidRPr="001E12E3" w:rsidRDefault="004A50F7" w:rsidP="004A50F7">
      <w:pPr>
        <w:pStyle w:val="ListParagraph"/>
        <w:spacing w:after="240" w:line="240" w:lineRule="auto"/>
        <w:ind w:left="0"/>
        <w:jc w:val="both"/>
        <w:rPr>
          <w:rFonts w:ascii="Times New Roman" w:hAnsi="Times New Roman" w:cs="Times New Roman"/>
          <w:b/>
          <w:bCs/>
          <w:sz w:val="28"/>
          <w:szCs w:val="28"/>
        </w:rPr>
      </w:pPr>
    </w:p>
    <w:p w14:paraId="1C7B43C6" w14:textId="5A7EA3CE" w:rsidR="001E12E3" w:rsidRPr="001E12E3" w:rsidRDefault="001E12E3" w:rsidP="00F2041E">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I am satisfied that this is a proper case to award solicitor-and-client to the Defendant. The conduct of the Plaintiff’s counsel fell below the standard expected of a barrister and solicitor and was inconsistent with the duty of fairness and candour that should guide interactions between counsel. In my view, this conduct amounted to “sharp practice” and the kind of conduct that Canadian courts have consistently recognized as warranting enhanced costs. </w:t>
      </w:r>
    </w:p>
    <w:p w14:paraId="1D160E40" w14:textId="70A3458B" w:rsidR="001E12E3" w:rsidRPr="001E12E3" w:rsidRDefault="001E12E3" w:rsidP="00F2041E">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There was no urgency requiring the Defendant to file his Statement of Defence within the timeframe set out in the </w:t>
      </w:r>
      <w:r w:rsidRPr="001E12E3">
        <w:rPr>
          <w:rFonts w:ascii="Times New Roman" w:hAnsi="Times New Roman" w:cs="Times New Roman"/>
          <w:i/>
          <w:iCs/>
          <w:sz w:val="28"/>
          <w:szCs w:val="28"/>
        </w:rPr>
        <w:t>Rules</w:t>
      </w:r>
      <w:r w:rsidRPr="001E12E3">
        <w:rPr>
          <w:rFonts w:ascii="Times New Roman" w:hAnsi="Times New Roman" w:cs="Times New Roman"/>
          <w:sz w:val="28"/>
          <w:szCs w:val="28"/>
        </w:rPr>
        <w:t xml:space="preserve">. In this jurisdiction, counsel routinely grant reasonable extensions. After having delayed service of the Statement of Claim for 18 months, requiring three court-ordered extensions, it was inconsistent – and somewhat disingenuous – for the Plaintiff to insist on strict compliance with the filing deadlines, particularly in the absence of any explanation as to why urgency had suddenly arisen. </w:t>
      </w:r>
    </w:p>
    <w:p w14:paraId="5393BDD8" w14:textId="155701AD" w:rsidR="001E12E3" w:rsidRPr="001E12E3" w:rsidRDefault="001E12E3" w:rsidP="00F2041E">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This was not a case of unresponsive or evasive counsel. Defendant’s counsel remained in regular communication with Plaintiff’s counsel from December 21, </w:t>
      </w:r>
      <w:r w:rsidRPr="001E12E3">
        <w:rPr>
          <w:rFonts w:ascii="Times New Roman" w:hAnsi="Times New Roman" w:cs="Times New Roman"/>
          <w:sz w:val="28"/>
          <w:szCs w:val="28"/>
        </w:rPr>
        <w:lastRenderedPageBreak/>
        <w:t>2023, when the Statement of Claim was served, through at least April 24, 2024, the date of the last relevant emails. The timing and responsiveness of Defendant’s counsel’s communications were reasonable and above reproach.</w:t>
      </w:r>
    </w:p>
    <w:p w14:paraId="64A66DA5" w14:textId="12F7B4C7" w:rsidR="001E12E3" w:rsidRPr="001E12E3" w:rsidRDefault="001E12E3" w:rsidP="00F2041E">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Counsel for the Plaintiff provided conflicting information regarding the extensions for the filing of the Statement of Defence. In his January 8, 2024, communication, he granted an extension to January 31, 2024, but added that if the Defendant’s counsel had not yet received his RAC by that date, the extension would run until three business days after it was issued. This was responsive to Defendant’s counsel’s January 4, 2024, indication that he required time to perfect his retainer, prepare a defence, and reinstate his RAC. On that basis, the filing deadline was effectively tied to the issuance of the new RAC; once it was granted on April 29, 2024, the Statement of Defence was due three business days thereafter.</w:t>
      </w:r>
    </w:p>
    <w:p w14:paraId="48BE4D2A" w14:textId="2CD09C3F" w:rsidR="001E12E3" w:rsidRPr="001E12E3" w:rsidRDefault="001E12E3" w:rsidP="00CC7174">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On January 21, 2024, Plaintiff’s counsel requested an update. The following day, January 22, 2024, Defendant’s counsel informed him that the Law Society required a new RAC, with materials to be submitted by February 22, 2024. On February 7, 2024, Plaintiff’s counsel responded and set a new deadline of February 29, 2024 — seven days beyond the February 22 materials deadline. While technically an extension, this was modest in scope and did little to alleviate the pressure on Defendant’s counsel, who was still engaged in the cumbersome RAC process. This deadline was also inconsistent with the earlier agreement tying the filing of the Statement of Defence to the issuance of the RAC, and Plaintiff’s counsel provided no explanation for selecting it.</w:t>
      </w:r>
    </w:p>
    <w:p w14:paraId="5AB1D521" w14:textId="78846C2E" w:rsidR="001E12E3" w:rsidRPr="001E12E3" w:rsidRDefault="001E12E3" w:rsidP="00CC7174">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On February 28, 2024, counsel for the Defendant requested a few additional weeks to finalize the renewal of his RAC and to file the Statement of Defence. Plaintiff’s counsel agreed on the condition that an unfiled copy of the Statement of Defence be delivered that same day, together with an undertaking to file once the RAC had been obtained. Plaintiff’s counsel described this arrangement as a “reasonable solution”, though it did little to alleviate the pressure created by the earlier unilateral deadlines. By that point, Plaintiff’s counsel knew that Defendant’s counsel faced the cumbersome RAC process, and the February 29 deadline allowed only a total of seven weeks beyond the period specified in the Rules, thereby maintaining procedural pressure. </w:t>
      </w:r>
    </w:p>
    <w:p w14:paraId="7FFCCECE" w14:textId="0B371F45" w:rsidR="001E12E3" w:rsidRPr="001E12E3" w:rsidRDefault="001E12E3" w:rsidP="00CC7174">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lastRenderedPageBreak/>
        <w:t xml:space="preserve"> On March 1, 2024, counsel for the Defendant delivered the draft Statement of Defence, which Plaintiff’s counsel acknowledged receiving the same day. Although technically one day late, no concern was raised at the time, nor was any suggestion made that this very brief delay could justify noting the Defendant in default.</w:t>
      </w:r>
    </w:p>
    <w:p w14:paraId="2096AC0D" w14:textId="77777777" w:rsidR="001E12E3" w:rsidRPr="001E12E3" w:rsidRDefault="001E12E3" w:rsidP="001E12E3">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On March 27, 2024, Plaintiff’s counsel requested a further update on the status of the RAC. Receiving no immediate response, he noted the Defendant in default on April 4, 2024, without providing any notice or warning to opposing counsel. </w:t>
      </w:r>
    </w:p>
    <w:p w14:paraId="4F5321E6" w14:textId="77777777" w:rsidR="001E12E3" w:rsidRDefault="001E12E3" w:rsidP="001E12E3">
      <w:pPr>
        <w:pStyle w:val="ListParagraph"/>
        <w:numPr>
          <w:ilvl w:val="0"/>
          <w:numId w:val="9"/>
        </w:numPr>
        <w:spacing w:after="240"/>
        <w:jc w:val="both"/>
        <w:rPr>
          <w:rFonts w:ascii="Times New Roman" w:hAnsi="Times New Roman" w:cs="Times New Roman"/>
          <w:sz w:val="28"/>
          <w:szCs w:val="28"/>
        </w:rPr>
      </w:pPr>
      <w:r w:rsidRPr="001E12E3">
        <w:rPr>
          <w:rFonts w:ascii="Times New Roman" w:hAnsi="Times New Roman" w:cs="Times New Roman"/>
          <w:sz w:val="28"/>
          <w:szCs w:val="28"/>
        </w:rPr>
        <w:t>Plaintiff’s counsel maintains that the Defendant was the author of his own misfortune. He emphasizes that Defendant’s counsel waited more than four months after service of the Statement of Claim before obtaining an RAC. In his submission, it was neither reasonable nor fair for the Defendant to hold the litigation “hostage” for that length of time.</w:t>
      </w:r>
    </w:p>
    <w:p w14:paraId="0E55B1E8" w14:textId="77777777" w:rsidR="00CC7174" w:rsidRPr="001E12E3" w:rsidRDefault="00CC7174" w:rsidP="00CC7174">
      <w:pPr>
        <w:pStyle w:val="ListParagraph"/>
        <w:spacing w:after="240"/>
        <w:ind w:left="0"/>
        <w:jc w:val="both"/>
        <w:rPr>
          <w:rFonts w:ascii="Times New Roman" w:hAnsi="Times New Roman" w:cs="Times New Roman"/>
          <w:sz w:val="28"/>
          <w:szCs w:val="28"/>
        </w:rPr>
      </w:pPr>
    </w:p>
    <w:p w14:paraId="434850B7" w14:textId="77777777" w:rsidR="001E12E3" w:rsidRDefault="001E12E3" w:rsidP="001E12E3">
      <w:pPr>
        <w:pStyle w:val="ListParagraph"/>
        <w:numPr>
          <w:ilvl w:val="0"/>
          <w:numId w:val="9"/>
        </w:numPr>
        <w:spacing w:after="240"/>
        <w:jc w:val="both"/>
        <w:rPr>
          <w:rFonts w:ascii="Times New Roman" w:hAnsi="Times New Roman" w:cs="Times New Roman"/>
          <w:sz w:val="28"/>
          <w:szCs w:val="28"/>
        </w:rPr>
      </w:pPr>
      <w:r w:rsidRPr="001E12E3">
        <w:rPr>
          <w:rFonts w:ascii="Times New Roman" w:hAnsi="Times New Roman" w:cs="Times New Roman"/>
          <w:sz w:val="28"/>
          <w:szCs w:val="28"/>
        </w:rPr>
        <w:t>In support of this position, Plaintiff’s counsel relies on several arguments. First, he points to his February 7, 2024, communication in which he imposed a February 29 deadline for the filing of the Statement of Defence, while acknowledging that the RAC application “could take a while to process.” He argues that Defendant’s counsel failed to meet this deadline and was therefore on clear notice that his client was at risk of default.</w:t>
      </w:r>
    </w:p>
    <w:p w14:paraId="7C6DE304" w14:textId="77777777" w:rsidR="00897CA5" w:rsidRPr="001E12E3" w:rsidRDefault="00897CA5" w:rsidP="00897CA5">
      <w:pPr>
        <w:pStyle w:val="ListParagraph"/>
        <w:spacing w:after="240"/>
        <w:ind w:left="0"/>
        <w:jc w:val="both"/>
        <w:rPr>
          <w:rFonts w:ascii="Times New Roman" w:hAnsi="Times New Roman" w:cs="Times New Roman"/>
          <w:sz w:val="28"/>
          <w:szCs w:val="28"/>
        </w:rPr>
      </w:pPr>
    </w:p>
    <w:p w14:paraId="484D665B" w14:textId="77777777" w:rsidR="001E12E3" w:rsidRDefault="001E12E3" w:rsidP="001E12E3">
      <w:pPr>
        <w:pStyle w:val="ListParagraph"/>
        <w:numPr>
          <w:ilvl w:val="0"/>
          <w:numId w:val="9"/>
        </w:numPr>
        <w:spacing w:after="240"/>
        <w:jc w:val="both"/>
        <w:rPr>
          <w:rFonts w:ascii="Times New Roman" w:hAnsi="Times New Roman" w:cs="Times New Roman"/>
          <w:sz w:val="28"/>
          <w:szCs w:val="28"/>
        </w:rPr>
      </w:pPr>
      <w:r w:rsidRPr="001E12E3">
        <w:rPr>
          <w:rFonts w:ascii="Times New Roman" w:hAnsi="Times New Roman" w:cs="Times New Roman"/>
          <w:sz w:val="28"/>
          <w:szCs w:val="28"/>
        </w:rPr>
        <w:t xml:space="preserve">Second, Plaintiff’s counsel says that Defendant’s counsel did not contact the Law Society regarding the required RAC until March 15, 2024, well after the February 29 deadline had passed. He asserts that had Defendant’s counsel made contact earlier, he would have learned that he had an active RAC expiring March 15, 2024. In Plaintiff’s counsel’s submission, the Law Society considered the civil action to be related to the earlier criminal proceedings, such that Defendant’s counsel could have filed a Statement of Defence at any time in January or February. At a minimum, Plaintiff’s counsel argues, it was improper for Defendant’s counsel to seek repeated extensions </w:t>
      </w:r>
      <w:proofErr w:type="gramStart"/>
      <w:r w:rsidRPr="001E12E3">
        <w:rPr>
          <w:rFonts w:ascii="Times New Roman" w:hAnsi="Times New Roman" w:cs="Times New Roman"/>
          <w:sz w:val="28"/>
          <w:szCs w:val="28"/>
        </w:rPr>
        <w:t>on the basis of</w:t>
      </w:r>
      <w:proofErr w:type="gramEnd"/>
      <w:r w:rsidRPr="001E12E3">
        <w:rPr>
          <w:rFonts w:ascii="Times New Roman" w:hAnsi="Times New Roman" w:cs="Times New Roman"/>
          <w:sz w:val="28"/>
          <w:szCs w:val="28"/>
        </w:rPr>
        <w:t xml:space="preserve"> the RAC while taking no steps to obtain one until March.</w:t>
      </w:r>
    </w:p>
    <w:p w14:paraId="45CDC5DE" w14:textId="77777777" w:rsidR="00897CA5" w:rsidRPr="001E12E3" w:rsidRDefault="00897CA5" w:rsidP="00897CA5">
      <w:pPr>
        <w:pStyle w:val="ListParagraph"/>
        <w:spacing w:after="240"/>
        <w:ind w:left="0"/>
        <w:jc w:val="both"/>
        <w:rPr>
          <w:rFonts w:ascii="Times New Roman" w:hAnsi="Times New Roman" w:cs="Times New Roman"/>
          <w:sz w:val="28"/>
          <w:szCs w:val="28"/>
        </w:rPr>
      </w:pPr>
    </w:p>
    <w:p w14:paraId="5C5C7DC9" w14:textId="77777777" w:rsidR="001E12E3" w:rsidRDefault="001E12E3" w:rsidP="001E12E3">
      <w:pPr>
        <w:pStyle w:val="ListParagraph"/>
        <w:numPr>
          <w:ilvl w:val="0"/>
          <w:numId w:val="9"/>
        </w:numPr>
        <w:spacing w:after="240"/>
        <w:jc w:val="both"/>
        <w:rPr>
          <w:rFonts w:ascii="Times New Roman" w:hAnsi="Times New Roman" w:cs="Times New Roman"/>
          <w:sz w:val="28"/>
          <w:szCs w:val="28"/>
        </w:rPr>
      </w:pPr>
      <w:r w:rsidRPr="001E12E3">
        <w:rPr>
          <w:rFonts w:ascii="Times New Roman" w:hAnsi="Times New Roman" w:cs="Times New Roman"/>
          <w:sz w:val="28"/>
          <w:szCs w:val="28"/>
        </w:rPr>
        <w:lastRenderedPageBreak/>
        <w:t>Third, Plaintiff’s counsel stresses that he respected the long-standing practice in the Northwest Territories of providing notice before noting a defendant in default. He says that he did so by making it clear on February 7 that the deadline was February 29. In his view, Defendant’s counsel should have known that his client was in jeopardy of being noted in default if the Statement of Defence was not filed by that date.</w:t>
      </w:r>
    </w:p>
    <w:p w14:paraId="0B5F3F86" w14:textId="77777777" w:rsidR="00897CA5" w:rsidRPr="001E12E3" w:rsidRDefault="00897CA5" w:rsidP="00897CA5">
      <w:pPr>
        <w:pStyle w:val="ListParagraph"/>
        <w:spacing w:after="240"/>
        <w:ind w:left="0"/>
        <w:jc w:val="both"/>
        <w:rPr>
          <w:rFonts w:ascii="Times New Roman" w:hAnsi="Times New Roman" w:cs="Times New Roman"/>
          <w:sz w:val="28"/>
          <w:szCs w:val="28"/>
        </w:rPr>
      </w:pPr>
    </w:p>
    <w:p w14:paraId="635261DB" w14:textId="77777777" w:rsidR="001E12E3" w:rsidRDefault="001E12E3" w:rsidP="001E12E3">
      <w:pPr>
        <w:pStyle w:val="ListParagraph"/>
        <w:numPr>
          <w:ilvl w:val="0"/>
          <w:numId w:val="9"/>
        </w:numPr>
        <w:spacing w:after="240"/>
        <w:jc w:val="both"/>
        <w:rPr>
          <w:rFonts w:ascii="Times New Roman" w:hAnsi="Times New Roman" w:cs="Times New Roman"/>
          <w:sz w:val="28"/>
          <w:szCs w:val="28"/>
        </w:rPr>
      </w:pPr>
      <w:r w:rsidRPr="001E12E3">
        <w:rPr>
          <w:rFonts w:ascii="Times New Roman" w:hAnsi="Times New Roman" w:cs="Times New Roman"/>
          <w:sz w:val="28"/>
          <w:szCs w:val="28"/>
        </w:rPr>
        <w:t>Fourth, Plaintiff’s counsel points to what he characterizes as a further courtesy: allowing Defendant’s counsel to provide an unfiled Statement of Defence by February 29, with the understanding that it would be filed once the RAC was issued. He complains that Defendant’s counsel never gave a formal undertaking to file the defence once an RAC was obtained. While an unfiled defence was provided, Plaintiff’s counsel says he then waited an additional month. By late March, having learned through his March 6 exchange with Ms. Copple that Defendant’s counsel “may have had an RAC the whole time,” he contacted Defendant’s counsel for an update. When no response was received within eight days, he proceeded to note the Defendant in default on April 4, 2024.</w:t>
      </w:r>
    </w:p>
    <w:p w14:paraId="64EE5D69" w14:textId="77777777" w:rsidR="00897CA5" w:rsidRPr="001E12E3" w:rsidRDefault="00897CA5" w:rsidP="00897CA5">
      <w:pPr>
        <w:pStyle w:val="ListParagraph"/>
        <w:spacing w:after="240"/>
        <w:ind w:left="0"/>
        <w:jc w:val="both"/>
        <w:rPr>
          <w:rFonts w:ascii="Times New Roman" w:hAnsi="Times New Roman" w:cs="Times New Roman"/>
          <w:sz w:val="28"/>
          <w:szCs w:val="28"/>
        </w:rPr>
      </w:pPr>
    </w:p>
    <w:p w14:paraId="72E6CE9B" w14:textId="2C7A82D4" w:rsidR="001E12E3" w:rsidRPr="001E12E3" w:rsidRDefault="001E12E3" w:rsidP="00424DE5">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I am unable to accept Plaintiff’s counsel’s characterization of events. His submissions are not borne out by the record.</w:t>
      </w:r>
    </w:p>
    <w:p w14:paraId="1B9104E6" w14:textId="77777777" w:rsidR="001E12E3" w:rsidRPr="001E12E3" w:rsidRDefault="001E12E3" w:rsidP="001E12E3">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First, the suggestion that Defendant’s counsel only approached the Law Society on March 15, 2024, is contradicted by the evidence. By January 22, 2024, Defendant’s counsel had already been advised that he needed to file a new application for an RAC. His January 22 letter to Plaintiff’s counsel makes this plain. It refers to the requirement that he provide certificates of standing and insurance from other law societies and confirms that the Law Society had given him until February 22, 2024, to supply those materials. Defendant’s counsel’s subsequent requests for certificates from the Law Society of Upper Canada (February 27) and the Law Society of Saskatchewan (February 29), as well as the NWT Law Society’s extension of his deadline to March 15, confirm that he was actively pursuing the process well before the date alleged by Plaintiff’s counsel.</w:t>
      </w:r>
    </w:p>
    <w:p w14:paraId="75AD56BA" w14:textId="5411AC7B" w:rsidR="001E12E3" w:rsidRPr="001E12E3" w:rsidRDefault="001E12E3" w:rsidP="00424DE5">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Second, the claim that Defendant’s counsel held an “active RAC” until March 15, 2024, is not supported by the record. The prior RAC, issued in the criminal </w:t>
      </w:r>
      <w:r w:rsidRPr="001E12E3">
        <w:rPr>
          <w:rFonts w:ascii="Times New Roman" w:hAnsi="Times New Roman" w:cs="Times New Roman"/>
          <w:sz w:val="28"/>
          <w:szCs w:val="28"/>
        </w:rPr>
        <w:lastRenderedPageBreak/>
        <w:t>matter, expired in October 2023. The March 15 date appears not to have been an expiry at all, but rather the extended deadline imposed by the Law Society for the perfection of Defendant’s counsel’s new application. Plaintiff’s counsel’s belief to the contrary stemmed from his March 6 communication with Ms. Copple, who provided detailed information regarding Defendant’s counsel’s situation. Unfortunately, the information was incomplete and, indeed, inaccurate. Plaintiff’s counsel did not disclose this communication to Defendant’s counsel, even though he relied upon it to justify subsequent steps.</w:t>
      </w:r>
    </w:p>
    <w:p w14:paraId="10E7EFC9" w14:textId="1188C8B0" w:rsidR="001E12E3" w:rsidRPr="001E12E3" w:rsidRDefault="001E12E3" w:rsidP="00424DE5">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Third, the February 7, 2024 “deadline” imposed by Plaintiff’s counsel was unilateral. It was inconsistent with the agreement the parties had made on January 8, which tied the filing of the Statement of Defence to the issuance of the RAC. Moreover, Plaintiff’s counsel himself acknowledged on February 7 that the application process “could take a while to process.” In these circumstances, it was not reasonable to insist on a February 29 deadline when it was already apparent that the RAC process might extend beyond that date.</w:t>
      </w:r>
    </w:p>
    <w:p w14:paraId="2AF14213" w14:textId="1E1F6A1B" w:rsidR="001E12E3" w:rsidRPr="001E12E3" w:rsidRDefault="001E12E3" w:rsidP="00424DE5">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Fourth, Plaintiff’s counsel’s assertion that he complied with the long-standing practice of giving notice before noting a party in default is also not persuasive. While he communicated the February 29 deadline, he accepted on March 1, 2024, that receipt of an unfiled Statement of Defence was a “reasonable solution.” Plaintiff’s counsel never brought any concerns that he may have had with the missing undertaking to the attention of counsel for the Defendant. Having failed to voice any concern, he cannot now rely on the absence of a formal undertaking as justification for proceeding to default without warning. To the contrary, fairness required that he provide explicit notice to Defendant’s counsel before taking such a drastic step — particularly when he had information (albeit flawed) from the Law Society suggesting that the RAC issue remained in flux. The insistence on an undertaking was a narrow technical objection that disregarded the overriding concern that the litigation be resolved on the merits rather than by procedural default.</w:t>
      </w:r>
    </w:p>
    <w:p w14:paraId="528D5EF4" w14:textId="29B13545" w:rsidR="001E12E3" w:rsidRPr="001E12E3" w:rsidRDefault="001E12E3" w:rsidP="00424DE5">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Finally, Plaintiff’s counsel criticizes Defendant’s counsel for taking 130 days from service of the claim to obtain an RAC. In the circumstances of this case, I do not consider that the delay excessive. It was compounded by the Plaintiff’s own delay in serving the claim, the uncertainty within the Law Society about whether a renewal or a new application was required, and the time needed to obtain certificates </w:t>
      </w:r>
      <w:r w:rsidRPr="001E12E3">
        <w:rPr>
          <w:rFonts w:ascii="Times New Roman" w:hAnsi="Times New Roman" w:cs="Times New Roman"/>
          <w:sz w:val="28"/>
          <w:szCs w:val="28"/>
        </w:rPr>
        <w:lastRenderedPageBreak/>
        <w:t>from other jurisdictions. Against that background, the Defendant cannot fairly be blamed for the length of the process.</w:t>
      </w:r>
    </w:p>
    <w:p w14:paraId="1480859E" w14:textId="77777777" w:rsidR="001E12E3" w:rsidRPr="001E12E3" w:rsidRDefault="001E12E3" w:rsidP="001E12E3">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Taken together, these factors demonstrate that Plaintiff’s counsel’s conduct was unreasonable. He relied on incomplete information from the Law Society, failed to disclose this information to his opponent, imposed unilateral deadlines inconsistent with prior agreements, and noted the Defendant in default without the courtesy of proper notice. This was, in my view, sharp practice.</w:t>
      </w:r>
    </w:p>
    <w:p w14:paraId="2192C31C" w14:textId="77777777" w:rsidR="001E12E3" w:rsidRDefault="001E12E3" w:rsidP="001E12E3">
      <w:pPr>
        <w:pStyle w:val="ListParagraph"/>
        <w:numPr>
          <w:ilvl w:val="0"/>
          <w:numId w:val="9"/>
        </w:numPr>
        <w:spacing w:after="240"/>
        <w:jc w:val="both"/>
        <w:rPr>
          <w:rFonts w:ascii="Times New Roman" w:hAnsi="Times New Roman" w:cs="Times New Roman"/>
          <w:sz w:val="28"/>
          <w:szCs w:val="28"/>
        </w:rPr>
      </w:pPr>
      <w:r w:rsidRPr="001E12E3">
        <w:rPr>
          <w:rFonts w:ascii="Times New Roman" w:hAnsi="Times New Roman" w:cs="Times New Roman"/>
          <w:sz w:val="28"/>
          <w:szCs w:val="28"/>
        </w:rPr>
        <w:t>The deficiencies in Plaintiff’s counsel’s conduct are not cured by the fact that he may have initially been acting under a misunderstanding as to the status of the Law Society’s consideration of the RAC. Even if one accepts that explanation at face value, the proper course would have been to seek clarification from opposing counsel before taking the drastic step of noting the Defendant in default. He did not do so. Instead, he acted unilaterally, based on inaccurate and undisclosed information.</w:t>
      </w:r>
    </w:p>
    <w:p w14:paraId="0109CD07" w14:textId="77777777" w:rsidR="0030791C" w:rsidRPr="001E12E3" w:rsidRDefault="0030791C" w:rsidP="0030791C">
      <w:pPr>
        <w:pStyle w:val="ListParagraph"/>
        <w:spacing w:after="240"/>
        <w:ind w:left="0"/>
        <w:jc w:val="both"/>
        <w:rPr>
          <w:rFonts w:ascii="Times New Roman" w:hAnsi="Times New Roman" w:cs="Times New Roman"/>
          <w:sz w:val="28"/>
          <w:szCs w:val="28"/>
        </w:rPr>
      </w:pPr>
    </w:p>
    <w:p w14:paraId="1653D24E" w14:textId="1CBDFD06" w:rsidR="001E12E3" w:rsidRDefault="001E12E3" w:rsidP="001E12E3">
      <w:pPr>
        <w:pStyle w:val="ListParagraph"/>
        <w:numPr>
          <w:ilvl w:val="0"/>
          <w:numId w:val="9"/>
        </w:numPr>
        <w:spacing w:after="240"/>
        <w:jc w:val="both"/>
        <w:rPr>
          <w:rFonts w:ascii="Times New Roman" w:hAnsi="Times New Roman" w:cs="Times New Roman"/>
          <w:sz w:val="28"/>
          <w:szCs w:val="28"/>
        </w:rPr>
      </w:pPr>
      <w:r w:rsidRPr="001E12E3">
        <w:rPr>
          <w:rFonts w:ascii="Times New Roman" w:hAnsi="Times New Roman" w:cs="Times New Roman"/>
          <w:sz w:val="28"/>
          <w:szCs w:val="28"/>
        </w:rPr>
        <w:t xml:space="preserve">More troubling still, once it became clear that his understanding was mistaken — that the Defendant’s counsel did not have a subsisting RAC in March and had in fact been actively pursuing a new RAC since January — Plaintiff’s counsel did not retreat from his position. He did not consent to the setting aside of the default or the late filing of the defence and counterclaim. The Defendant was, accordingly, forced to bring a motion to obtain that relief. This unnecessary and avoidable step prolonged the litigation, required the preparation of a full evidentiary record, imposed additional costs, and compounded the prejudice to the Defendant. </w:t>
      </w:r>
    </w:p>
    <w:p w14:paraId="7655ABFE" w14:textId="77777777" w:rsidR="0030791C" w:rsidRPr="001E12E3" w:rsidRDefault="0030791C" w:rsidP="0030791C">
      <w:pPr>
        <w:pStyle w:val="ListParagraph"/>
        <w:spacing w:after="240"/>
        <w:ind w:left="0"/>
        <w:jc w:val="both"/>
        <w:rPr>
          <w:rFonts w:ascii="Times New Roman" w:hAnsi="Times New Roman" w:cs="Times New Roman"/>
          <w:sz w:val="28"/>
          <w:szCs w:val="28"/>
        </w:rPr>
      </w:pPr>
    </w:p>
    <w:p w14:paraId="28B7B89A" w14:textId="77777777" w:rsidR="001E12E3" w:rsidRDefault="001E12E3" w:rsidP="001E12E3">
      <w:pPr>
        <w:pStyle w:val="ListParagraph"/>
        <w:numPr>
          <w:ilvl w:val="0"/>
          <w:numId w:val="9"/>
        </w:numPr>
        <w:spacing w:after="240"/>
        <w:jc w:val="both"/>
        <w:rPr>
          <w:rFonts w:ascii="Times New Roman" w:hAnsi="Times New Roman" w:cs="Times New Roman"/>
          <w:sz w:val="28"/>
          <w:szCs w:val="28"/>
        </w:rPr>
      </w:pPr>
      <w:r w:rsidRPr="001E12E3">
        <w:rPr>
          <w:rFonts w:ascii="Times New Roman" w:hAnsi="Times New Roman" w:cs="Times New Roman"/>
          <w:sz w:val="28"/>
          <w:szCs w:val="28"/>
        </w:rPr>
        <w:t>This is not mere error; it is conduct that rises to the level of sharp practice. It reflects a failure to deal with opposing counsel fairly, candidly, and in good faith. The cumulative effect was to obstruct the progress of the litigation, force the Defendant into needless procedural skirmishes, and impose unnecessary cost and delay on the court process.</w:t>
      </w:r>
    </w:p>
    <w:p w14:paraId="5589EEAB" w14:textId="77777777" w:rsidR="0030791C" w:rsidRPr="001E12E3" w:rsidRDefault="0030791C" w:rsidP="0030791C">
      <w:pPr>
        <w:pStyle w:val="ListParagraph"/>
        <w:spacing w:after="240"/>
        <w:ind w:left="0"/>
        <w:jc w:val="both"/>
        <w:rPr>
          <w:rFonts w:ascii="Times New Roman" w:hAnsi="Times New Roman" w:cs="Times New Roman"/>
          <w:sz w:val="28"/>
          <w:szCs w:val="28"/>
        </w:rPr>
      </w:pPr>
    </w:p>
    <w:p w14:paraId="2B31C39D" w14:textId="77777777" w:rsidR="001E12E3" w:rsidRPr="001E12E3" w:rsidRDefault="001E12E3" w:rsidP="001E12E3">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Plaintiff’s counsel’s conduct placed unnecessary and improper procedural pressure on opposing counsel. This approach was inconsistent with the duty of </w:t>
      </w:r>
      <w:r w:rsidRPr="001E12E3">
        <w:rPr>
          <w:rFonts w:ascii="Times New Roman" w:hAnsi="Times New Roman" w:cs="Times New Roman"/>
          <w:sz w:val="28"/>
          <w:szCs w:val="28"/>
        </w:rPr>
        <w:lastRenderedPageBreak/>
        <w:t>fairness, civility, and candour that should govern professional dealings between lawyers.</w:t>
      </w:r>
    </w:p>
    <w:p w14:paraId="2F2A2571" w14:textId="77777777" w:rsidR="001E12E3" w:rsidRDefault="001E12E3" w:rsidP="001E12E3">
      <w:pPr>
        <w:pStyle w:val="ListParagraph"/>
        <w:numPr>
          <w:ilvl w:val="0"/>
          <w:numId w:val="9"/>
        </w:numPr>
        <w:spacing w:after="240"/>
        <w:jc w:val="both"/>
        <w:rPr>
          <w:rFonts w:ascii="Times New Roman" w:hAnsi="Times New Roman" w:cs="Times New Roman"/>
          <w:sz w:val="28"/>
          <w:szCs w:val="28"/>
        </w:rPr>
      </w:pPr>
      <w:r w:rsidRPr="001E12E3">
        <w:rPr>
          <w:rFonts w:ascii="Times New Roman" w:hAnsi="Times New Roman" w:cs="Times New Roman"/>
          <w:sz w:val="28"/>
          <w:szCs w:val="28"/>
        </w:rPr>
        <w:t>The record demonstrates that these burdens were the product of Plaintiff’s counsel’s insistence on a strict, technical approach to timelines, despite his knowledge of the cumbersome process required for Defendant’s counsel to obtain a new RAC. Rather than engaging with opposing counsel in good faith to accommodate those circumstances, Plaintiff’s counsel pursued a course of conduct that increased the expense and complexity of the proceedings.</w:t>
      </w:r>
    </w:p>
    <w:p w14:paraId="4AF78E2F" w14:textId="77777777" w:rsidR="0030791C" w:rsidRPr="001E12E3" w:rsidRDefault="0030791C" w:rsidP="0030791C">
      <w:pPr>
        <w:pStyle w:val="ListParagraph"/>
        <w:spacing w:after="240"/>
        <w:ind w:left="0"/>
        <w:jc w:val="both"/>
        <w:rPr>
          <w:rFonts w:ascii="Times New Roman" w:hAnsi="Times New Roman" w:cs="Times New Roman"/>
          <w:sz w:val="28"/>
          <w:szCs w:val="28"/>
        </w:rPr>
      </w:pPr>
    </w:p>
    <w:p w14:paraId="7EEB3DDC" w14:textId="77777777" w:rsidR="001E12E3" w:rsidRDefault="001E12E3" w:rsidP="001E12E3">
      <w:pPr>
        <w:pStyle w:val="ListParagraph"/>
        <w:numPr>
          <w:ilvl w:val="0"/>
          <w:numId w:val="9"/>
        </w:numPr>
        <w:spacing w:after="240"/>
        <w:jc w:val="both"/>
        <w:rPr>
          <w:rFonts w:ascii="Times New Roman" w:hAnsi="Times New Roman" w:cs="Times New Roman"/>
          <w:sz w:val="28"/>
          <w:szCs w:val="28"/>
        </w:rPr>
      </w:pPr>
      <w:r w:rsidRPr="001E12E3">
        <w:rPr>
          <w:rFonts w:ascii="Times New Roman" w:hAnsi="Times New Roman" w:cs="Times New Roman"/>
          <w:sz w:val="28"/>
          <w:szCs w:val="28"/>
        </w:rPr>
        <w:t xml:space="preserve">In these circumstances, ordinary costs are insufficient. The appropriate response is an award of solicitor-and-client costs, both to indemnify the Defendant for expenses incurred </w:t>
      </w:r>
      <w:proofErr w:type="gramStart"/>
      <w:r w:rsidRPr="001E12E3">
        <w:rPr>
          <w:rFonts w:ascii="Times New Roman" w:hAnsi="Times New Roman" w:cs="Times New Roman"/>
          <w:sz w:val="28"/>
          <w:szCs w:val="28"/>
        </w:rPr>
        <w:t>as a result of</w:t>
      </w:r>
      <w:proofErr w:type="gramEnd"/>
      <w:r w:rsidRPr="001E12E3">
        <w:rPr>
          <w:rFonts w:ascii="Times New Roman" w:hAnsi="Times New Roman" w:cs="Times New Roman"/>
          <w:sz w:val="28"/>
          <w:szCs w:val="28"/>
        </w:rPr>
        <w:t xml:space="preserve"> Plaintiff’s counsel’s conduct falling short of the standards of candour and fairness expected, and to mark the Court’s disapproval of that approach. Only a heightened costs award will deter similar tactics and reinforce the expectation that counsel must act with candour and fairness, particularly when invoking the extraordinary remedy of default.</w:t>
      </w:r>
    </w:p>
    <w:p w14:paraId="7764F574" w14:textId="77777777" w:rsidR="0030791C" w:rsidRPr="001E12E3" w:rsidRDefault="0030791C" w:rsidP="0030791C">
      <w:pPr>
        <w:pStyle w:val="ListParagraph"/>
        <w:spacing w:after="240"/>
        <w:ind w:left="0"/>
        <w:jc w:val="both"/>
        <w:rPr>
          <w:rFonts w:ascii="Times New Roman" w:hAnsi="Times New Roman" w:cs="Times New Roman"/>
          <w:sz w:val="28"/>
          <w:szCs w:val="28"/>
        </w:rPr>
      </w:pPr>
    </w:p>
    <w:p w14:paraId="1FF2412C" w14:textId="61EFB3AD" w:rsidR="001E12E3" w:rsidRPr="001E12E3" w:rsidRDefault="001E12E3" w:rsidP="0030791C">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For the reasons set out above, I am satisfied that the conduct of Plaintiff’s counsel’s amounted to sharp practice. The sharp practice is demonstrated in several respects. First, he linked the filing deadline to the issuance of the RAC, but then unilaterally imposed earlier deadlines. Second, he noted the Defendant in default without providing reasonable or proper notice. Third, he relied on the absence of a formal undertaking from the Defendant despite having unconditionally accepted the unfiled Statement of Defence and never raising any concern with respect to the absence of the undertaking. Fourth, he maintained a rigid position even when it became apparent that his initial understanding of the RAC status was mistaken. His refusal to consent to the setting aside of the noting in default, thereby forcing unnecessary proceedings, had the effect of prolonging the litigation and leading to unnecessary costs to the Defendant. In these circumstances, reliance on the missing undertaking was unreasonable. Collectively, these actions reflect conduct that was reprehensible and fell below the standard of fairness and candour required of counsel. Issues relating to the Plaintiff’s counsel’s membership on the Law Society Executive, giving rise to a potential conflict of interest, are addressed in the following section and serve only to underscore and aggravate the conclusion.  </w:t>
      </w:r>
    </w:p>
    <w:p w14:paraId="3EBC4E49" w14:textId="7CEB0EE7" w:rsidR="001E12E3" w:rsidRPr="001E12E3" w:rsidRDefault="001E12E3" w:rsidP="0030791C">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lastRenderedPageBreak/>
        <w:t xml:space="preserve">A further concern arises from Plaintiff’s counsel’s direct engagement with the Law Society concerning Defendant’s counsel’s ability to practice in the NWT. On March 6, 2024, Plaintiff’s counsel corresponded with the Executive Director of the Law Society about the status of the Defendant’s RAC. At this point, he was already aware that the RAC issue was </w:t>
      </w:r>
      <w:proofErr w:type="gramStart"/>
      <w:r w:rsidRPr="001E12E3">
        <w:rPr>
          <w:rFonts w:ascii="Times New Roman" w:hAnsi="Times New Roman" w:cs="Times New Roman"/>
          <w:sz w:val="28"/>
          <w:szCs w:val="28"/>
        </w:rPr>
        <w:t>unresolved</w:t>
      </w:r>
      <w:proofErr w:type="gramEnd"/>
      <w:r w:rsidRPr="001E12E3">
        <w:rPr>
          <w:rFonts w:ascii="Times New Roman" w:hAnsi="Times New Roman" w:cs="Times New Roman"/>
          <w:sz w:val="28"/>
          <w:szCs w:val="28"/>
        </w:rPr>
        <w:t xml:space="preserve"> and that opposing counsel required time to complete a process that he had previously described as taking some time to complete. As a member of the Law Society Executive, responsible for overseeing and approving new RAC applications, he had access to information that would not have been available had he sought it solely in his role as litigation counsel. The Executive Director provided detailed information about this </w:t>
      </w:r>
      <w:proofErr w:type="gramStart"/>
      <w:r w:rsidRPr="001E12E3">
        <w:rPr>
          <w:rFonts w:ascii="Times New Roman" w:hAnsi="Times New Roman" w:cs="Times New Roman"/>
          <w:sz w:val="28"/>
          <w:szCs w:val="28"/>
        </w:rPr>
        <w:t>particular RAC</w:t>
      </w:r>
      <w:proofErr w:type="gramEnd"/>
      <w:r w:rsidRPr="001E12E3">
        <w:rPr>
          <w:rFonts w:ascii="Times New Roman" w:hAnsi="Times New Roman" w:cs="Times New Roman"/>
          <w:sz w:val="28"/>
          <w:szCs w:val="28"/>
        </w:rPr>
        <w:t xml:space="preserve"> despite indicating that she could not discuss individual cases still in the application process. She went on to indicate that Plaintiff’s counsel, as a member of the Executive, would, however, be aware of someone applying for a new RAC. Plaintiff’s counsel then observed that he “supposed it is a related proceeding” and then inquired when the current RAC expired. In response to this question, the Executive Director stated that it expired on March 15, 2024. She went on to say that only “closely related” matters were covered under a single RAC. Plaintiff’s counsel relied on this information in deciding to note the Defendant in Default, without the knowledge of opposing counsel regarding his dual role or the source and content of the information. </w:t>
      </w:r>
    </w:p>
    <w:p w14:paraId="75358F10" w14:textId="3E6F9D78" w:rsidR="001E12E3" w:rsidRPr="001E12E3" w:rsidRDefault="001E12E3" w:rsidP="0030791C">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There is no indication on the record that Plaintiff’s counsel disclosed his role on the Executive to Defendant’s counsel. Similarly, there is no indication that he disclosed his involvement in this litigation to the Law Society prior to contacting the Executive Director regarding Defendant’s counsel’s application. Nor is there any indication that he recused himself from consideration of Defendant’s counsel’s application. In these circumstances, Plaintiff’s counsel had an obligation to manage this potential conflict carefully and to ensure that both opposing counsel and the Law Society were fully informed of his dual role.</w:t>
      </w:r>
    </w:p>
    <w:p w14:paraId="7B66E067" w14:textId="6F291446" w:rsidR="001E12E3" w:rsidRPr="001E12E3" w:rsidRDefault="001E12E3" w:rsidP="008F012A">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Plaintiff’s counsel’s failure to disclose his membership on the Law Society Executive, and his engagement with the Executive Director regarding the Defendant’s counsel’s RAC, did not meet the professional standard expected of counsel. He had an obligation to manage the potential conflict carefully, ensuring that both opposing counsel and the Law Society were apprised of his dual role. By not doing so, he limited opposing counsel’s opportunity to understand and respond </w:t>
      </w:r>
      <w:r w:rsidRPr="001E12E3">
        <w:rPr>
          <w:rFonts w:ascii="Times New Roman" w:hAnsi="Times New Roman" w:cs="Times New Roman"/>
          <w:sz w:val="28"/>
          <w:szCs w:val="28"/>
        </w:rPr>
        <w:lastRenderedPageBreak/>
        <w:t xml:space="preserve">to the circumstances properly. Additionally, this conduct raised concerns regarding the independence of the Law Society’s regulatory role. </w:t>
      </w:r>
    </w:p>
    <w:p w14:paraId="20FC9C69" w14:textId="4668732D" w:rsidR="001E12E3" w:rsidRPr="001E12E3" w:rsidRDefault="001E12E3" w:rsidP="008F012A">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Plaintiff’s counsel’s approach created a difficult situation for opposing counsel. By pressing ahead with a default in the face of known uncertainties regarding the RAC, and without first inquiring about the absence of an undertaking, and the status of the RAC, he created unnecessary procedural complications. This course of action was not compelled by the Rules; rather, it increased the risk of procedural unfairness.</w:t>
      </w:r>
    </w:p>
    <w:p w14:paraId="77138D51" w14:textId="01C1B0FF" w:rsidR="001E12E3" w:rsidRPr="001E12E3" w:rsidRDefault="001E12E3" w:rsidP="008F012A">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Plaintiff’s counsel’s dual role as a member of the Law Society Executive and counsel of record in this litigation further complicated matters. On March 6, 2024, he corresponded with the Executive Director regarding the Defendant’s RAC, though it is not clear whether he did so in his capacity as litigation counsel or as a member of the Executive. Based on the tone and content of the communication with the Executive Director, it seems more probable than not that he did so in his capacity as a member of the Executive. Under the circumstances, it seems reasonable to infer that the Executive Director engaged in the discussion about a specific RAC application – something that she acknowledged should not occur – </w:t>
      </w:r>
      <w:proofErr w:type="gramStart"/>
      <w:r w:rsidRPr="001E12E3">
        <w:rPr>
          <w:rFonts w:ascii="Times New Roman" w:hAnsi="Times New Roman" w:cs="Times New Roman"/>
          <w:sz w:val="28"/>
          <w:szCs w:val="28"/>
        </w:rPr>
        <w:t>as a result of</w:t>
      </w:r>
      <w:proofErr w:type="gramEnd"/>
      <w:r w:rsidRPr="001E12E3">
        <w:rPr>
          <w:rFonts w:ascii="Times New Roman" w:hAnsi="Times New Roman" w:cs="Times New Roman"/>
          <w:sz w:val="28"/>
          <w:szCs w:val="28"/>
        </w:rPr>
        <w:t xml:space="preserve"> Plaintiff’s counsel’s status as a member of the Executive. At a minimum, this created the appearance of a conflict of interest. Plaintiff’s counsel did not, as previously indicated, disclose his membership on the Executive to opposing counsel, nor did he disclose whether he would have any direct involvement with the Executive’s oversight or required approval of the RAC.</w:t>
      </w:r>
    </w:p>
    <w:p w14:paraId="4F6138DB" w14:textId="6A012B84" w:rsidR="001E12E3" w:rsidRPr="001E12E3" w:rsidRDefault="001E12E3" w:rsidP="008F012A">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The record does not establish what role, if any, Plaintiff’s counsel played in the consideration or approval of the Defendant’s counsel’s new RAC. What is clear is that he had an obligation to disclose both his membership on the Executive and his direct engagement with the Executive Director on a matter central to this litigation. His failure to do so limited opposing counsel’s opportunity to consider appropriate measures or responses. </w:t>
      </w:r>
    </w:p>
    <w:p w14:paraId="271DAB0F" w14:textId="06F4F00F" w:rsidR="001E12E3" w:rsidRPr="001E12E3" w:rsidRDefault="001E12E3" w:rsidP="008F012A">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The obligations of fairness and candour that govern counsel’s conduct extend beyond courtroom advocacy and include the management of potential conflicts and the duty to ensure that interactions with regulatory bodies, such as the Law Society, </w:t>
      </w:r>
      <w:r w:rsidRPr="001E12E3">
        <w:rPr>
          <w:rFonts w:ascii="Times New Roman" w:hAnsi="Times New Roman" w:cs="Times New Roman"/>
          <w:sz w:val="28"/>
          <w:szCs w:val="28"/>
        </w:rPr>
        <w:lastRenderedPageBreak/>
        <w:t>do not compromise—or appear to compromise—the integrity of the litigation process. Plaintiff’s counsel did not meet this standard.</w:t>
      </w:r>
    </w:p>
    <w:p w14:paraId="5F13A938" w14:textId="3F37EDB9" w:rsidR="001E12E3" w:rsidRPr="001E12E3" w:rsidRDefault="001E12E3" w:rsidP="008F012A">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During the oral hearing, the conflict issue was raised with Plaintiff’s counsel. Although invited to reflect on the matter over the noon break and to consult with others, he advised the Court that he did not believe that a conflict existed. His personal conclusion that no conflict existed is not determinative; the test is an objective one. On this objective view, the circumstances gave rise to at least a reasonable apprehension of conflict.</w:t>
      </w:r>
    </w:p>
    <w:p w14:paraId="104FAA4E" w14:textId="77777777" w:rsidR="001E12E3" w:rsidRPr="001E12E3" w:rsidRDefault="001E12E3" w:rsidP="001E12E3">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Considering Plaintiff’s counsel’s approach to extensions, unilateral changes to deadlines, failure to disclose or raise the undertaking issue, noting the Defendant in default without warning, and his undisclosed Executive role, his conduct did not meet the standard expected of counsel.</w:t>
      </w:r>
    </w:p>
    <w:p w14:paraId="4C46E6C8" w14:textId="2684A496" w:rsidR="001E12E3" w:rsidRPr="001E12E3" w:rsidRDefault="001E12E3" w:rsidP="008F012A">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 These actions were not isolated. They reflect a pattern of inflexibility, sharp practice, and disregard for the professional obligation of candour. The cumulative effect of these actions created unnecessary expense, delay, and prejudice to the Defendant. This is the type of conduct that Canadian courts recognize as justifying exceptional solicitor-client costs.</w:t>
      </w:r>
    </w:p>
    <w:p w14:paraId="3D253CF5" w14:textId="64FD8B4C" w:rsidR="001E12E3" w:rsidRPr="001E12E3" w:rsidRDefault="001E12E3" w:rsidP="008F012A">
      <w:pPr>
        <w:pStyle w:val="ListParagraph"/>
        <w:numPr>
          <w:ilvl w:val="0"/>
          <w:numId w:val="9"/>
        </w:numPr>
        <w:spacing w:after="240"/>
        <w:contextualSpacing w:val="0"/>
        <w:jc w:val="both"/>
        <w:rPr>
          <w:rFonts w:ascii="Times New Roman" w:hAnsi="Times New Roman" w:cs="Times New Roman"/>
          <w:sz w:val="28"/>
          <w:szCs w:val="28"/>
        </w:rPr>
      </w:pPr>
      <w:r w:rsidRPr="001E12E3">
        <w:rPr>
          <w:rFonts w:ascii="Times New Roman" w:hAnsi="Times New Roman" w:cs="Times New Roman"/>
          <w:sz w:val="28"/>
          <w:szCs w:val="28"/>
        </w:rPr>
        <w:t>I am satisfied that this is a proper case to award solicitor-and-client costs to the Defendant. The award indemnifies the Defendant for costs unfairly incurred and affirms that the Court will not condone sharp practice as an acceptable mode of litigation.</w:t>
      </w:r>
    </w:p>
    <w:p w14:paraId="58A053C7" w14:textId="77777777" w:rsidR="001E12E3" w:rsidRDefault="001E12E3" w:rsidP="008F012A">
      <w:pPr>
        <w:pStyle w:val="ListParagraph"/>
        <w:spacing w:after="240" w:line="240" w:lineRule="auto"/>
        <w:ind w:left="0"/>
        <w:contextualSpacing w:val="0"/>
        <w:jc w:val="both"/>
        <w:rPr>
          <w:rFonts w:ascii="Times New Roman" w:hAnsi="Times New Roman" w:cs="Times New Roman"/>
          <w:sz w:val="28"/>
          <w:szCs w:val="28"/>
        </w:rPr>
      </w:pPr>
    </w:p>
    <w:p w14:paraId="02B773E9" w14:textId="77777777" w:rsidR="00306A50" w:rsidRPr="001E12E3" w:rsidRDefault="00306A50" w:rsidP="008F012A">
      <w:pPr>
        <w:pStyle w:val="ListParagraph"/>
        <w:spacing w:after="240" w:line="240" w:lineRule="auto"/>
        <w:ind w:left="0"/>
        <w:contextualSpacing w:val="0"/>
        <w:jc w:val="both"/>
        <w:rPr>
          <w:rFonts w:ascii="Times New Roman" w:hAnsi="Times New Roman" w:cs="Times New Roman"/>
          <w:sz w:val="28"/>
          <w:szCs w:val="28"/>
        </w:rPr>
      </w:pPr>
    </w:p>
    <w:p w14:paraId="19BACBCB" w14:textId="77777777" w:rsidR="001E12E3" w:rsidRPr="001E12E3" w:rsidRDefault="001E12E3" w:rsidP="008F012A">
      <w:pPr>
        <w:pStyle w:val="ListParagraph"/>
        <w:spacing w:after="0" w:line="240" w:lineRule="auto"/>
        <w:ind w:left="0"/>
        <w:contextualSpacing w:val="0"/>
        <w:jc w:val="both"/>
        <w:rPr>
          <w:rFonts w:ascii="Times New Roman" w:hAnsi="Times New Roman" w:cs="Times New Roman"/>
          <w:sz w:val="28"/>
          <w:szCs w:val="28"/>
        </w:rPr>
      </w:pPr>
      <w:r w:rsidRPr="001E12E3">
        <w:rPr>
          <w:rFonts w:ascii="Times New Roman" w:hAnsi="Times New Roman" w:cs="Times New Roman"/>
          <w:sz w:val="28"/>
          <w:szCs w:val="28"/>
        </w:rPr>
        <w:tab/>
      </w:r>
      <w:r w:rsidRPr="001E12E3">
        <w:rPr>
          <w:rFonts w:ascii="Times New Roman" w:hAnsi="Times New Roman" w:cs="Times New Roman"/>
          <w:sz w:val="28"/>
          <w:szCs w:val="28"/>
        </w:rPr>
        <w:tab/>
      </w:r>
      <w:r w:rsidRPr="001E12E3">
        <w:rPr>
          <w:rFonts w:ascii="Times New Roman" w:hAnsi="Times New Roman" w:cs="Times New Roman"/>
          <w:sz w:val="28"/>
          <w:szCs w:val="28"/>
        </w:rPr>
        <w:tab/>
      </w:r>
      <w:r w:rsidRPr="001E12E3">
        <w:rPr>
          <w:rFonts w:ascii="Times New Roman" w:hAnsi="Times New Roman" w:cs="Times New Roman"/>
          <w:sz w:val="28"/>
          <w:szCs w:val="28"/>
        </w:rPr>
        <w:tab/>
      </w:r>
      <w:r w:rsidRPr="001E12E3">
        <w:rPr>
          <w:rFonts w:ascii="Times New Roman" w:hAnsi="Times New Roman" w:cs="Times New Roman"/>
          <w:sz w:val="28"/>
          <w:szCs w:val="28"/>
        </w:rPr>
        <w:tab/>
      </w:r>
      <w:r w:rsidRPr="001E12E3">
        <w:rPr>
          <w:rFonts w:ascii="Times New Roman" w:hAnsi="Times New Roman" w:cs="Times New Roman"/>
          <w:sz w:val="28"/>
          <w:szCs w:val="28"/>
        </w:rPr>
        <w:tab/>
      </w:r>
      <w:r w:rsidRPr="001E12E3">
        <w:rPr>
          <w:rFonts w:ascii="Times New Roman" w:hAnsi="Times New Roman" w:cs="Times New Roman"/>
          <w:sz w:val="28"/>
          <w:szCs w:val="28"/>
        </w:rPr>
        <w:tab/>
      </w:r>
      <w:r w:rsidRPr="001E12E3">
        <w:rPr>
          <w:rFonts w:ascii="Times New Roman" w:hAnsi="Times New Roman" w:cs="Times New Roman"/>
          <w:sz w:val="28"/>
          <w:szCs w:val="28"/>
        </w:rPr>
        <w:tab/>
      </w:r>
      <w:r w:rsidRPr="001E12E3">
        <w:rPr>
          <w:rFonts w:ascii="Times New Roman" w:hAnsi="Times New Roman" w:cs="Times New Roman"/>
          <w:sz w:val="28"/>
          <w:szCs w:val="28"/>
        </w:rPr>
        <w:tab/>
        <w:t>M. David Gates</w:t>
      </w:r>
    </w:p>
    <w:p w14:paraId="2E28DDB3" w14:textId="77777777" w:rsidR="001E12E3" w:rsidRPr="001E12E3" w:rsidRDefault="001E12E3" w:rsidP="008F012A">
      <w:pPr>
        <w:pStyle w:val="ListParagraph"/>
        <w:spacing w:after="0" w:line="240" w:lineRule="auto"/>
        <w:ind w:left="0"/>
        <w:contextualSpacing w:val="0"/>
        <w:jc w:val="both"/>
        <w:rPr>
          <w:rFonts w:ascii="Times New Roman" w:hAnsi="Times New Roman" w:cs="Times New Roman"/>
          <w:sz w:val="28"/>
          <w:szCs w:val="28"/>
        </w:rPr>
      </w:pPr>
      <w:r w:rsidRPr="001E12E3">
        <w:rPr>
          <w:rFonts w:ascii="Times New Roman" w:hAnsi="Times New Roman" w:cs="Times New Roman"/>
          <w:sz w:val="28"/>
          <w:szCs w:val="28"/>
        </w:rPr>
        <w:tab/>
      </w:r>
      <w:r w:rsidRPr="001E12E3">
        <w:rPr>
          <w:rFonts w:ascii="Times New Roman" w:hAnsi="Times New Roman" w:cs="Times New Roman"/>
          <w:sz w:val="28"/>
          <w:szCs w:val="28"/>
        </w:rPr>
        <w:tab/>
      </w:r>
      <w:r w:rsidRPr="001E12E3">
        <w:rPr>
          <w:rFonts w:ascii="Times New Roman" w:hAnsi="Times New Roman" w:cs="Times New Roman"/>
          <w:sz w:val="28"/>
          <w:szCs w:val="28"/>
        </w:rPr>
        <w:tab/>
      </w:r>
      <w:r w:rsidRPr="001E12E3">
        <w:rPr>
          <w:rFonts w:ascii="Times New Roman" w:hAnsi="Times New Roman" w:cs="Times New Roman"/>
          <w:sz w:val="28"/>
          <w:szCs w:val="28"/>
        </w:rPr>
        <w:tab/>
      </w:r>
      <w:r w:rsidRPr="001E12E3">
        <w:rPr>
          <w:rFonts w:ascii="Times New Roman" w:hAnsi="Times New Roman" w:cs="Times New Roman"/>
          <w:sz w:val="28"/>
          <w:szCs w:val="28"/>
        </w:rPr>
        <w:tab/>
      </w:r>
      <w:r w:rsidRPr="001E12E3">
        <w:rPr>
          <w:rFonts w:ascii="Times New Roman" w:hAnsi="Times New Roman" w:cs="Times New Roman"/>
          <w:sz w:val="28"/>
          <w:szCs w:val="28"/>
        </w:rPr>
        <w:tab/>
      </w:r>
      <w:r w:rsidRPr="001E12E3">
        <w:rPr>
          <w:rFonts w:ascii="Times New Roman" w:hAnsi="Times New Roman" w:cs="Times New Roman"/>
          <w:sz w:val="28"/>
          <w:szCs w:val="28"/>
        </w:rPr>
        <w:tab/>
      </w:r>
      <w:r w:rsidRPr="001E12E3">
        <w:rPr>
          <w:rFonts w:ascii="Times New Roman" w:hAnsi="Times New Roman" w:cs="Times New Roman"/>
          <w:sz w:val="28"/>
          <w:szCs w:val="28"/>
        </w:rPr>
        <w:tab/>
      </w:r>
      <w:r w:rsidRPr="001E12E3">
        <w:rPr>
          <w:rFonts w:ascii="Times New Roman" w:hAnsi="Times New Roman" w:cs="Times New Roman"/>
          <w:sz w:val="28"/>
          <w:szCs w:val="28"/>
        </w:rPr>
        <w:tab/>
        <w:t>J.S.C.</w:t>
      </w:r>
    </w:p>
    <w:p w14:paraId="70CDE348" w14:textId="77777777" w:rsidR="001E12E3" w:rsidRPr="001E12E3" w:rsidRDefault="001E12E3" w:rsidP="000C2D83">
      <w:pPr>
        <w:pStyle w:val="ListParagraph"/>
        <w:spacing w:after="0"/>
        <w:ind w:left="0"/>
        <w:contextualSpacing w:val="0"/>
        <w:jc w:val="both"/>
        <w:rPr>
          <w:rFonts w:ascii="Times New Roman" w:hAnsi="Times New Roman" w:cs="Times New Roman"/>
          <w:sz w:val="28"/>
          <w:szCs w:val="28"/>
        </w:rPr>
      </w:pPr>
      <w:r w:rsidRPr="001E12E3">
        <w:rPr>
          <w:rFonts w:ascii="Times New Roman" w:hAnsi="Times New Roman" w:cs="Times New Roman"/>
          <w:sz w:val="28"/>
          <w:szCs w:val="28"/>
        </w:rPr>
        <w:t xml:space="preserve">Dated in Yellowknife, NT this </w:t>
      </w:r>
    </w:p>
    <w:p w14:paraId="4E5A8664" w14:textId="4B7B76B0" w:rsidR="001E12E3" w:rsidRDefault="00AC4CCD" w:rsidP="000C2D83">
      <w:pPr>
        <w:pStyle w:val="ListParagraph"/>
        <w:spacing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w:t>
      </w:r>
      <w:r w:rsidRPr="006604ED">
        <w:rPr>
          <w:rFonts w:ascii="Times New Roman" w:hAnsi="Times New Roman" w:cs="Times New Roman"/>
          <w:sz w:val="28"/>
          <w:szCs w:val="28"/>
          <w:vertAlign w:val="superscript"/>
        </w:rPr>
        <w:t>th</w:t>
      </w:r>
      <w:r w:rsidR="006604ED">
        <w:rPr>
          <w:rFonts w:ascii="Times New Roman" w:hAnsi="Times New Roman" w:cs="Times New Roman"/>
          <w:sz w:val="28"/>
          <w:szCs w:val="28"/>
        </w:rPr>
        <w:t xml:space="preserve">, </w:t>
      </w:r>
      <w:r w:rsidR="001E12E3" w:rsidRPr="001E12E3">
        <w:rPr>
          <w:rFonts w:ascii="Times New Roman" w:hAnsi="Times New Roman" w:cs="Times New Roman"/>
          <w:sz w:val="28"/>
          <w:szCs w:val="28"/>
        </w:rPr>
        <w:t xml:space="preserve">day of, </w:t>
      </w:r>
      <w:proofErr w:type="gramStart"/>
      <w:r w:rsidR="000C2D83">
        <w:rPr>
          <w:rFonts w:ascii="Times New Roman" w:hAnsi="Times New Roman" w:cs="Times New Roman"/>
          <w:sz w:val="28"/>
          <w:szCs w:val="28"/>
        </w:rPr>
        <w:t>October,</w:t>
      </w:r>
      <w:proofErr w:type="gramEnd"/>
      <w:r w:rsidR="000C2D83">
        <w:rPr>
          <w:rFonts w:ascii="Times New Roman" w:hAnsi="Times New Roman" w:cs="Times New Roman"/>
          <w:sz w:val="28"/>
          <w:szCs w:val="28"/>
        </w:rPr>
        <w:t xml:space="preserve"> 2025</w:t>
      </w:r>
    </w:p>
    <w:p w14:paraId="30400E3C" w14:textId="77777777" w:rsidR="000C2D83" w:rsidRPr="001E12E3" w:rsidRDefault="000C2D83" w:rsidP="000C2D83">
      <w:pPr>
        <w:pStyle w:val="ListParagraph"/>
        <w:spacing w:after="0" w:line="240" w:lineRule="auto"/>
        <w:ind w:left="0"/>
        <w:contextualSpacing w:val="0"/>
        <w:jc w:val="both"/>
        <w:rPr>
          <w:rFonts w:ascii="Times New Roman" w:hAnsi="Times New Roman" w:cs="Times New Roman"/>
          <w:sz w:val="28"/>
          <w:szCs w:val="28"/>
        </w:rPr>
      </w:pPr>
    </w:p>
    <w:p w14:paraId="01E28B37" w14:textId="77777777" w:rsidR="001E12E3" w:rsidRPr="001E12E3" w:rsidRDefault="001E12E3" w:rsidP="000C2D83">
      <w:pPr>
        <w:pStyle w:val="ListParagraph"/>
        <w:spacing w:after="240" w:line="240" w:lineRule="auto"/>
        <w:ind w:left="0"/>
        <w:contextualSpacing w:val="0"/>
        <w:jc w:val="both"/>
        <w:rPr>
          <w:rFonts w:ascii="Times New Roman" w:hAnsi="Times New Roman" w:cs="Times New Roman"/>
          <w:sz w:val="28"/>
          <w:szCs w:val="28"/>
        </w:rPr>
      </w:pPr>
      <w:r w:rsidRPr="001E12E3">
        <w:rPr>
          <w:rFonts w:ascii="Times New Roman" w:hAnsi="Times New Roman" w:cs="Times New Roman"/>
          <w:sz w:val="28"/>
          <w:szCs w:val="28"/>
        </w:rPr>
        <w:t>Counsel for the Plaintiff/Respondent: C. Buchanan</w:t>
      </w:r>
    </w:p>
    <w:p w14:paraId="6B036B22" w14:textId="77777777" w:rsidR="001E12E3" w:rsidRPr="001E12E3" w:rsidRDefault="001E12E3" w:rsidP="000C2D83">
      <w:pPr>
        <w:pStyle w:val="ListParagraph"/>
        <w:ind w:left="0"/>
        <w:rPr>
          <w:rFonts w:ascii="Times New Roman" w:hAnsi="Times New Roman" w:cs="Times New Roman"/>
          <w:sz w:val="28"/>
          <w:szCs w:val="28"/>
        </w:rPr>
      </w:pPr>
      <w:r w:rsidRPr="001E12E3">
        <w:rPr>
          <w:rFonts w:ascii="Times New Roman" w:hAnsi="Times New Roman" w:cs="Times New Roman"/>
          <w:sz w:val="28"/>
          <w:szCs w:val="28"/>
        </w:rPr>
        <w:t>Counsel for the Defendant/Applicant: C. Murphy</w:t>
      </w:r>
      <w:r w:rsidRPr="001E12E3">
        <w:rPr>
          <w:rFonts w:ascii="Times New Roman" w:hAnsi="Times New Roman" w:cs="Times New Roman"/>
          <w:sz w:val="28"/>
          <w:szCs w:val="28"/>
        </w:rPr>
        <w:tab/>
      </w:r>
      <w:r w:rsidRPr="001E12E3">
        <w:rPr>
          <w:rFonts w:ascii="Times New Roman" w:hAnsi="Times New Roman" w:cs="Times New Roman"/>
          <w:sz w:val="28"/>
          <w:szCs w:val="28"/>
        </w:rPr>
        <w:tab/>
      </w:r>
    </w:p>
    <w:p w14:paraId="6915157D" w14:textId="77777777" w:rsidR="001E12E3" w:rsidRPr="001E12E3" w:rsidRDefault="001E12E3" w:rsidP="00BA61A6">
      <w:pPr>
        <w:pStyle w:val="ListParagraph"/>
        <w:spacing w:after="240" w:line="240" w:lineRule="auto"/>
        <w:ind w:left="0"/>
        <w:rPr>
          <w:rFonts w:ascii="Times New Roman" w:hAnsi="Times New Roman" w:cs="Times New Roman"/>
          <w:sz w:val="28"/>
          <w:szCs w:val="28"/>
        </w:rPr>
        <w:sectPr w:rsidR="001E12E3" w:rsidRPr="001E12E3" w:rsidSect="001E12E3">
          <w:headerReference w:type="default" r:id="rId11"/>
          <w:headerReference w:type="first" r:id="rId12"/>
          <w:pgSz w:w="12240" w:h="15840"/>
          <w:pgMar w:top="1440" w:right="1440" w:bottom="1440" w:left="1440" w:header="720" w:footer="720" w:gutter="0"/>
          <w:cols w:space="720"/>
          <w:titlePg/>
          <w:docGrid w:linePitch="360"/>
        </w:sectPr>
      </w:pPr>
    </w:p>
    <w:p w14:paraId="54B67720" w14:textId="213DA20F" w:rsidR="008123F0" w:rsidRPr="001F5970" w:rsidRDefault="008123F0" w:rsidP="00B22232">
      <w:pPr>
        <w:tabs>
          <w:tab w:val="right" w:pos="4230"/>
        </w:tabs>
        <w:spacing w:after="0" w:line="480" w:lineRule="auto"/>
        <w:ind w:right="-432"/>
        <w:jc w:val="both"/>
        <w:rPr>
          <w:rFonts w:ascii="Times New Roman" w:hAnsi="Times New Roman" w:cs="Times New Roman"/>
          <w:sz w:val="28"/>
          <w:szCs w:val="28"/>
          <w:u w:val="single"/>
        </w:rPr>
      </w:pPr>
    </w:p>
    <w:p w14:paraId="6895915F" w14:textId="77777777" w:rsidR="004F6020" w:rsidRDefault="004F6020" w:rsidP="00B22232">
      <w:pPr>
        <w:pStyle w:val="ListParagraph"/>
        <w:tabs>
          <w:tab w:val="right" w:pos="4230"/>
        </w:tabs>
        <w:spacing w:after="0" w:line="240" w:lineRule="auto"/>
        <w:ind w:left="0" w:right="-432"/>
        <w:rPr>
          <w:rFonts w:ascii="Times New Roman" w:hAnsi="Times New Roman" w:cs="Times New Roman"/>
          <w:sz w:val="28"/>
          <w:szCs w:val="28"/>
        </w:rPr>
        <w:sectPr w:rsidR="004F6020" w:rsidSect="000812FA">
          <w:headerReference w:type="default" r:id="rId13"/>
          <w:headerReference w:type="first" r:id="rId14"/>
          <w:type w:val="continuous"/>
          <w:pgSz w:w="12240" w:h="15840" w:code="1"/>
          <w:pgMar w:top="1440" w:right="1440" w:bottom="1440" w:left="1440" w:header="720" w:footer="720" w:gutter="0"/>
          <w:cols w:num="2" w:space="288" w:equalWidth="0">
            <w:col w:w="3600" w:space="288"/>
            <w:col w:w="5472"/>
          </w:cols>
          <w:titlePg/>
          <w:docGrid w:linePitch="360"/>
        </w:sectPr>
      </w:pPr>
    </w:p>
    <w:tbl>
      <w:tblPr>
        <w:tblStyle w:val="TableGrid"/>
        <w:tblpPr w:leftFromText="180" w:rightFromText="180" w:vertAnchor="page" w:horzAnchor="page" w:tblpX="4708" w:tblpY="1078"/>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tblGrid>
      <w:tr w:rsidR="005E0673" w:rsidRPr="004F6020" w14:paraId="7C7FFC19" w14:textId="77777777" w:rsidTr="005E0673">
        <w:tc>
          <w:tcPr>
            <w:tcW w:w="6799" w:type="dxa"/>
          </w:tcPr>
          <w:p w14:paraId="2C672D88" w14:textId="4DF8BA9D" w:rsidR="005E0673" w:rsidRPr="004F6020" w:rsidRDefault="005E0673" w:rsidP="005E0673">
            <w:pPr>
              <w:pStyle w:val="ListParagraph"/>
              <w:tabs>
                <w:tab w:val="right" w:pos="4230"/>
              </w:tabs>
              <w:ind w:right="-432"/>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4F6020">
              <w:rPr>
                <w:rFonts w:ascii="Times New Roman" w:hAnsi="Times New Roman" w:cs="Times New Roman"/>
                <w:b/>
                <w:bCs/>
                <w:sz w:val="28"/>
                <w:szCs w:val="28"/>
              </w:rPr>
              <w:fldChar w:fldCharType="begin"/>
            </w:r>
            <w:r w:rsidRPr="004F6020">
              <w:rPr>
                <w:rFonts w:ascii="Times New Roman" w:hAnsi="Times New Roman" w:cs="Times New Roman"/>
                <w:b/>
                <w:bCs/>
                <w:sz w:val="28"/>
                <w:szCs w:val="28"/>
              </w:rPr>
              <w:instrText xml:space="preserve"> SEQ CHAPTER \h \r 1</w:instrText>
            </w:r>
            <w:r w:rsidRPr="004F6020">
              <w:rPr>
                <w:rFonts w:ascii="Times New Roman" w:hAnsi="Times New Roman" w:cs="Times New Roman"/>
                <w:sz w:val="28"/>
                <w:szCs w:val="28"/>
              </w:rPr>
              <w:fldChar w:fldCharType="end"/>
            </w:r>
            <w:r w:rsidRPr="004F6020">
              <w:rPr>
                <w:rFonts w:ascii="Times New Roman" w:hAnsi="Times New Roman" w:cs="Times New Roman"/>
                <w:b/>
                <w:bCs/>
                <w:sz w:val="28"/>
                <w:szCs w:val="28"/>
              </w:rPr>
              <w:t xml:space="preserve">Docket:  S-1- CV-2021-000 </w:t>
            </w:r>
            <w:r>
              <w:rPr>
                <w:rFonts w:ascii="Times New Roman" w:hAnsi="Times New Roman" w:cs="Times New Roman"/>
                <w:b/>
                <w:bCs/>
                <w:sz w:val="28"/>
                <w:szCs w:val="28"/>
              </w:rPr>
              <w:t>162</w:t>
            </w:r>
          </w:p>
          <w:p w14:paraId="0D4A753A" w14:textId="77777777" w:rsidR="005E0673" w:rsidRPr="004F6020" w:rsidRDefault="005E0673" w:rsidP="005E0673">
            <w:pPr>
              <w:pStyle w:val="ListParagraph"/>
              <w:tabs>
                <w:tab w:val="right" w:pos="4230"/>
              </w:tabs>
              <w:ind w:right="-432"/>
              <w:rPr>
                <w:rFonts w:ascii="Times New Roman" w:hAnsi="Times New Roman" w:cs="Times New Roman"/>
                <w:sz w:val="28"/>
                <w:szCs w:val="28"/>
              </w:rPr>
            </w:pPr>
          </w:p>
        </w:tc>
      </w:tr>
      <w:tr w:rsidR="005E0673" w:rsidRPr="004F6020" w14:paraId="410742A8" w14:textId="77777777" w:rsidTr="005E0673">
        <w:tc>
          <w:tcPr>
            <w:tcW w:w="6799" w:type="dxa"/>
          </w:tcPr>
          <w:p w14:paraId="54F7369A" w14:textId="77777777" w:rsidR="005E0673" w:rsidRPr="004F6020" w:rsidRDefault="005E0673" w:rsidP="005E0673">
            <w:pPr>
              <w:pStyle w:val="ListParagraph"/>
              <w:tabs>
                <w:tab w:val="right" w:pos="4230"/>
              </w:tabs>
              <w:ind w:right="-432"/>
              <w:jc w:val="center"/>
              <w:rPr>
                <w:rFonts w:ascii="Times New Roman" w:hAnsi="Times New Roman" w:cs="Times New Roman"/>
                <w:b/>
                <w:bCs/>
                <w:sz w:val="28"/>
                <w:szCs w:val="28"/>
                <w:lang w:val="en-GB"/>
              </w:rPr>
            </w:pPr>
          </w:p>
          <w:p w14:paraId="2AF6A4F6" w14:textId="77777777" w:rsidR="005E0673" w:rsidRPr="004F6020" w:rsidRDefault="005E0673" w:rsidP="005E0673">
            <w:pPr>
              <w:pStyle w:val="ListParagraph"/>
              <w:tabs>
                <w:tab w:val="right" w:pos="4230"/>
              </w:tabs>
              <w:ind w:left="0" w:right="-432"/>
              <w:jc w:val="center"/>
              <w:rPr>
                <w:rFonts w:ascii="Times New Roman" w:hAnsi="Times New Roman" w:cs="Times New Roman"/>
                <w:b/>
                <w:bCs/>
                <w:sz w:val="28"/>
                <w:szCs w:val="28"/>
                <w:lang w:val="en-GB"/>
              </w:rPr>
            </w:pPr>
            <w:r w:rsidRPr="004F6020">
              <w:rPr>
                <w:rFonts w:ascii="Times New Roman" w:hAnsi="Times New Roman" w:cs="Times New Roman"/>
                <w:b/>
                <w:bCs/>
                <w:sz w:val="28"/>
                <w:szCs w:val="28"/>
                <w:lang w:val="en-GB"/>
              </w:rPr>
              <w:t>IN THE SUPREME COURT OF THE</w:t>
            </w:r>
          </w:p>
          <w:p w14:paraId="5323443D" w14:textId="77777777" w:rsidR="005E0673" w:rsidRPr="004F6020" w:rsidRDefault="005E0673" w:rsidP="005E0673">
            <w:pPr>
              <w:pStyle w:val="ListParagraph"/>
              <w:tabs>
                <w:tab w:val="right" w:pos="4230"/>
              </w:tabs>
              <w:ind w:right="-432"/>
              <w:jc w:val="center"/>
              <w:rPr>
                <w:rFonts w:ascii="Times New Roman" w:hAnsi="Times New Roman" w:cs="Times New Roman"/>
                <w:b/>
                <w:bCs/>
                <w:sz w:val="28"/>
                <w:szCs w:val="28"/>
                <w:lang w:val="en-GB"/>
              </w:rPr>
            </w:pPr>
            <w:r w:rsidRPr="004F6020">
              <w:rPr>
                <w:rFonts w:ascii="Times New Roman" w:hAnsi="Times New Roman" w:cs="Times New Roman"/>
                <w:b/>
                <w:bCs/>
                <w:sz w:val="28"/>
                <w:szCs w:val="28"/>
                <w:lang w:val="en-GB"/>
              </w:rPr>
              <w:t>NORTHWEST TERRITORIES</w:t>
            </w:r>
          </w:p>
          <w:p w14:paraId="0AFDADF5" w14:textId="77777777" w:rsidR="005E0673" w:rsidRPr="004F6020" w:rsidRDefault="005E0673" w:rsidP="005E0673">
            <w:pPr>
              <w:pStyle w:val="ListParagraph"/>
              <w:tabs>
                <w:tab w:val="right" w:pos="4230"/>
              </w:tabs>
              <w:ind w:right="-432"/>
              <w:jc w:val="center"/>
              <w:rPr>
                <w:rFonts w:ascii="Times New Roman" w:hAnsi="Times New Roman" w:cs="Times New Roman"/>
                <w:sz w:val="28"/>
                <w:szCs w:val="28"/>
                <w:lang w:val="en-GB"/>
              </w:rPr>
            </w:pPr>
          </w:p>
        </w:tc>
      </w:tr>
      <w:tr w:rsidR="005E0673" w:rsidRPr="004F6020" w14:paraId="29F5A8C4" w14:textId="77777777" w:rsidTr="005E0673">
        <w:tc>
          <w:tcPr>
            <w:tcW w:w="6799" w:type="dxa"/>
          </w:tcPr>
          <w:p w14:paraId="4E94F8C7" w14:textId="77777777" w:rsidR="005E0673" w:rsidRPr="004F6020" w:rsidRDefault="005E0673" w:rsidP="005E0673">
            <w:pPr>
              <w:pStyle w:val="ListParagraph"/>
              <w:tabs>
                <w:tab w:val="right" w:pos="4230"/>
              </w:tabs>
              <w:ind w:right="-432"/>
              <w:jc w:val="center"/>
              <w:rPr>
                <w:rFonts w:ascii="Times New Roman" w:hAnsi="Times New Roman" w:cs="Times New Roman"/>
                <w:sz w:val="28"/>
                <w:szCs w:val="28"/>
              </w:rPr>
            </w:pPr>
          </w:p>
          <w:p w14:paraId="4418CAA7" w14:textId="77777777" w:rsidR="005E0673" w:rsidRPr="004F6020" w:rsidRDefault="005E0673" w:rsidP="005E0673">
            <w:pPr>
              <w:pStyle w:val="ListParagraph"/>
              <w:tabs>
                <w:tab w:val="right" w:pos="4230"/>
              </w:tabs>
              <w:ind w:right="-432"/>
              <w:rPr>
                <w:rFonts w:ascii="Times New Roman" w:hAnsi="Times New Roman" w:cs="Times New Roman"/>
                <w:b/>
                <w:bCs/>
                <w:sz w:val="28"/>
                <w:szCs w:val="28"/>
              </w:rPr>
            </w:pPr>
            <w:r w:rsidRPr="004F6020">
              <w:rPr>
                <w:rFonts w:ascii="Times New Roman" w:hAnsi="Times New Roman" w:cs="Times New Roman"/>
                <w:b/>
                <w:bCs/>
                <w:sz w:val="28"/>
                <w:szCs w:val="28"/>
              </w:rPr>
              <w:t>BETWEEN:</w:t>
            </w:r>
          </w:p>
          <w:p w14:paraId="062332C7" w14:textId="77777777" w:rsidR="005E0673" w:rsidRPr="004F6020" w:rsidRDefault="005E0673" w:rsidP="005E0673">
            <w:pPr>
              <w:pStyle w:val="ListParagraph"/>
              <w:tabs>
                <w:tab w:val="right" w:pos="4230"/>
              </w:tabs>
              <w:ind w:right="-432"/>
              <w:jc w:val="center"/>
              <w:rPr>
                <w:rFonts w:ascii="Times New Roman" w:hAnsi="Times New Roman" w:cs="Times New Roman"/>
                <w:sz w:val="28"/>
                <w:szCs w:val="28"/>
              </w:rPr>
            </w:pPr>
          </w:p>
          <w:p w14:paraId="0F5FA20F" w14:textId="77777777" w:rsidR="005E0673" w:rsidRDefault="005E0673" w:rsidP="005E0673">
            <w:pPr>
              <w:pStyle w:val="ListParagraph"/>
              <w:tabs>
                <w:tab w:val="right" w:pos="4230"/>
              </w:tabs>
              <w:ind w:right="-432"/>
              <w:jc w:val="center"/>
              <w:rPr>
                <w:rFonts w:ascii="Times New Roman" w:hAnsi="Times New Roman" w:cs="Times New Roman"/>
                <w:b/>
                <w:bCs/>
                <w:sz w:val="28"/>
                <w:szCs w:val="28"/>
              </w:rPr>
            </w:pPr>
            <w:r w:rsidRPr="004F6020">
              <w:rPr>
                <w:rFonts w:ascii="Times New Roman" w:hAnsi="Times New Roman" w:cs="Times New Roman"/>
                <w:b/>
                <w:bCs/>
                <w:sz w:val="28"/>
                <w:szCs w:val="28"/>
              </w:rPr>
              <w:t>KARINE GIGNAC</w:t>
            </w:r>
          </w:p>
          <w:p w14:paraId="62D8E1E7" w14:textId="77777777" w:rsidR="005E0673" w:rsidRPr="004F6020" w:rsidRDefault="005E0673" w:rsidP="005E0673">
            <w:pPr>
              <w:pStyle w:val="ListParagraph"/>
              <w:tabs>
                <w:tab w:val="right" w:pos="4230"/>
              </w:tabs>
              <w:ind w:right="-432"/>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355F4D8F" w14:textId="77777777" w:rsidR="005E0673" w:rsidRDefault="005E0673" w:rsidP="005E0673">
            <w:pPr>
              <w:pStyle w:val="ListParagraph"/>
              <w:tabs>
                <w:tab w:val="right" w:pos="4230"/>
              </w:tabs>
              <w:ind w:right="-432"/>
              <w:rPr>
                <w:rFonts w:ascii="Times New Roman" w:hAnsi="Times New Roman" w:cs="Times New Roman"/>
                <w:b/>
                <w:bCs/>
                <w:sz w:val="28"/>
                <w:szCs w:val="28"/>
              </w:rPr>
            </w:pPr>
            <w:r>
              <w:rPr>
                <w:rFonts w:ascii="Times New Roman" w:hAnsi="Times New Roman" w:cs="Times New Roman"/>
                <w:b/>
                <w:bCs/>
                <w:sz w:val="28"/>
                <w:szCs w:val="28"/>
              </w:rPr>
              <w:t xml:space="preserve">                                               Plaintiff/Respondent</w:t>
            </w:r>
          </w:p>
          <w:p w14:paraId="242F3D58" w14:textId="77777777" w:rsidR="005E0673" w:rsidRPr="004F6020" w:rsidRDefault="005E0673" w:rsidP="005E0673">
            <w:pPr>
              <w:pStyle w:val="ListParagraph"/>
              <w:tabs>
                <w:tab w:val="right" w:pos="4230"/>
              </w:tabs>
              <w:ind w:right="-432"/>
              <w:jc w:val="center"/>
              <w:rPr>
                <w:rFonts w:ascii="Times New Roman" w:hAnsi="Times New Roman" w:cs="Times New Roman"/>
                <w:b/>
                <w:bCs/>
                <w:sz w:val="28"/>
                <w:szCs w:val="28"/>
              </w:rPr>
            </w:pPr>
          </w:p>
          <w:p w14:paraId="43511D01" w14:textId="77777777" w:rsidR="005E0673" w:rsidRDefault="005E0673" w:rsidP="005E0673">
            <w:pPr>
              <w:pStyle w:val="ListParagraph"/>
              <w:tabs>
                <w:tab w:val="right" w:pos="4230"/>
              </w:tabs>
              <w:ind w:right="-432"/>
              <w:jc w:val="center"/>
              <w:rPr>
                <w:rFonts w:ascii="Times New Roman" w:hAnsi="Times New Roman" w:cs="Times New Roman"/>
                <w:b/>
                <w:bCs/>
                <w:sz w:val="28"/>
                <w:szCs w:val="28"/>
              </w:rPr>
            </w:pPr>
            <w:r w:rsidRPr="004F6020">
              <w:rPr>
                <w:rFonts w:ascii="Times New Roman" w:hAnsi="Times New Roman" w:cs="Times New Roman"/>
                <w:b/>
                <w:bCs/>
                <w:sz w:val="28"/>
                <w:szCs w:val="28"/>
              </w:rPr>
              <w:t>-and-</w:t>
            </w:r>
          </w:p>
          <w:p w14:paraId="19D28682" w14:textId="77777777" w:rsidR="005E0673" w:rsidRPr="004F6020" w:rsidRDefault="005E0673" w:rsidP="005E0673">
            <w:pPr>
              <w:pStyle w:val="ListParagraph"/>
              <w:tabs>
                <w:tab w:val="right" w:pos="4230"/>
              </w:tabs>
              <w:ind w:right="-432"/>
              <w:jc w:val="center"/>
              <w:rPr>
                <w:rFonts w:ascii="Times New Roman" w:hAnsi="Times New Roman" w:cs="Times New Roman"/>
                <w:b/>
                <w:bCs/>
                <w:sz w:val="28"/>
                <w:szCs w:val="28"/>
              </w:rPr>
            </w:pPr>
          </w:p>
          <w:p w14:paraId="3C7EE638" w14:textId="77777777" w:rsidR="005E0673" w:rsidRPr="004F6020" w:rsidRDefault="005E0673" w:rsidP="005E0673">
            <w:pPr>
              <w:pStyle w:val="ListParagraph"/>
              <w:tabs>
                <w:tab w:val="right" w:pos="4230"/>
              </w:tabs>
              <w:ind w:right="-432"/>
              <w:jc w:val="center"/>
              <w:rPr>
                <w:rFonts w:ascii="Times New Roman" w:hAnsi="Times New Roman" w:cs="Times New Roman"/>
                <w:b/>
                <w:bCs/>
                <w:sz w:val="28"/>
                <w:szCs w:val="28"/>
              </w:rPr>
            </w:pPr>
          </w:p>
          <w:p w14:paraId="6B52C6A3" w14:textId="77777777" w:rsidR="005E0673" w:rsidRPr="004F6020" w:rsidRDefault="005E0673" w:rsidP="005E0673">
            <w:pPr>
              <w:pStyle w:val="ListParagraph"/>
              <w:tabs>
                <w:tab w:val="right" w:pos="4230"/>
              </w:tabs>
              <w:ind w:right="-432"/>
              <w:jc w:val="center"/>
              <w:rPr>
                <w:rFonts w:ascii="Times New Roman" w:hAnsi="Times New Roman" w:cs="Times New Roman"/>
                <w:b/>
                <w:bCs/>
                <w:sz w:val="28"/>
                <w:szCs w:val="28"/>
              </w:rPr>
            </w:pPr>
            <w:r w:rsidRPr="004F6020">
              <w:rPr>
                <w:rFonts w:ascii="Times New Roman" w:hAnsi="Times New Roman" w:cs="Times New Roman"/>
                <w:b/>
                <w:bCs/>
                <w:sz w:val="28"/>
                <w:szCs w:val="28"/>
              </w:rPr>
              <w:t>DAVID HORNIBROOK</w:t>
            </w:r>
          </w:p>
          <w:p w14:paraId="619B4250" w14:textId="77777777" w:rsidR="005E0673" w:rsidRPr="004F6020" w:rsidRDefault="005E0673" w:rsidP="005E0673">
            <w:pPr>
              <w:pStyle w:val="ListParagraph"/>
              <w:tabs>
                <w:tab w:val="right" w:pos="4230"/>
              </w:tabs>
              <w:ind w:right="-432"/>
              <w:jc w:val="center"/>
              <w:rPr>
                <w:rFonts w:ascii="Times New Roman" w:hAnsi="Times New Roman" w:cs="Times New Roman"/>
                <w:sz w:val="28"/>
                <w:szCs w:val="28"/>
                <w:lang w:val="en-GB"/>
              </w:rPr>
            </w:pPr>
          </w:p>
          <w:p w14:paraId="1C4BF4DF" w14:textId="77777777" w:rsidR="005E0673" w:rsidRPr="004F6020" w:rsidRDefault="005E0673" w:rsidP="005E0673">
            <w:pPr>
              <w:pStyle w:val="ListParagraph"/>
              <w:tabs>
                <w:tab w:val="right" w:pos="4230"/>
              </w:tabs>
              <w:ind w:right="-432"/>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                                      </w:t>
            </w:r>
            <w:r w:rsidRPr="005E0673">
              <w:rPr>
                <w:rFonts w:ascii="Times New Roman" w:hAnsi="Times New Roman" w:cs="Times New Roman"/>
                <w:b/>
                <w:bCs/>
                <w:sz w:val="28"/>
                <w:szCs w:val="28"/>
                <w:lang w:val="en-GB"/>
              </w:rPr>
              <w:t>Defendant/Applicant</w:t>
            </w:r>
          </w:p>
          <w:p w14:paraId="28FDC184" w14:textId="77777777" w:rsidR="005E0673" w:rsidRPr="004F6020" w:rsidRDefault="005E0673" w:rsidP="005E0673">
            <w:pPr>
              <w:pStyle w:val="ListParagraph"/>
              <w:tabs>
                <w:tab w:val="right" w:pos="4230"/>
              </w:tabs>
              <w:ind w:right="-432"/>
              <w:jc w:val="center"/>
              <w:rPr>
                <w:rFonts w:ascii="Times New Roman" w:hAnsi="Times New Roman" w:cs="Times New Roman"/>
                <w:sz w:val="28"/>
                <w:szCs w:val="28"/>
              </w:rPr>
            </w:pPr>
          </w:p>
        </w:tc>
      </w:tr>
      <w:tr w:rsidR="005E0673" w:rsidRPr="004F6020" w14:paraId="4183D472" w14:textId="77777777" w:rsidTr="005E0673">
        <w:tc>
          <w:tcPr>
            <w:tcW w:w="6799" w:type="dxa"/>
          </w:tcPr>
          <w:p w14:paraId="50582970" w14:textId="77777777" w:rsidR="005E0673" w:rsidRPr="004F6020" w:rsidRDefault="005E0673" w:rsidP="005E0673">
            <w:pPr>
              <w:pStyle w:val="ListParagraph"/>
              <w:tabs>
                <w:tab w:val="right" w:pos="4230"/>
              </w:tabs>
              <w:ind w:left="0" w:right="171"/>
              <w:rPr>
                <w:rFonts w:ascii="Times New Roman" w:hAnsi="Times New Roman" w:cs="Times New Roman"/>
                <w:sz w:val="28"/>
                <w:szCs w:val="28"/>
                <w:lang w:val="en-GB"/>
              </w:rPr>
            </w:pPr>
          </w:p>
          <w:p w14:paraId="613A9D67" w14:textId="77777777" w:rsidR="005E0673" w:rsidRPr="004F6020" w:rsidRDefault="005E0673" w:rsidP="005E0673">
            <w:pPr>
              <w:pStyle w:val="ListParagraph"/>
              <w:tabs>
                <w:tab w:val="right" w:pos="4230"/>
              </w:tabs>
              <w:ind w:right="-432"/>
              <w:jc w:val="center"/>
              <w:rPr>
                <w:rFonts w:ascii="Times New Roman" w:hAnsi="Times New Roman" w:cs="Times New Roman"/>
                <w:b/>
                <w:bCs/>
                <w:sz w:val="28"/>
                <w:szCs w:val="28"/>
                <w:lang w:val="en-GB"/>
              </w:rPr>
            </w:pPr>
            <w:r w:rsidRPr="004F6020">
              <w:rPr>
                <w:rFonts w:ascii="Times New Roman" w:hAnsi="Times New Roman" w:cs="Times New Roman"/>
                <w:b/>
                <w:bCs/>
                <w:sz w:val="28"/>
                <w:szCs w:val="28"/>
                <w:lang w:val="en-GB"/>
              </w:rPr>
              <w:t>MEMORANDUM OF JUDGMENT OF</w:t>
            </w:r>
          </w:p>
          <w:p w14:paraId="20B571F4" w14:textId="77777777" w:rsidR="005E0673" w:rsidRPr="004F6020" w:rsidRDefault="005E0673" w:rsidP="005E0673">
            <w:pPr>
              <w:pStyle w:val="ListParagraph"/>
              <w:tabs>
                <w:tab w:val="right" w:pos="4230"/>
              </w:tabs>
              <w:ind w:right="-432"/>
              <w:jc w:val="center"/>
              <w:rPr>
                <w:rFonts w:ascii="Times New Roman" w:hAnsi="Times New Roman" w:cs="Times New Roman"/>
                <w:b/>
                <w:bCs/>
                <w:sz w:val="28"/>
                <w:szCs w:val="28"/>
                <w:lang w:val="en-GB"/>
              </w:rPr>
            </w:pPr>
            <w:r w:rsidRPr="004F6020">
              <w:rPr>
                <w:rFonts w:ascii="Times New Roman" w:hAnsi="Times New Roman" w:cs="Times New Roman"/>
                <w:b/>
                <w:bCs/>
                <w:sz w:val="28"/>
                <w:szCs w:val="28"/>
                <w:lang w:val="en-GB"/>
              </w:rPr>
              <w:t>THE HONOURABLE JUSTICE M. DAVID GATES</w:t>
            </w:r>
          </w:p>
          <w:p w14:paraId="6BE168F1" w14:textId="77777777" w:rsidR="005E0673" w:rsidRPr="004F6020" w:rsidRDefault="005E0673" w:rsidP="005E0673">
            <w:pPr>
              <w:pStyle w:val="ListParagraph"/>
              <w:tabs>
                <w:tab w:val="right" w:pos="4230"/>
              </w:tabs>
              <w:ind w:right="-432"/>
              <w:rPr>
                <w:rFonts w:ascii="Times New Roman" w:hAnsi="Times New Roman" w:cs="Times New Roman"/>
                <w:sz w:val="28"/>
                <w:szCs w:val="28"/>
                <w:lang w:val="en-GB"/>
              </w:rPr>
            </w:pPr>
          </w:p>
        </w:tc>
      </w:tr>
    </w:tbl>
    <w:p w14:paraId="34AB5BF7" w14:textId="77777777" w:rsidR="000812FA" w:rsidRDefault="000812FA" w:rsidP="00B22232">
      <w:pPr>
        <w:pStyle w:val="ListParagraph"/>
        <w:tabs>
          <w:tab w:val="right" w:pos="4230"/>
        </w:tabs>
        <w:spacing w:after="0" w:line="240" w:lineRule="auto"/>
        <w:ind w:left="0" w:right="-432"/>
        <w:rPr>
          <w:rFonts w:ascii="Times New Roman" w:hAnsi="Times New Roman" w:cs="Times New Roman"/>
          <w:sz w:val="28"/>
          <w:szCs w:val="28"/>
        </w:rPr>
      </w:pPr>
    </w:p>
    <w:sectPr w:rsidR="000812FA" w:rsidSect="004F6020">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A05E" w14:textId="77777777" w:rsidR="00CF7B9A" w:rsidRDefault="00CF7B9A" w:rsidP="005B5B19">
      <w:pPr>
        <w:spacing w:after="0" w:line="240" w:lineRule="auto"/>
      </w:pPr>
      <w:r>
        <w:separator/>
      </w:r>
    </w:p>
  </w:endnote>
  <w:endnote w:type="continuationSeparator" w:id="0">
    <w:p w14:paraId="64F566C0" w14:textId="77777777" w:rsidR="00CF7B9A" w:rsidRDefault="00CF7B9A" w:rsidP="005B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09BD" w14:textId="77777777" w:rsidR="00CF7B9A" w:rsidRDefault="00CF7B9A" w:rsidP="005B5B19">
      <w:pPr>
        <w:spacing w:after="0" w:line="240" w:lineRule="auto"/>
      </w:pPr>
      <w:r>
        <w:separator/>
      </w:r>
    </w:p>
  </w:footnote>
  <w:footnote w:type="continuationSeparator" w:id="0">
    <w:p w14:paraId="117B41F1" w14:textId="77777777" w:rsidR="00CF7B9A" w:rsidRDefault="00CF7B9A" w:rsidP="005B5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8F0E" w14:textId="4D20E2D8" w:rsidR="001E12E3" w:rsidRPr="00A84207" w:rsidRDefault="001E12E3" w:rsidP="00A84207">
    <w:pPr>
      <w:pStyle w:val="Header"/>
      <w:tabs>
        <w:tab w:val="left" w:pos="8565"/>
      </w:tabs>
      <w:jc w:val="right"/>
      <w:rPr>
        <w:rFonts w:ascii="Times New Roman" w:hAnsi="Times New Roman" w:cs="Times New Roman"/>
        <w:sz w:val="24"/>
        <w:szCs w:val="24"/>
      </w:rPr>
    </w:pPr>
    <w:r w:rsidRPr="00943943">
      <w:rPr>
        <w:rFonts w:ascii="Times New Roman" w:hAnsi="Times New Roman" w:cs="Times New Roman"/>
      </w:rPr>
      <w:tab/>
    </w:r>
    <w:r w:rsidRPr="00A84207">
      <w:rPr>
        <w:rFonts w:ascii="Times New Roman" w:hAnsi="Times New Roman" w:cs="Times New Roman"/>
        <w:sz w:val="24"/>
        <w:szCs w:val="24"/>
      </w:rPr>
      <w:t xml:space="preserve">Page:  </w:t>
    </w:r>
    <w:sdt>
      <w:sdtPr>
        <w:rPr>
          <w:rFonts w:ascii="Times New Roman" w:hAnsi="Times New Roman" w:cs="Times New Roman"/>
          <w:sz w:val="24"/>
          <w:szCs w:val="24"/>
        </w:rPr>
        <w:id w:val="209002890"/>
        <w:docPartObj>
          <w:docPartGallery w:val="Page Numbers (Top of Page)"/>
          <w:docPartUnique/>
        </w:docPartObj>
      </w:sdtPr>
      <w:sdtEndPr/>
      <w:sdtContent>
        <w:r w:rsidRPr="00A84207">
          <w:rPr>
            <w:rFonts w:ascii="Times New Roman" w:hAnsi="Times New Roman" w:cs="Times New Roman"/>
            <w:sz w:val="24"/>
            <w:szCs w:val="24"/>
          </w:rPr>
          <w:fldChar w:fldCharType="begin"/>
        </w:r>
        <w:r w:rsidRPr="00A84207">
          <w:rPr>
            <w:rFonts w:ascii="Times New Roman" w:hAnsi="Times New Roman" w:cs="Times New Roman"/>
            <w:sz w:val="24"/>
            <w:szCs w:val="24"/>
          </w:rPr>
          <w:instrText xml:space="preserve"> PAGE   \* MERGEFORMAT </w:instrText>
        </w:r>
        <w:r w:rsidRPr="00A84207">
          <w:rPr>
            <w:rFonts w:ascii="Times New Roman" w:hAnsi="Times New Roman" w:cs="Times New Roman"/>
            <w:sz w:val="24"/>
            <w:szCs w:val="24"/>
          </w:rPr>
          <w:fldChar w:fldCharType="separate"/>
        </w:r>
        <w:r w:rsidRPr="00A84207">
          <w:rPr>
            <w:rFonts w:ascii="Times New Roman" w:hAnsi="Times New Roman" w:cs="Times New Roman"/>
            <w:noProof/>
            <w:sz w:val="24"/>
            <w:szCs w:val="24"/>
          </w:rPr>
          <w:t>2</w:t>
        </w:r>
        <w:r w:rsidRPr="00A84207">
          <w:rPr>
            <w:rFonts w:ascii="Times New Roman" w:hAnsi="Times New Roman" w:cs="Times New Roman"/>
            <w:noProof/>
            <w:sz w:val="24"/>
            <w:szCs w:val="24"/>
          </w:rPr>
          <w:fldChar w:fldCharType="end"/>
        </w:r>
      </w:sdtContent>
    </w:sdt>
  </w:p>
  <w:p w14:paraId="0571EC39" w14:textId="77777777" w:rsidR="001E12E3" w:rsidRDefault="001E1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69A4" w14:textId="77777777" w:rsidR="001E12E3" w:rsidRDefault="001E12E3">
    <w:pPr>
      <w:pStyle w:val="Header"/>
      <w:jc w:val="right"/>
    </w:pPr>
  </w:p>
  <w:p w14:paraId="0584A1A2" w14:textId="77777777" w:rsidR="001E12E3" w:rsidRDefault="001E12E3"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774C" w14:textId="77777777" w:rsidR="00BF3211" w:rsidRDefault="00BF3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EEF6" w14:textId="77777777" w:rsidR="00BF3211" w:rsidRDefault="00BF3211">
    <w:pPr>
      <w:pStyle w:val="Header"/>
      <w:jc w:val="right"/>
    </w:pPr>
  </w:p>
  <w:p w14:paraId="3AED4AB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067FB"/>
    <w:multiLevelType w:val="hybridMultilevel"/>
    <w:tmpl w:val="694E7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4CDE"/>
    <w:multiLevelType w:val="hybridMultilevel"/>
    <w:tmpl w:val="62D267A2"/>
    <w:lvl w:ilvl="0" w:tplc="557A8FA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6F47F84"/>
    <w:multiLevelType w:val="multilevel"/>
    <w:tmpl w:val="8E7003B2"/>
    <w:numStyleLink w:val="JudgmentParagraphs"/>
  </w:abstractNum>
  <w:abstractNum w:abstractNumId="4"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55E18"/>
    <w:multiLevelType w:val="hybridMultilevel"/>
    <w:tmpl w:val="3ABCC612"/>
    <w:lvl w:ilvl="0" w:tplc="B93CC29A">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516A2"/>
    <w:multiLevelType w:val="multilevel"/>
    <w:tmpl w:val="8E7003B2"/>
    <w:numStyleLink w:val="JudgmentParagraphs"/>
  </w:abstractNum>
  <w:abstractNum w:abstractNumId="9" w15:restartNumberingAfterBreak="0">
    <w:nsid w:val="3E144C57"/>
    <w:multiLevelType w:val="hybridMultilevel"/>
    <w:tmpl w:val="AC860688"/>
    <w:lvl w:ilvl="0" w:tplc="10090017">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F0F6A"/>
    <w:multiLevelType w:val="hybridMultilevel"/>
    <w:tmpl w:val="FEB27D48"/>
    <w:lvl w:ilvl="0" w:tplc="9DA2CAE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F104FA2"/>
    <w:multiLevelType w:val="hybridMultilevel"/>
    <w:tmpl w:val="27F447D0"/>
    <w:lvl w:ilvl="0" w:tplc="B0483C5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0783596">
    <w:abstractNumId w:val="7"/>
  </w:num>
  <w:num w:numId="2" w16cid:durableId="1652446112">
    <w:abstractNumId w:val="10"/>
  </w:num>
  <w:num w:numId="3" w16cid:durableId="1134059621">
    <w:abstractNumId w:val="5"/>
  </w:num>
  <w:num w:numId="4" w16cid:durableId="348796652">
    <w:abstractNumId w:val="0"/>
  </w:num>
  <w:num w:numId="5" w16cid:durableId="1595896539">
    <w:abstractNumId w:val="14"/>
  </w:num>
  <w:num w:numId="6" w16cid:durableId="95752768">
    <w:abstractNumId w:val="4"/>
  </w:num>
  <w:num w:numId="7" w16cid:durableId="1521359273">
    <w:abstractNumId w:val="13"/>
  </w:num>
  <w:num w:numId="8" w16cid:durableId="1998336115">
    <w:abstractNumId w:val="8"/>
  </w:num>
  <w:num w:numId="9" w16cid:durableId="945967506">
    <w:abstractNumId w:val="3"/>
    <w:lvlOverride w:ilvl="0">
      <w:lvl w:ilvl="0">
        <w:start w:val="1"/>
        <w:numFmt w:val="decimal"/>
        <w:lvlText w:val="[%1]"/>
        <w:lvlJc w:val="left"/>
        <w:pPr>
          <w:ind w:left="0" w:firstLine="0"/>
        </w:pPr>
        <w:rPr>
          <w:rFonts w:ascii="Times New Roman" w:hAnsi="Times New Roman" w:hint="default"/>
          <w:b w:val="0"/>
          <w:bCs w:val="0"/>
          <w:i w:val="0"/>
          <w:iCs w:val="0"/>
          <w:sz w:val="28"/>
        </w:rPr>
      </w:lvl>
    </w:lvlOverride>
  </w:num>
  <w:num w:numId="10" w16cid:durableId="463893621">
    <w:abstractNumId w:val="15"/>
  </w:num>
  <w:num w:numId="11" w16cid:durableId="1935940620">
    <w:abstractNumId w:val="1"/>
  </w:num>
  <w:num w:numId="12" w16cid:durableId="174074651">
    <w:abstractNumId w:val="12"/>
  </w:num>
  <w:num w:numId="13" w16cid:durableId="537740600">
    <w:abstractNumId w:val="2"/>
  </w:num>
  <w:num w:numId="14" w16cid:durableId="1130779007">
    <w:abstractNumId w:val="11"/>
  </w:num>
  <w:num w:numId="15" w16cid:durableId="1637182276">
    <w:abstractNumId w:val="9"/>
  </w:num>
  <w:num w:numId="16" w16cid:durableId="251478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96"/>
    <w:rsid w:val="000309A7"/>
    <w:rsid w:val="000812FA"/>
    <w:rsid w:val="00083AED"/>
    <w:rsid w:val="000867DC"/>
    <w:rsid w:val="00086E43"/>
    <w:rsid w:val="000A5F60"/>
    <w:rsid w:val="000C0177"/>
    <w:rsid w:val="000C2D83"/>
    <w:rsid w:val="000F21A5"/>
    <w:rsid w:val="000F53DB"/>
    <w:rsid w:val="00103510"/>
    <w:rsid w:val="001401F1"/>
    <w:rsid w:val="00141ED6"/>
    <w:rsid w:val="00143E2F"/>
    <w:rsid w:val="001737B8"/>
    <w:rsid w:val="001922F6"/>
    <w:rsid w:val="001A000F"/>
    <w:rsid w:val="001E0F8F"/>
    <w:rsid w:val="001E12E3"/>
    <w:rsid w:val="001F5970"/>
    <w:rsid w:val="00203AB4"/>
    <w:rsid w:val="00211514"/>
    <w:rsid w:val="002339BB"/>
    <w:rsid w:val="00236FE4"/>
    <w:rsid w:val="002A5536"/>
    <w:rsid w:val="002C6851"/>
    <w:rsid w:val="002D7AAD"/>
    <w:rsid w:val="00306A50"/>
    <w:rsid w:val="0030791C"/>
    <w:rsid w:val="003079CA"/>
    <w:rsid w:val="00321645"/>
    <w:rsid w:val="00324F75"/>
    <w:rsid w:val="0032726C"/>
    <w:rsid w:val="00357D5E"/>
    <w:rsid w:val="00371530"/>
    <w:rsid w:val="00376017"/>
    <w:rsid w:val="00392087"/>
    <w:rsid w:val="003926E0"/>
    <w:rsid w:val="003B4273"/>
    <w:rsid w:val="003D3E8C"/>
    <w:rsid w:val="003E7E35"/>
    <w:rsid w:val="003F2B8B"/>
    <w:rsid w:val="00414CF1"/>
    <w:rsid w:val="00424DE5"/>
    <w:rsid w:val="0043193B"/>
    <w:rsid w:val="004554B8"/>
    <w:rsid w:val="00460360"/>
    <w:rsid w:val="00494364"/>
    <w:rsid w:val="004A01B1"/>
    <w:rsid w:val="004A50F7"/>
    <w:rsid w:val="004C6B06"/>
    <w:rsid w:val="004D7782"/>
    <w:rsid w:val="004F6020"/>
    <w:rsid w:val="004F718E"/>
    <w:rsid w:val="00531BB6"/>
    <w:rsid w:val="00533F06"/>
    <w:rsid w:val="00564EF1"/>
    <w:rsid w:val="005711A4"/>
    <w:rsid w:val="00572126"/>
    <w:rsid w:val="005B5B19"/>
    <w:rsid w:val="005E0673"/>
    <w:rsid w:val="005F47BA"/>
    <w:rsid w:val="006604ED"/>
    <w:rsid w:val="006A764A"/>
    <w:rsid w:val="006B4CBB"/>
    <w:rsid w:val="006B6531"/>
    <w:rsid w:val="006C0CBE"/>
    <w:rsid w:val="006C31BC"/>
    <w:rsid w:val="006C54A5"/>
    <w:rsid w:val="006D5B3E"/>
    <w:rsid w:val="0070374E"/>
    <w:rsid w:val="007404D1"/>
    <w:rsid w:val="00763C25"/>
    <w:rsid w:val="00765E09"/>
    <w:rsid w:val="00777B6B"/>
    <w:rsid w:val="00784254"/>
    <w:rsid w:val="007D1A3C"/>
    <w:rsid w:val="007E4421"/>
    <w:rsid w:val="007E51DD"/>
    <w:rsid w:val="007F221D"/>
    <w:rsid w:val="008123F0"/>
    <w:rsid w:val="00844BA1"/>
    <w:rsid w:val="00852397"/>
    <w:rsid w:val="008573E6"/>
    <w:rsid w:val="00866B24"/>
    <w:rsid w:val="008918DD"/>
    <w:rsid w:val="00897CA5"/>
    <w:rsid w:val="008A09E3"/>
    <w:rsid w:val="008C09DB"/>
    <w:rsid w:val="008C2E25"/>
    <w:rsid w:val="008D139A"/>
    <w:rsid w:val="008D3D42"/>
    <w:rsid w:val="008E2593"/>
    <w:rsid w:val="008F012A"/>
    <w:rsid w:val="00904063"/>
    <w:rsid w:val="009043C1"/>
    <w:rsid w:val="00917C87"/>
    <w:rsid w:val="00921914"/>
    <w:rsid w:val="00943943"/>
    <w:rsid w:val="0096374D"/>
    <w:rsid w:val="00967D4E"/>
    <w:rsid w:val="009725DB"/>
    <w:rsid w:val="00973633"/>
    <w:rsid w:val="00974606"/>
    <w:rsid w:val="0097464B"/>
    <w:rsid w:val="009756B3"/>
    <w:rsid w:val="00976A6B"/>
    <w:rsid w:val="009A26FE"/>
    <w:rsid w:val="009C2CC4"/>
    <w:rsid w:val="009C474B"/>
    <w:rsid w:val="009D1BEE"/>
    <w:rsid w:val="00A06F57"/>
    <w:rsid w:val="00A11726"/>
    <w:rsid w:val="00A45BFA"/>
    <w:rsid w:val="00A46DED"/>
    <w:rsid w:val="00A47503"/>
    <w:rsid w:val="00A57ECA"/>
    <w:rsid w:val="00A84207"/>
    <w:rsid w:val="00A940B9"/>
    <w:rsid w:val="00AB581C"/>
    <w:rsid w:val="00AC28ED"/>
    <w:rsid w:val="00AC4CCD"/>
    <w:rsid w:val="00AC5CD8"/>
    <w:rsid w:val="00B10BC1"/>
    <w:rsid w:val="00B11A8F"/>
    <w:rsid w:val="00B22232"/>
    <w:rsid w:val="00B512D6"/>
    <w:rsid w:val="00B7628E"/>
    <w:rsid w:val="00B94F8E"/>
    <w:rsid w:val="00BA1884"/>
    <w:rsid w:val="00BA61A6"/>
    <w:rsid w:val="00BB234B"/>
    <w:rsid w:val="00BD7BF4"/>
    <w:rsid w:val="00BE7CE1"/>
    <w:rsid w:val="00BF3211"/>
    <w:rsid w:val="00C06ED6"/>
    <w:rsid w:val="00C30260"/>
    <w:rsid w:val="00C302BE"/>
    <w:rsid w:val="00C45E18"/>
    <w:rsid w:val="00C55E64"/>
    <w:rsid w:val="00C6457B"/>
    <w:rsid w:val="00C65F56"/>
    <w:rsid w:val="00C838DD"/>
    <w:rsid w:val="00C9430E"/>
    <w:rsid w:val="00CA135F"/>
    <w:rsid w:val="00CC422C"/>
    <w:rsid w:val="00CC7174"/>
    <w:rsid w:val="00CE4C57"/>
    <w:rsid w:val="00CE4D4C"/>
    <w:rsid w:val="00CF7B9A"/>
    <w:rsid w:val="00D01318"/>
    <w:rsid w:val="00D34CF2"/>
    <w:rsid w:val="00D44796"/>
    <w:rsid w:val="00D4592C"/>
    <w:rsid w:val="00D50439"/>
    <w:rsid w:val="00D65B3A"/>
    <w:rsid w:val="00D81E39"/>
    <w:rsid w:val="00DA6D1E"/>
    <w:rsid w:val="00DD60C7"/>
    <w:rsid w:val="00DE090A"/>
    <w:rsid w:val="00E13AAC"/>
    <w:rsid w:val="00E16C9E"/>
    <w:rsid w:val="00E400BD"/>
    <w:rsid w:val="00E4373D"/>
    <w:rsid w:val="00E528A5"/>
    <w:rsid w:val="00E63519"/>
    <w:rsid w:val="00E932D2"/>
    <w:rsid w:val="00EA15D9"/>
    <w:rsid w:val="00EA27F6"/>
    <w:rsid w:val="00EC259F"/>
    <w:rsid w:val="00ED6BFF"/>
    <w:rsid w:val="00EE6E60"/>
    <w:rsid w:val="00F2041E"/>
    <w:rsid w:val="00F730CA"/>
    <w:rsid w:val="00F81BE0"/>
    <w:rsid w:val="00F93F4D"/>
    <w:rsid w:val="00FA6DA2"/>
    <w:rsid w:val="00FB6612"/>
    <w:rsid w:val="00FC4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015B"/>
  <w15:docId w15:val="{19012D25-14C8-4208-BE10-CCE15C54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OneDrive%20-%20NT%20Courts\Documents%20-%20SC%20Admin\1%20SUPREME%20COURT%20FILES\JUDGMENT%20-%20TRANSCRIPT\A%20Template%20-%20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FFD4A-292C-4743-919C-C384943DFD1A}">
  <ds:schemaRefs>
    <ds:schemaRef ds:uri="http://schemas.openxmlformats.org/officeDocument/2006/bibliography"/>
  </ds:schemaRefs>
</ds:datastoreItem>
</file>

<file path=customXml/itemProps2.xml><?xml version="1.0" encoding="utf-8"?>
<ds:datastoreItem xmlns:ds="http://schemas.openxmlformats.org/officeDocument/2006/customXml" ds:itemID="{B2E241BA-7334-4FA6-8878-F22D136D7DE6}">
  <ds:schemaRefs>
    <ds:schemaRef ds:uri="http://schemas.microsoft.com/sharepoint/v3/contenttype/forms"/>
  </ds:schemaRefs>
</ds:datastoreItem>
</file>

<file path=customXml/itemProps3.xml><?xml version="1.0" encoding="utf-8"?>
<ds:datastoreItem xmlns:ds="http://schemas.openxmlformats.org/officeDocument/2006/customXml" ds:itemID="{1330BE39-108B-426A-B459-33B999FFE464}">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4.xml><?xml version="1.0" encoding="utf-8"?>
<ds:datastoreItem xmlns:ds="http://schemas.openxmlformats.org/officeDocument/2006/customXml" ds:itemID="{08906CA5-BD51-45A6-9917-7439AF851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21</Pages>
  <Words>6261</Words>
  <Characters>35689</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41867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Mair</dc:creator>
  <cp:lastModifiedBy>Tyler Vibert</cp:lastModifiedBy>
  <cp:revision>2</cp:revision>
  <cp:lastPrinted>2025-10-05T23:40:00Z</cp:lastPrinted>
  <dcterms:created xsi:type="dcterms:W3CDTF">2025-10-06T16:28:00Z</dcterms:created>
  <dcterms:modified xsi:type="dcterms:W3CDTF">2025-10-06T16:28:00Z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680600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2025-03-12T17:23:21Z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a5dd3600-64f0-441a-953f-01ac7568f7c5</vt:lpwstr>
  </property>
  <property fmtid="{D5CDD505-2E9C-101B-9397-08002B2CF9AE}" pid="10" name="MSIP_Label_defa4170-0d19-0005-0004-bc88714345d2_ContentBits">
    <vt:lpwstr>0</vt:lpwstr>
  </property>
  <property fmtid="{D5CDD505-2E9C-101B-9397-08002B2CF9AE}" pid="11" name="MediaServiceImageTags">
    <vt:lpwstr/>
  </property>
</Properties>
</file>