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8C392" w14:textId="7C7AF6C3" w:rsidR="00B94F8E" w:rsidRPr="00572126" w:rsidRDefault="00560835" w:rsidP="00B22232">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Commissioner v Christensen, </w:t>
      </w:r>
      <w:r w:rsidR="00784254">
        <w:rPr>
          <w:rFonts w:ascii="Times New Roman" w:hAnsi="Times New Roman" w:cs="Times New Roman"/>
          <w:sz w:val="24"/>
          <w:szCs w:val="24"/>
        </w:rPr>
        <w:t>20</w:t>
      </w:r>
      <w:r>
        <w:rPr>
          <w:rFonts w:ascii="Times New Roman" w:hAnsi="Times New Roman" w:cs="Times New Roman"/>
          <w:sz w:val="24"/>
          <w:szCs w:val="24"/>
        </w:rPr>
        <w:t xml:space="preserve">25 </w:t>
      </w:r>
      <w:r w:rsidR="00B22232">
        <w:rPr>
          <w:rFonts w:ascii="Times New Roman" w:hAnsi="Times New Roman" w:cs="Times New Roman"/>
          <w:sz w:val="24"/>
          <w:szCs w:val="24"/>
        </w:rPr>
        <w:t xml:space="preserve">NWTSC </w:t>
      </w:r>
      <w:r w:rsidR="001A5F6C">
        <w:rPr>
          <w:rFonts w:ascii="Times New Roman" w:hAnsi="Times New Roman" w:cs="Times New Roman"/>
          <w:sz w:val="24"/>
          <w:szCs w:val="24"/>
        </w:rPr>
        <w:t>77</w:t>
      </w:r>
    </w:p>
    <w:p w14:paraId="1CF3AC8E" w14:textId="53076A01" w:rsidR="00B94F8E" w:rsidRPr="00B94F8E" w:rsidRDefault="001922F6" w:rsidP="00B22232">
      <w:pPr>
        <w:spacing w:after="0" w:line="240" w:lineRule="auto"/>
        <w:jc w:val="right"/>
        <w:rPr>
          <w:rFonts w:ascii="Times New Roman" w:hAnsi="Times New Roman" w:cs="Times New Roman"/>
          <w:sz w:val="28"/>
          <w:szCs w:val="28"/>
        </w:rPr>
      </w:pPr>
      <w:r w:rsidRPr="00B94F8E">
        <w:rPr>
          <w:rFonts w:ascii="Times New Roman" w:hAnsi="Times New Roman" w:cs="Times New Roman"/>
          <w:sz w:val="28"/>
          <w:szCs w:val="28"/>
        </w:rPr>
        <w:fldChar w:fldCharType="begin"/>
      </w:r>
      <w:r w:rsidR="00B94F8E" w:rsidRPr="00B94F8E">
        <w:rPr>
          <w:rFonts w:ascii="Times New Roman" w:hAnsi="Times New Roman" w:cs="Times New Roman"/>
          <w:sz w:val="28"/>
          <w:szCs w:val="28"/>
        </w:rPr>
        <w:instrText xml:space="preserve"> SEQ CHAPTER \h \r 1</w:instrText>
      </w:r>
      <w:r w:rsidRPr="00B94F8E">
        <w:rPr>
          <w:rFonts w:ascii="Times New Roman" w:hAnsi="Times New Roman" w:cs="Times New Roman"/>
          <w:sz w:val="28"/>
          <w:szCs w:val="28"/>
        </w:rPr>
        <w:fldChar w:fldCharType="end"/>
      </w:r>
      <w:r w:rsidR="00B94F8E" w:rsidRPr="00B94F8E">
        <w:rPr>
          <w:rFonts w:ascii="Times New Roman" w:hAnsi="Times New Roman" w:cs="Times New Roman"/>
          <w:sz w:val="28"/>
          <w:szCs w:val="28"/>
        </w:rPr>
        <w:t xml:space="preserve">Date: </w:t>
      </w:r>
      <w:bookmarkStart w:id="0" w:name="1"/>
      <w:bookmarkEnd w:id="0"/>
      <w:r w:rsidR="00B94F8E" w:rsidRPr="00B94F8E">
        <w:rPr>
          <w:rFonts w:ascii="Times New Roman" w:hAnsi="Times New Roman" w:cs="Times New Roman"/>
          <w:sz w:val="28"/>
          <w:szCs w:val="28"/>
        </w:rPr>
        <w:t xml:space="preserve"> </w:t>
      </w:r>
      <w:r w:rsidR="001A5F6C">
        <w:rPr>
          <w:rFonts w:ascii="Times New Roman" w:hAnsi="Times New Roman" w:cs="Times New Roman"/>
          <w:sz w:val="28"/>
          <w:szCs w:val="28"/>
        </w:rPr>
        <w:t>2025 11 07</w:t>
      </w:r>
    </w:p>
    <w:p w14:paraId="4B2F8872" w14:textId="1EB9415B" w:rsidR="00B94F8E" w:rsidRDefault="001922F6" w:rsidP="00B22232">
      <w:pPr>
        <w:spacing w:after="0" w:line="240" w:lineRule="auto"/>
        <w:jc w:val="right"/>
        <w:rPr>
          <w:rFonts w:ascii="Times New Roman" w:hAnsi="Times New Roman" w:cs="Times New Roman"/>
          <w:sz w:val="28"/>
          <w:szCs w:val="28"/>
        </w:rPr>
      </w:pPr>
      <w:r w:rsidRPr="00B94F8E">
        <w:rPr>
          <w:rFonts w:ascii="Times New Roman" w:hAnsi="Times New Roman" w:cs="Times New Roman"/>
          <w:sz w:val="28"/>
          <w:szCs w:val="28"/>
        </w:rPr>
        <w:fldChar w:fldCharType="begin"/>
      </w:r>
      <w:r w:rsidR="00B94F8E" w:rsidRPr="00B94F8E">
        <w:rPr>
          <w:rFonts w:ascii="Times New Roman" w:hAnsi="Times New Roman" w:cs="Times New Roman"/>
          <w:sz w:val="28"/>
          <w:szCs w:val="28"/>
        </w:rPr>
        <w:instrText xml:space="preserve"> SEQ CHAPTER \h \r 1</w:instrText>
      </w:r>
      <w:r w:rsidRPr="00B94F8E">
        <w:rPr>
          <w:rFonts w:ascii="Times New Roman" w:hAnsi="Times New Roman" w:cs="Times New Roman"/>
          <w:sz w:val="28"/>
          <w:szCs w:val="28"/>
        </w:rPr>
        <w:fldChar w:fldCharType="end"/>
      </w:r>
      <w:r w:rsidR="00B94F8E" w:rsidRPr="00B94F8E">
        <w:rPr>
          <w:rFonts w:ascii="Times New Roman" w:hAnsi="Times New Roman" w:cs="Times New Roman"/>
          <w:sz w:val="28"/>
          <w:szCs w:val="28"/>
        </w:rPr>
        <w:t xml:space="preserve">Docket: </w:t>
      </w:r>
      <w:bookmarkStart w:id="1" w:name="2"/>
      <w:bookmarkEnd w:id="1"/>
      <w:r w:rsidR="00B94F8E">
        <w:rPr>
          <w:rFonts w:ascii="Times New Roman" w:hAnsi="Times New Roman" w:cs="Times New Roman"/>
          <w:sz w:val="28"/>
          <w:szCs w:val="28"/>
        </w:rPr>
        <w:t xml:space="preserve"> </w:t>
      </w:r>
      <w:r w:rsidR="003079CA">
        <w:rPr>
          <w:rFonts w:ascii="Times New Roman" w:hAnsi="Times New Roman" w:cs="Times New Roman"/>
          <w:sz w:val="28"/>
          <w:szCs w:val="28"/>
        </w:rPr>
        <w:t>S-</w:t>
      </w:r>
      <w:r w:rsidR="00B94F8E" w:rsidRPr="00B94F8E">
        <w:rPr>
          <w:rFonts w:ascii="Times New Roman" w:hAnsi="Times New Roman" w:cs="Times New Roman"/>
          <w:sz w:val="28"/>
          <w:szCs w:val="28"/>
        </w:rPr>
        <w:t>1-</w:t>
      </w:r>
      <w:r w:rsidR="00560835">
        <w:rPr>
          <w:rFonts w:ascii="Times New Roman" w:hAnsi="Times New Roman" w:cs="Times New Roman"/>
          <w:sz w:val="28"/>
          <w:szCs w:val="28"/>
        </w:rPr>
        <w:t>CV</w:t>
      </w:r>
      <w:r w:rsidR="00572126">
        <w:rPr>
          <w:rFonts w:ascii="Times New Roman" w:hAnsi="Times New Roman" w:cs="Times New Roman"/>
          <w:sz w:val="28"/>
          <w:szCs w:val="28"/>
        </w:rPr>
        <w:t>-20</w:t>
      </w:r>
      <w:r w:rsidR="00560835">
        <w:rPr>
          <w:rFonts w:ascii="Times New Roman" w:hAnsi="Times New Roman" w:cs="Times New Roman"/>
          <w:sz w:val="28"/>
          <w:szCs w:val="28"/>
        </w:rPr>
        <w:t>10</w:t>
      </w:r>
      <w:r w:rsidR="00D50439">
        <w:rPr>
          <w:rFonts w:ascii="Times New Roman" w:hAnsi="Times New Roman" w:cs="Times New Roman"/>
          <w:sz w:val="28"/>
          <w:szCs w:val="28"/>
        </w:rPr>
        <w:t>-000 0</w:t>
      </w:r>
      <w:r w:rsidR="00560835">
        <w:rPr>
          <w:rFonts w:ascii="Times New Roman" w:hAnsi="Times New Roman" w:cs="Times New Roman"/>
          <w:sz w:val="28"/>
          <w:szCs w:val="28"/>
        </w:rPr>
        <w:t>65</w:t>
      </w:r>
      <w:r w:rsidR="00572126">
        <w:rPr>
          <w:rFonts w:ascii="Times New Roman" w:hAnsi="Times New Roman" w:cs="Times New Roman"/>
          <w:sz w:val="28"/>
          <w:szCs w:val="28"/>
        </w:rPr>
        <w:t xml:space="preserve"> </w:t>
      </w:r>
    </w:p>
    <w:p w14:paraId="7DBFCF11" w14:textId="77777777" w:rsidR="00B94F8E" w:rsidRPr="00510FFE" w:rsidRDefault="00B94F8E" w:rsidP="00BE5519">
      <w:pPr>
        <w:spacing w:after="0" w:line="240" w:lineRule="auto"/>
        <w:jc w:val="center"/>
        <w:rPr>
          <w:rFonts w:ascii="Times New Roman" w:hAnsi="Times New Roman" w:cs="Times New Roman"/>
          <w:sz w:val="28"/>
          <w:szCs w:val="28"/>
        </w:rPr>
      </w:pPr>
    </w:p>
    <w:p w14:paraId="4277BE08" w14:textId="77777777" w:rsidR="00784254" w:rsidRPr="00510FFE" w:rsidRDefault="00784254" w:rsidP="00B22232">
      <w:pPr>
        <w:jc w:val="center"/>
        <w:rPr>
          <w:rFonts w:ascii="Times New Roman" w:hAnsi="Times New Roman" w:cs="Times New Roman"/>
          <w:sz w:val="28"/>
          <w:szCs w:val="28"/>
        </w:rPr>
      </w:pPr>
      <w:r w:rsidRPr="00510FFE">
        <w:rPr>
          <w:rFonts w:ascii="Times New Roman" w:hAnsi="Times New Roman" w:cs="Times New Roman"/>
          <w:sz w:val="28"/>
          <w:szCs w:val="28"/>
        </w:rPr>
        <w:t>IN THE SUPREME COURT OF THE NORTHWEST TERRITORIES</w:t>
      </w:r>
    </w:p>
    <w:p w14:paraId="06C20051" w14:textId="77777777" w:rsidR="00784254" w:rsidRPr="00510FFE" w:rsidRDefault="00784254" w:rsidP="00B22232">
      <w:pPr>
        <w:rPr>
          <w:rFonts w:ascii="Times New Roman" w:hAnsi="Times New Roman" w:cs="Times New Roman"/>
          <w:sz w:val="28"/>
          <w:szCs w:val="28"/>
        </w:rPr>
      </w:pPr>
      <w:r w:rsidRPr="00510FFE">
        <w:rPr>
          <w:rFonts w:ascii="Times New Roman" w:hAnsi="Times New Roman" w:cs="Times New Roman"/>
          <w:sz w:val="28"/>
          <w:szCs w:val="28"/>
        </w:rPr>
        <w:t>BETWEEN:</w:t>
      </w:r>
    </w:p>
    <w:p w14:paraId="5B92DADF" w14:textId="3BD72EDB" w:rsidR="00784254" w:rsidRPr="00DC21E5" w:rsidRDefault="00560835" w:rsidP="00386E33">
      <w:pPr>
        <w:spacing w:after="0" w:line="240" w:lineRule="auto"/>
        <w:jc w:val="center"/>
        <w:rPr>
          <w:rFonts w:ascii="Times New Roman" w:hAnsi="Times New Roman" w:cs="Times New Roman"/>
          <w:sz w:val="28"/>
          <w:szCs w:val="28"/>
        </w:rPr>
      </w:pPr>
      <w:r w:rsidRPr="00DC21E5">
        <w:rPr>
          <w:rFonts w:ascii="Times New Roman" w:hAnsi="Times New Roman" w:cs="Times New Roman"/>
          <w:sz w:val="28"/>
          <w:szCs w:val="28"/>
        </w:rPr>
        <w:t>THE COMMISSIONER OF THE NORTHWEST TERRITORIES</w:t>
      </w:r>
    </w:p>
    <w:p w14:paraId="37A0BAC1" w14:textId="77777777" w:rsidR="00420C09" w:rsidRPr="00DC21E5" w:rsidRDefault="00420C09" w:rsidP="00386E33">
      <w:pPr>
        <w:spacing w:after="0" w:line="240" w:lineRule="auto"/>
        <w:jc w:val="right"/>
        <w:rPr>
          <w:rFonts w:ascii="Times New Roman" w:hAnsi="Times New Roman" w:cs="Times New Roman"/>
          <w:sz w:val="28"/>
          <w:szCs w:val="28"/>
        </w:rPr>
      </w:pPr>
    </w:p>
    <w:p w14:paraId="6B9FA780" w14:textId="6F29F4C9" w:rsidR="00560835" w:rsidRPr="00DC21E5" w:rsidRDefault="00560835" w:rsidP="00386E33">
      <w:pPr>
        <w:spacing w:after="0" w:line="240" w:lineRule="auto"/>
        <w:jc w:val="right"/>
        <w:rPr>
          <w:rFonts w:ascii="Times New Roman" w:hAnsi="Times New Roman" w:cs="Times New Roman"/>
          <w:sz w:val="28"/>
          <w:szCs w:val="28"/>
        </w:rPr>
      </w:pPr>
      <w:r w:rsidRPr="00DC21E5">
        <w:rPr>
          <w:rFonts w:ascii="Times New Roman" w:hAnsi="Times New Roman" w:cs="Times New Roman"/>
          <w:sz w:val="28"/>
          <w:szCs w:val="28"/>
        </w:rPr>
        <w:t>Plaintiff/Defendant by Counterclaim</w:t>
      </w:r>
    </w:p>
    <w:p w14:paraId="5985F3E6" w14:textId="77777777" w:rsidR="00386E33" w:rsidRPr="00DC21E5" w:rsidRDefault="00386E33" w:rsidP="00386E33">
      <w:pPr>
        <w:spacing w:after="0" w:line="240" w:lineRule="auto"/>
        <w:jc w:val="right"/>
        <w:rPr>
          <w:rFonts w:ascii="Times New Roman" w:hAnsi="Times New Roman" w:cs="Times New Roman"/>
          <w:sz w:val="28"/>
          <w:szCs w:val="28"/>
        </w:rPr>
      </w:pPr>
    </w:p>
    <w:p w14:paraId="52B4BF73" w14:textId="77777777" w:rsidR="00784254" w:rsidRPr="00DC21E5" w:rsidRDefault="00784254" w:rsidP="00386E33">
      <w:pPr>
        <w:spacing w:after="0" w:line="240" w:lineRule="auto"/>
        <w:jc w:val="center"/>
        <w:rPr>
          <w:rFonts w:ascii="Times New Roman" w:hAnsi="Times New Roman" w:cs="Times New Roman"/>
          <w:sz w:val="28"/>
          <w:szCs w:val="28"/>
        </w:rPr>
      </w:pPr>
      <w:r w:rsidRPr="00DC21E5">
        <w:rPr>
          <w:rFonts w:ascii="Times New Roman" w:hAnsi="Times New Roman" w:cs="Times New Roman"/>
          <w:sz w:val="28"/>
          <w:szCs w:val="28"/>
        </w:rPr>
        <w:t>-and-</w:t>
      </w:r>
    </w:p>
    <w:p w14:paraId="00B0C0A8" w14:textId="77777777" w:rsidR="00386E33" w:rsidRPr="00DC21E5" w:rsidRDefault="00386E33" w:rsidP="00386E33">
      <w:pPr>
        <w:spacing w:after="0" w:line="240" w:lineRule="auto"/>
        <w:jc w:val="center"/>
        <w:rPr>
          <w:rFonts w:ascii="Times New Roman" w:hAnsi="Times New Roman" w:cs="Times New Roman"/>
          <w:sz w:val="28"/>
          <w:szCs w:val="28"/>
        </w:rPr>
      </w:pPr>
    </w:p>
    <w:p w14:paraId="4F5948D8" w14:textId="4CDF8EF6" w:rsidR="00784254" w:rsidRPr="00DC21E5" w:rsidRDefault="00560835" w:rsidP="00386E33">
      <w:pPr>
        <w:spacing w:after="0" w:line="240" w:lineRule="auto"/>
        <w:jc w:val="center"/>
        <w:rPr>
          <w:rFonts w:ascii="Times New Roman" w:hAnsi="Times New Roman" w:cs="Times New Roman"/>
          <w:sz w:val="28"/>
          <w:szCs w:val="28"/>
        </w:rPr>
      </w:pPr>
      <w:r w:rsidRPr="00DC21E5">
        <w:rPr>
          <w:rFonts w:ascii="Times New Roman" w:hAnsi="Times New Roman" w:cs="Times New Roman"/>
          <w:sz w:val="28"/>
          <w:szCs w:val="28"/>
        </w:rPr>
        <w:t>AGNES CHRISTENSEN and CLAYTON CHRISTENSEN</w:t>
      </w:r>
    </w:p>
    <w:p w14:paraId="4AA6EBB9" w14:textId="77777777" w:rsidR="00420C09" w:rsidRPr="00DC21E5" w:rsidRDefault="00420C09" w:rsidP="00386E33">
      <w:pPr>
        <w:spacing w:after="0" w:line="240" w:lineRule="auto"/>
        <w:jc w:val="center"/>
        <w:rPr>
          <w:rFonts w:ascii="Times New Roman" w:hAnsi="Times New Roman" w:cs="Times New Roman"/>
          <w:sz w:val="28"/>
          <w:szCs w:val="28"/>
        </w:rPr>
      </w:pPr>
    </w:p>
    <w:p w14:paraId="39459DEC" w14:textId="57863B3F" w:rsidR="00560835" w:rsidRPr="00DC21E5" w:rsidRDefault="00560835" w:rsidP="00386E33">
      <w:pPr>
        <w:spacing w:after="0" w:line="240" w:lineRule="auto"/>
        <w:jc w:val="right"/>
        <w:rPr>
          <w:rFonts w:ascii="Times New Roman" w:hAnsi="Times New Roman" w:cs="Times New Roman"/>
          <w:sz w:val="28"/>
          <w:szCs w:val="28"/>
        </w:rPr>
      </w:pPr>
      <w:r w:rsidRPr="00DC21E5">
        <w:rPr>
          <w:rFonts w:ascii="Times New Roman" w:hAnsi="Times New Roman" w:cs="Times New Roman"/>
          <w:sz w:val="28"/>
          <w:szCs w:val="28"/>
        </w:rPr>
        <w:t>Defendants</w:t>
      </w:r>
    </w:p>
    <w:p w14:paraId="1C7814F9" w14:textId="7DA67EC0" w:rsidR="00560835" w:rsidRPr="00DC21E5" w:rsidRDefault="00560835" w:rsidP="00386E33">
      <w:pPr>
        <w:spacing w:after="0" w:line="240" w:lineRule="auto"/>
        <w:rPr>
          <w:rFonts w:ascii="Times New Roman" w:hAnsi="Times New Roman" w:cs="Times New Roman"/>
          <w:sz w:val="28"/>
          <w:szCs w:val="28"/>
        </w:rPr>
      </w:pPr>
      <w:r w:rsidRPr="00DC21E5">
        <w:rPr>
          <w:rFonts w:ascii="Times New Roman" w:hAnsi="Times New Roman" w:cs="Times New Roman"/>
          <w:sz w:val="28"/>
          <w:szCs w:val="28"/>
        </w:rPr>
        <w:tab/>
      </w:r>
      <w:r w:rsidRPr="00DC21E5">
        <w:rPr>
          <w:rFonts w:ascii="Times New Roman" w:hAnsi="Times New Roman" w:cs="Times New Roman"/>
          <w:sz w:val="28"/>
          <w:szCs w:val="28"/>
        </w:rPr>
        <w:tab/>
      </w:r>
      <w:r w:rsidRPr="00DC21E5">
        <w:rPr>
          <w:rFonts w:ascii="Times New Roman" w:hAnsi="Times New Roman" w:cs="Times New Roman"/>
          <w:sz w:val="28"/>
          <w:szCs w:val="28"/>
        </w:rPr>
        <w:tab/>
      </w:r>
      <w:r w:rsidRPr="00DC21E5">
        <w:rPr>
          <w:rFonts w:ascii="Times New Roman" w:hAnsi="Times New Roman" w:cs="Times New Roman"/>
          <w:sz w:val="28"/>
          <w:szCs w:val="28"/>
        </w:rPr>
        <w:tab/>
      </w:r>
      <w:r w:rsidRPr="00DC21E5">
        <w:rPr>
          <w:rFonts w:ascii="Times New Roman" w:hAnsi="Times New Roman" w:cs="Times New Roman"/>
          <w:sz w:val="28"/>
          <w:szCs w:val="28"/>
        </w:rPr>
        <w:tab/>
      </w:r>
      <w:r w:rsidRPr="00DC21E5">
        <w:rPr>
          <w:rFonts w:ascii="Times New Roman" w:hAnsi="Times New Roman" w:cs="Times New Roman"/>
          <w:sz w:val="28"/>
          <w:szCs w:val="28"/>
        </w:rPr>
        <w:tab/>
        <w:t>-and-</w:t>
      </w:r>
    </w:p>
    <w:p w14:paraId="5EF31490" w14:textId="77777777" w:rsidR="00386E33" w:rsidRPr="00DC21E5" w:rsidRDefault="00386E33" w:rsidP="00386E33">
      <w:pPr>
        <w:spacing w:after="0" w:line="240" w:lineRule="auto"/>
        <w:rPr>
          <w:rFonts w:ascii="Times New Roman" w:hAnsi="Times New Roman" w:cs="Times New Roman"/>
          <w:sz w:val="28"/>
          <w:szCs w:val="28"/>
        </w:rPr>
      </w:pPr>
    </w:p>
    <w:p w14:paraId="11BE0903" w14:textId="046856BF" w:rsidR="00560835" w:rsidRPr="00DC21E5" w:rsidRDefault="00560835" w:rsidP="00386E33">
      <w:pPr>
        <w:spacing w:after="0" w:line="240" w:lineRule="auto"/>
        <w:jc w:val="center"/>
        <w:rPr>
          <w:rFonts w:ascii="Times New Roman" w:hAnsi="Times New Roman" w:cs="Times New Roman"/>
          <w:sz w:val="28"/>
          <w:szCs w:val="28"/>
          <w:u w:val="single"/>
        </w:rPr>
      </w:pPr>
      <w:r w:rsidRPr="00DC21E5">
        <w:rPr>
          <w:rFonts w:ascii="Times New Roman" w:hAnsi="Times New Roman" w:cs="Times New Roman"/>
          <w:sz w:val="28"/>
          <w:szCs w:val="28"/>
        </w:rPr>
        <w:t>AGNES CHRISTENSEN, CLAYTON CHRISTENSEN, STEVEN CHRISTENSEN, ADAM CHRISTENSEN, and STANLEY CHRISTENSEN on behalf of themselves, and all other members of a class of individuals who reside in Akaitcho Asserted Territory and who have an unfulfilled right to select land in severalty pursuant to Treaty No. 8</w:t>
      </w:r>
    </w:p>
    <w:p w14:paraId="2E592EF2" w14:textId="77777777" w:rsidR="00420C09" w:rsidRPr="00DC21E5" w:rsidRDefault="00420C09" w:rsidP="00386E33">
      <w:pPr>
        <w:spacing w:after="0" w:line="240" w:lineRule="auto"/>
        <w:jc w:val="center"/>
        <w:rPr>
          <w:rFonts w:ascii="Times New Roman" w:hAnsi="Times New Roman" w:cs="Times New Roman"/>
          <w:sz w:val="28"/>
          <w:szCs w:val="28"/>
        </w:rPr>
      </w:pPr>
    </w:p>
    <w:p w14:paraId="408A39B1" w14:textId="0AB9EA1A" w:rsidR="00560835" w:rsidRPr="00DC21E5" w:rsidRDefault="00560835" w:rsidP="00386E33">
      <w:pPr>
        <w:spacing w:after="0" w:line="240" w:lineRule="auto"/>
        <w:jc w:val="right"/>
        <w:rPr>
          <w:rFonts w:ascii="Times New Roman" w:hAnsi="Times New Roman" w:cs="Times New Roman"/>
          <w:sz w:val="28"/>
          <w:szCs w:val="28"/>
        </w:rPr>
      </w:pPr>
      <w:r w:rsidRPr="00DC21E5">
        <w:rPr>
          <w:rFonts w:ascii="Times New Roman" w:hAnsi="Times New Roman" w:cs="Times New Roman"/>
          <w:sz w:val="28"/>
          <w:szCs w:val="28"/>
        </w:rPr>
        <w:t xml:space="preserve">Plaintiffs by Counterclaim </w:t>
      </w:r>
    </w:p>
    <w:p w14:paraId="2C93099D" w14:textId="427A5474" w:rsidR="00560835" w:rsidRPr="00DC21E5" w:rsidRDefault="00560835" w:rsidP="00386E33">
      <w:pPr>
        <w:spacing w:after="0" w:line="240" w:lineRule="auto"/>
        <w:rPr>
          <w:rFonts w:ascii="Times New Roman" w:hAnsi="Times New Roman" w:cs="Times New Roman"/>
          <w:sz w:val="28"/>
          <w:szCs w:val="28"/>
        </w:rPr>
      </w:pPr>
      <w:r w:rsidRPr="00DC21E5">
        <w:rPr>
          <w:rFonts w:ascii="Times New Roman" w:hAnsi="Times New Roman" w:cs="Times New Roman"/>
          <w:sz w:val="28"/>
          <w:szCs w:val="28"/>
        </w:rPr>
        <w:tab/>
      </w:r>
      <w:r w:rsidRPr="00DC21E5">
        <w:rPr>
          <w:rFonts w:ascii="Times New Roman" w:hAnsi="Times New Roman" w:cs="Times New Roman"/>
          <w:sz w:val="28"/>
          <w:szCs w:val="28"/>
        </w:rPr>
        <w:tab/>
      </w:r>
      <w:r w:rsidRPr="00DC21E5">
        <w:rPr>
          <w:rFonts w:ascii="Times New Roman" w:hAnsi="Times New Roman" w:cs="Times New Roman"/>
          <w:sz w:val="28"/>
          <w:szCs w:val="28"/>
        </w:rPr>
        <w:tab/>
      </w:r>
      <w:r w:rsidRPr="00DC21E5">
        <w:rPr>
          <w:rFonts w:ascii="Times New Roman" w:hAnsi="Times New Roman" w:cs="Times New Roman"/>
          <w:sz w:val="28"/>
          <w:szCs w:val="28"/>
        </w:rPr>
        <w:tab/>
      </w:r>
      <w:r w:rsidRPr="00DC21E5">
        <w:rPr>
          <w:rFonts w:ascii="Times New Roman" w:hAnsi="Times New Roman" w:cs="Times New Roman"/>
          <w:sz w:val="28"/>
          <w:szCs w:val="28"/>
        </w:rPr>
        <w:tab/>
      </w:r>
      <w:r w:rsidRPr="00DC21E5">
        <w:rPr>
          <w:rFonts w:ascii="Times New Roman" w:hAnsi="Times New Roman" w:cs="Times New Roman"/>
          <w:sz w:val="28"/>
          <w:szCs w:val="28"/>
        </w:rPr>
        <w:tab/>
        <w:t>-and-</w:t>
      </w:r>
    </w:p>
    <w:p w14:paraId="31804DFA" w14:textId="77777777" w:rsidR="00386E33" w:rsidRPr="00DC21E5" w:rsidRDefault="00386E33" w:rsidP="00386E33">
      <w:pPr>
        <w:spacing w:after="0" w:line="240" w:lineRule="auto"/>
        <w:rPr>
          <w:rFonts w:ascii="Times New Roman" w:hAnsi="Times New Roman" w:cs="Times New Roman"/>
          <w:sz w:val="28"/>
          <w:szCs w:val="28"/>
        </w:rPr>
      </w:pPr>
    </w:p>
    <w:p w14:paraId="4E6528AC" w14:textId="77777777" w:rsidR="00420C09" w:rsidRPr="00DC21E5" w:rsidRDefault="00560835" w:rsidP="00386E33">
      <w:pPr>
        <w:spacing w:after="0" w:line="240" w:lineRule="auto"/>
        <w:jc w:val="center"/>
        <w:rPr>
          <w:rFonts w:ascii="Times New Roman" w:hAnsi="Times New Roman" w:cs="Times New Roman"/>
          <w:sz w:val="28"/>
          <w:szCs w:val="28"/>
        </w:rPr>
      </w:pPr>
      <w:r w:rsidRPr="00DC21E5">
        <w:rPr>
          <w:rFonts w:ascii="Times New Roman" w:hAnsi="Times New Roman" w:cs="Times New Roman"/>
          <w:sz w:val="28"/>
          <w:szCs w:val="28"/>
        </w:rPr>
        <w:t>THE ATTORNEY GENERAL OF CANADA</w:t>
      </w:r>
    </w:p>
    <w:p w14:paraId="3A0CB96F" w14:textId="2E6AB316" w:rsidR="00560835" w:rsidRPr="00DC21E5" w:rsidRDefault="00560835" w:rsidP="00386E33">
      <w:pPr>
        <w:spacing w:after="0" w:line="240" w:lineRule="auto"/>
        <w:jc w:val="center"/>
        <w:rPr>
          <w:rFonts w:ascii="Times New Roman" w:hAnsi="Times New Roman" w:cs="Times New Roman"/>
          <w:sz w:val="28"/>
          <w:szCs w:val="28"/>
        </w:rPr>
      </w:pPr>
      <w:r w:rsidRPr="00DC21E5">
        <w:rPr>
          <w:rFonts w:ascii="Times New Roman" w:hAnsi="Times New Roman" w:cs="Times New Roman"/>
          <w:sz w:val="28"/>
          <w:szCs w:val="28"/>
        </w:rPr>
        <w:t xml:space="preserve"> </w:t>
      </w:r>
    </w:p>
    <w:p w14:paraId="2F4C66E7" w14:textId="31B1D23A" w:rsidR="00784254" w:rsidRPr="00DC21E5" w:rsidRDefault="0059490F" w:rsidP="006D4AAD">
      <w:pPr>
        <w:jc w:val="right"/>
        <w:rPr>
          <w:rFonts w:ascii="Times New Roman" w:hAnsi="Times New Roman" w:cs="Times New Roman"/>
          <w:sz w:val="28"/>
          <w:szCs w:val="28"/>
        </w:rPr>
      </w:pPr>
      <w:r w:rsidRPr="00DC21E5">
        <w:rPr>
          <w:rFonts w:ascii="Times New Roman" w:hAnsi="Times New Roman" w:cs="Times New Roman"/>
          <w:sz w:val="28"/>
          <w:szCs w:val="28"/>
        </w:rPr>
        <w:t>Defendant by Counterclaim</w:t>
      </w:r>
    </w:p>
    <w:p w14:paraId="21147CFE" w14:textId="77777777" w:rsidR="00784254" w:rsidRDefault="00784254" w:rsidP="00B22232">
      <w:pPr>
        <w:jc w:val="center"/>
        <w:rPr>
          <w:rFonts w:ascii="Times New Roman" w:hAnsi="Times New Roman" w:cs="Times New Roman"/>
          <w:sz w:val="28"/>
          <w:szCs w:val="28"/>
          <w:u w:val="single"/>
        </w:rPr>
      </w:pPr>
      <w:r w:rsidRPr="00B67810">
        <w:rPr>
          <w:rFonts w:ascii="Times New Roman" w:hAnsi="Times New Roman" w:cs="Times New Roman"/>
          <w:sz w:val="28"/>
          <w:szCs w:val="28"/>
          <w:u w:val="single"/>
        </w:rPr>
        <w:t>MEMORANDUM OF JUDGMENT</w:t>
      </w:r>
    </w:p>
    <w:p w14:paraId="4D88C202" w14:textId="19D6303B" w:rsidR="005C15A9" w:rsidRDefault="00F53A65" w:rsidP="00C93CB9">
      <w:pPr>
        <w:pStyle w:val="ListParagraph"/>
        <w:numPr>
          <w:ilvl w:val="0"/>
          <w:numId w:val="9"/>
        </w:numPr>
        <w:spacing w:after="240" w:line="240" w:lineRule="auto"/>
        <w:ind w:left="0" w:firstLine="0"/>
        <w:contextualSpacing w:val="0"/>
        <w:jc w:val="both"/>
        <w:rPr>
          <w:rFonts w:ascii="Times New Roman" w:hAnsi="Times New Roman" w:cs="Times New Roman"/>
          <w:sz w:val="28"/>
          <w:szCs w:val="28"/>
        </w:rPr>
      </w:pPr>
      <w:r>
        <w:rPr>
          <w:rFonts w:ascii="Times New Roman" w:hAnsi="Times New Roman" w:cs="Times New Roman"/>
          <w:sz w:val="28"/>
          <w:szCs w:val="28"/>
        </w:rPr>
        <w:t xml:space="preserve">In the context of litigation involving </w:t>
      </w:r>
      <w:r w:rsidR="009C68A9">
        <w:rPr>
          <w:rFonts w:ascii="Times New Roman" w:hAnsi="Times New Roman" w:cs="Times New Roman"/>
          <w:sz w:val="28"/>
          <w:szCs w:val="28"/>
        </w:rPr>
        <w:t>the</w:t>
      </w:r>
      <w:r>
        <w:rPr>
          <w:rFonts w:ascii="Times New Roman" w:hAnsi="Times New Roman" w:cs="Times New Roman"/>
          <w:sz w:val="28"/>
          <w:szCs w:val="28"/>
        </w:rPr>
        <w:t xml:space="preserve"> potential </w:t>
      </w:r>
      <w:r w:rsidR="009C68A9" w:rsidRPr="009C68A9">
        <w:rPr>
          <w:rFonts w:ascii="Times New Roman" w:hAnsi="Times New Roman" w:cs="Times New Roman"/>
          <w:sz w:val="28"/>
          <w:szCs w:val="28"/>
        </w:rPr>
        <w:t xml:space="preserve">certification </w:t>
      </w:r>
      <w:r w:rsidR="009C68A9">
        <w:rPr>
          <w:rFonts w:ascii="Times New Roman" w:hAnsi="Times New Roman" w:cs="Times New Roman"/>
          <w:sz w:val="28"/>
          <w:szCs w:val="28"/>
        </w:rPr>
        <w:t xml:space="preserve">of a </w:t>
      </w:r>
      <w:r>
        <w:rPr>
          <w:rFonts w:ascii="Times New Roman" w:hAnsi="Times New Roman" w:cs="Times New Roman"/>
          <w:sz w:val="28"/>
          <w:szCs w:val="28"/>
        </w:rPr>
        <w:t>class action relating to the exercise of treaty right</w:t>
      </w:r>
      <w:r w:rsidR="00F4687A">
        <w:rPr>
          <w:rFonts w:ascii="Times New Roman" w:hAnsi="Times New Roman" w:cs="Times New Roman"/>
          <w:sz w:val="28"/>
          <w:szCs w:val="28"/>
        </w:rPr>
        <w:t>s</w:t>
      </w:r>
      <w:r>
        <w:rPr>
          <w:rFonts w:ascii="Times New Roman" w:hAnsi="Times New Roman" w:cs="Times New Roman"/>
          <w:sz w:val="28"/>
          <w:szCs w:val="28"/>
        </w:rPr>
        <w:t>, t</w:t>
      </w:r>
      <w:r w:rsidR="00B44C16">
        <w:rPr>
          <w:rFonts w:ascii="Times New Roman" w:hAnsi="Times New Roman" w:cs="Times New Roman"/>
          <w:sz w:val="28"/>
          <w:szCs w:val="28"/>
        </w:rPr>
        <w:t xml:space="preserve">he </w:t>
      </w:r>
      <w:r w:rsidR="00560835">
        <w:rPr>
          <w:rFonts w:ascii="Times New Roman" w:hAnsi="Times New Roman" w:cs="Times New Roman"/>
          <w:sz w:val="28"/>
          <w:szCs w:val="28"/>
        </w:rPr>
        <w:t xml:space="preserve">Commissioner of the Northwest Territories (the “Commissioner”), </w:t>
      </w:r>
      <w:r w:rsidR="00B44C16">
        <w:rPr>
          <w:rFonts w:ascii="Times New Roman" w:hAnsi="Times New Roman" w:cs="Times New Roman"/>
          <w:sz w:val="28"/>
          <w:szCs w:val="28"/>
        </w:rPr>
        <w:t xml:space="preserve">seeks an order declaring that </w:t>
      </w:r>
      <w:r w:rsidR="00D229FA" w:rsidRPr="00D229FA">
        <w:rPr>
          <w:rFonts w:ascii="Times New Roman" w:hAnsi="Times New Roman" w:cs="Times New Roman"/>
          <w:sz w:val="28"/>
          <w:szCs w:val="28"/>
        </w:rPr>
        <w:t>Rath &amp; Company,</w:t>
      </w:r>
      <w:r w:rsidR="00D229FA">
        <w:rPr>
          <w:rFonts w:ascii="Times New Roman" w:hAnsi="Times New Roman" w:cs="Times New Roman"/>
          <w:sz w:val="28"/>
          <w:szCs w:val="28"/>
        </w:rPr>
        <w:t xml:space="preserve"> </w:t>
      </w:r>
      <w:r w:rsidR="00B44C16">
        <w:rPr>
          <w:rFonts w:ascii="Times New Roman" w:hAnsi="Times New Roman" w:cs="Times New Roman"/>
          <w:sz w:val="28"/>
          <w:szCs w:val="28"/>
        </w:rPr>
        <w:t xml:space="preserve">counsel for the Defendants, Agnes Christensen and Clayton Christensen (“the </w:t>
      </w:r>
      <w:r w:rsidR="00845E08">
        <w:rPr>
          <w:rFonts w:ascii="Times New Roman" w:hAnsi="Times New Roman" w:cs="Times New Roman"/>
          <w:sz w:val="28"/>
          <w:szCs w:val="28"/>
        </w:rPr>
        <w:t>Defendants</w:t>
      </w:r>
      <w:r w:rsidR="00B44C16">
        <w:rPr>
          <w:rFonts w:ascii="Times New Roman" w:hAnsi="Times New Roman" w:cs="Times New Roman"/>
          <w:sz w:val="28"/>
          <w:szCs w:val="28"/>
        </w:rPr>
        <w:t xml:space="preserve">”), </w:t>
      </w:r>
      <w:r w:rsidR="00D229FA">
        <w:rPr>
          <w:rFonts w:ascii="Times New Roman" w:hAnsi="Times New Roman" w:cs="Times New Roman"/>
          <w:sz w:val="28"/>
          <w:szCs w:val="28"/>
        </w:rPr>
        <w:t>are</w:t>
      </w:r>
      <w:r w:rsidR="00B44C16">
        <w:rPr>
          <w:rFonts w:ascii="Times New Roman" w:hAnsi="Times New Roman" w:cs="Times New Roman"/>
          <w:sz w:val="28"/>
          <w:szCs w:val="28"/>
        </w:rPr>
        <w:t xml:space="preserve"> in a conflict of interest and may not act as counsel for both the </w:t>
      </w:r>
      <w:r w:rsidR="00845E08">
        <w:rPr>
          <w:rFonts w:ascii="Times New Roman" w:hAnsi="Times New Roman" w:cs="Times New Roman"/>
          <w:sz w:val="28"/>
          <w:szCs w:val="28"/>
        </w:rPr>
        <w:t xml:space="preserve">Defendants </w:t>
      </w:r>
      <w:r w:rsidR="00B44C16">
        <w:rPr>
          <w:rFonts w:ascii="Times New Roman" w:hAnsi="Times New Roman" w:cs="Times New Roman"/>
          <w:sz w:val="28"/>
          <w:szCs w:val="28"/>
        </w:rPr>
        <w:t xml:space="preserve">and </w:t>
      </w:r>
      <w:r w:rsidR="00845E08">
        <w:rPr>
          <w:rFonts w:ascii="Times New Roman" w:hAnsi="Times New Roman" w:cs="Times New Roman"/>
          <w:sz w:val="28"/>
          <w:szCs w:val="28"/>
        </w:rPr>
        <w:t>the proposed</w:t>
      </w:r>
      <w:r w:rsidR="00B44C16">
        <w:rPr>
          <w:rFonts w:ascii="Times New Roman" w:hAnsi="Times New Roman" w:cs="Times New Roman"/>
          <w:sz w:val="28"/>
          <w:szCs w:val="28"/>
        </w:rPr>
        <w:t xml:space="preserve"> class by counterclaim (the “Conflict of Interest Application”).  </w:t>
      </w:r>
    </w:p>
    <w:p w14:paraId="2DF07F44" w14:textId="2783C166" w:rsidR="00572260" w:rsidRDefault="003348C7" w:rsidP="007E630F">
      <w:pPr>
        <w:pStyle w:val="ListParagraph"/>
        <w:numPr>
          <w:ilvl w:val="0"/>
          <w:numId w:val="9"/>
        </w:numPr>
        <w:spacing w:after="240" w:line="240" w:lineRule="auto"/>
        <w:ind w:left="0" w:firstLine="0"/>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In relation to</w:t>
      </w:r>
      <w:r w:rsidR="00B44C16">
        <w:rPr>
          <w:rFonts w:ascii="Times New Roman" w:hAnsi="Times New Roman" w:cs="Times New Roman"/>
          <w:sz w:val="28"/>
          <w:szCs w:val="28"/>
        </w:rPr>
        <w:t xml:space="preserve"> </w:t>
      </w:r>
      <w:r w:rsidR="008228D4">
        <w:rPr>
          <w:rFonts w:ascii="Times New Roman" w:hAnsi="Times New Roman" w:cs="Times New Roman"/>
          <w:sz w:val="28"/>
          <w:szCs w:val="28"/>
        </w:rPr>
        <w:t>that Conflict</w:t>
      </w:r>
      <w:r w:rsidR="00B44C16">
        <w:rPr>
          <w:rFonts w:ascii="Times New Roman" w:hAnsi="Times New Roman" w:cs="Times New Roman"/>
          <w:sz w:val="28"/>
          <w:szCs w:val="28"/>
        </w:rPr>
        <w:t xml:space="preserve"> of Interest Application, the </w:t>
      </w:r>
      <w:r w:rsidR="00845E08">
        <w:rPr>
          <w:rFonts w:ascii="Times New Roman" w:hAnsi="Times New Roman" w:cs="Times New Roman"/>
          <w:sz w:val="28"/>
          <w:szCs w:val="28"/>
        </w:rPr>
        <w:t>Defendants filed</w:t>
      </w:r>
      <w:r w:rsidR="00195058">
        <w:rPr>
          <w:rFonts w:ascii="Times New Roman" w:hAnsi="Times New Roman" w:cs="Times New Roman"/>
          <w:sz w:val="28"/>
          <w:szCs w:val="28"/>
        </w:rPr>
        <w:t xml:space="preserve"> a response </w:t>
      </w:r>
      <w:r w:rsidR="00FB29F2">
        <w:rPr>
          <w:rFonts w:ascii="Times New Roman" w:hAnsi="Times New Roman" w:cs="Times New Roman"/>
          <w:sz w:val="28"/>
          <w:szCs w:val="28"/>
        </w:rPr>
        <w:t>(</w:t>
      </w:r>
      <w:r w:rsidR="00F53A65">
        <w:rPr>
          <w:rFonts w:ascii="Times New Roman" w:hAnsi="Times New Roman" w:cs="Times New Roman"/>
          <w:sz w:val="28"/>
          <w:szCs w:val="28"/>
        </w:rPr>
        <w:t xml:space="preserve">the </w:t>
      </w:r>
      <w:r w:rsidR="00FB29F2">
        <w:rPr>
          <w:rFonts w:ascii="Times New Roman" w:hAnsi="Times New Roman" w:cs="Times New Roman"/>
          <w:sz w:val="28"/>
          <w:szCs w:val="28"/>
        </w:rPr>
        <w:t xml:space="preserve">“Conflict of Interest Response”) </w:t>
      </w:r>
      <w:r w:rsidR="00291531">
        <w:rPr>
          <w:rFonts w:ascii="Times New Roman" w:hAnsi="Times New Roman" w:cs="Times New Roman"/>
          <w:sz w:val="28"/>
          <w:szCs w:val="28"/>
        </w:rPr>
        <w:t xml:space="preserve">which </w:t>
      </w:r>
      <w:r w:rsidR="00291531" w:rsidRPr="00E671DF">
        <w:rPr>
          <w:rFonts w:ascii="Times New Roman" w:hAnsi="Times New Roman" w:cs="Times New Roman"/>
          <w:sz w:val="28"/>
          <w:szCs w:val="28"/>
        </w:rPr>
        <w:t>references</w:t>
      </w:r>
      <w:r w:rsidR="0088706E" w:rsidRPr="00E671DF">
        <w:rPr>
          <w:rFonts w:ascii="Times New Roman" w:hAnsi="Times New Roman" w:cs="Times New Roman"/>
          <w:sz w:val="28"/>
          <w:szCs w:val="28"/>
        </w:rPr>
        <w:t xml:space="preserve"> a</w:t>
      </w:r>
      <w:r w:rsidR="00195058" w:rsidRPr="00E671DF">
        <w:rPr>
          <w:rFonts w:ascii="Times New Roman" w:hAnsi="Times New Roman" w:cs="Times New Roman"/>
          <w:sz w:val="28"/>
          <w:szCs w:val="28"/>
        </w:rPr>
        <w:t xml:space="preserve"> draft Agreement in Principle</w:t>
      </w:r>
      <w:r w:rsidR="009C68A9">
        <w:rPr>
          <w:rFonts w:ascii="Times New Roman" w:hAnsi="Times New Roman" w:cs="Times New Roman"/>
          <w:sz w:val="28"/>
          <w:szCs w:val="28"/>
        </w:rPr>
        <w:t xml:space="preserve"> </w:t>
      </w:r>
      <w:r w:rsidR="00575D48">
        <w:rPr>
          <w:rFonts w:ascii="Times New Roman" w:hAnsi="Times New Roman" w:cs="Times New Roman"/>
          <w:sz w:val="28"/>
          <w:szCs w:val="28"/>
        </w:rPr>
        <w:t>(</w:t>
      </w:r>
      <w:r w:rsidR="00A5478F">
        <w:rPr>
          <w:rFonts w:ascii="Times New Roman" w:hAnsi="Times New Roman" w:cs="Times New Roman"/>
          <w:sz w:val="28"/>
          <w:szCs w:val="28"/>
        </w:rPr>
        <w:t xml:space="preserve">“AIP”) </w:t>
      </w:r>
      <w:r w:rsidR="00195058">
        <w:rPr>
          <w:rFonts w:ascii="Times New Roman" w:hAnsi="Times New Roman" w:cs="Times New Roman"/>
          <w:sz w:val="28"/>
          <w:szCs w:val="28"/>
        </w:rPr>
        <w:t xml:space="preserve">being </w:t>
      </w:r>
      <w:r w:rsidR="00845E08">
        <w:rPr>
          <w:rFonts w:ascii="Times New Roman" w:hAnsi="Times New Roman" w:cs="Times New Roman"/>
          <w:sz w:val="28"/>
          <w:szCs w:val="28"/>
        </w:rPr>
        <w:t xml:space="preserve">negotiated by the Government of the Northwest Territories (“GNWT”), the Government of Canada </w:t>
      </w:r>
      <w:r w:rsidR="00C309D9">
        <w:rPr>
          <w:rFonts w:ascii="Times New Roman" w:hAnsi="Times New Roman" w:cs="Times New Roman"/>
          <w:sz w:val="28"/>
          <w:szCs w:val="28"/>
        </w:rPr>
        <w:t xml:space="preserve">(“Canada”) </w:t>
      </w:r>
      <w:r w:rsidR="00845E08">
        <w:rPr>
          <w:rFonts w:ascii="Times New Roman" w:hAnsi="Times New Roman" w:cs="Times New Roman"/>
          <w:sz w:val="28"/>
          <w:szCs w:val="28"/>
        </w:rPr>
        <w:t xml:space="preserve">and the Akaitcho Dene First Nations (“ADFN”). </w:t>
      </w:r>
      <w:r w:rsidR="00FB29F2">
        <w:rPr>
          <w:rFonts w:ascii="Times New Roman" w:hAnsi="Times New Roman" w:cs="Times New Roman"/>
          <w:sz w:val="28"/>
          <w:szCs w:val="28"/>
        </w:rPr>
        <w:t xml:space="preserve"> The Defendants’ response also stated that they intended to rely on the </w:t>
      </w:r>
      <w:r w:rsidR="00EC1618">
        <w:rPr>
          <w:rFonts w:ascii="Times New Roman" w:hAnsi="Times New Roman" w:cs="Times New Roman"/>
          <w:sz w:val="28"/>
          <w:szCs w:val="28"/>
        </w:rPr>
        <w:t>C</w:t>
      </w:r>
      <w:r w:rsidR="00FB29F2">
        <w:rPr>
          <w:rFonts w:ascii="Times New Roman" w:hAnsi="Times New Roman" w:cs="Times New Roman"/>
          <w:sz w:val="28"/>
          <w:szCs w:val="28"/>
        </w:rPr>
        <w:t xml:space="preserve">onsultation </w:t>
      </w:r>
      <w:r w:rsidR="00D418F1">
        <w:rPr>
          <w:rFonts w:ascii="Times New Roman" w:hAnsi="Times New Roman" w:cs="Times New Roman"/>
          <w:sz w:val="28"/>
          <w:szCs w:val="28"/>
        </w:rPr>
        <w:t>D</w:t>
      </w:r>
      <w:r w:rsidR="00FB29F2">
        <w:rPr>
          <w:rFonts w:ascii="Times New Roman" w:hAnsi="Times New Roman" w:cs="Times New Roman"/>
          <w:sz w:val="28"/>
          <w:szCs w:val="28"/>
        </w:rPr>
        <w:t xml:space="preserve">raft of the </w:t>
      </w:r>
      <w:r w:rsidR="00BF64A4">
        <w:rPr>
          <w:rFonts w:ascii="Times New Roman" w:hAnsi="Times New Roman" w:cs="Times New Roman"/>
          <w:sz w:val="28"/>
          <w:szCs w:val="28"/>
        </w:rPr>
        <w:t>A</w:t>
      </w:r>
      <w:r w:rsidR="00984BC3">
        <w:rPr>
          <w:rFonts w:ascii="Times New Roman" w:hAnsi="Times New Roman" w:cs="Times New Roman"/>
          <w:sz w:val="28"/>
          <w:szCs w:val="28"/>
        </w:rPr>
        <w:t>greement in Principle</w:t>
      </w:r>
      <w:r w:rsidR="00FB29F2">
        <w:rPr>
          <w:rFonts w:ascii="Times New Roman" w:hAnsi="Times New Roman" w:cs="Times New Roman"/>
          <w:sz w:val="28"/>
          <w:szCs w:val="28"/>
        </w:rPr>
        <w:t xml:space="preserve"> (the “Consultation Draft”).</w:t>
      </w:r>
      <w:r w:rsidR="00267A78">
        <w:rPr>
          <w:rStyle w:val="FootnoteReference"/>
          <w:rFonts w:ascii="Times New Roman" w:hAnsi="Times New Roman" w:cs="Times New Roman"/>
          <w:sz w:val="28"/>
          <w:szCs w:val="28"/>
        </w:rPr>
        <w:footnoteReference w:id="2"/>
      </w:r>
      <w:r w:rsidR="00FB29F2">
        <w:rPr>
          <w:rFonts w:ascii="Times New Roman" w:hAnsi="Times New Roman" w:cs="Times New Roman"/>
          <w:sz w:val="28"/>
          <w:szCs w:val="28"/>
        </w:rPr>
        <w:t xml:space="preserve">  </w:t>
      </w:r>
      <w:r w:rsidR="00B039B3">
        <w:rPr>
          <w:rFonts w:ascii="Times New Roman" w:hAnsi="Times New Roman" w:cs="Times New Roman"/>
          <w:sz w:val="28"/>
          <w:szCs w:val="28"/>
        </w:rPr>
        <w:t xml:space="preserve">In their response, the Defendants also seek production of the portions of the </w:t>
      </w:r>
      <w:r w:rsidR="00EF1F9C">
        <w:rPr>
          <w:rFonts w:ascii="Times New Roman" w:hAnsi="Times New Roman" w:cs="Times New Roman"/>
          <w:sz w:val="28"/>
          <w:szCs w:val="28"/>
        </w:rPr>
        <w:t xml:space="preserve">Consultation Draft </w:t>
      </w:r>
      <w:r w:rsidR="009D1D88">
        <w:rPr>
          <w:rFonts w:ascii="Times New Roman" w:hAnsi="Times New Roman" w:cs="Times New Roman"/>
          <w:sz w:val="28"/>
          <w:szCs w:val="28"/>
        </w:rPr>
        <w:t xml:space="preserve">that affect treaty rights to land. </w:t>
      </w:r>
    </w:p>
    <w:p w14:paraId="69451AC6" w14:textId="1B6FE629" w:rsidR="00046640" w:rsidRDefault="00AA522B" w:rsidP="003751A0">
      <w:pPr>
        <w:pStyle w:val="ListParagraph"/>
        <w:numPr>
          <w:ilvl w:val="0"/>
          <w:numId w:val="9"/>
        </w:numPr>
        <w:spacing w:after="240" w:line="240" w:lineRule="auto"/>
        <w:ind w:left="0" w:firstLine="0"/>
        <w:contextualSpacing w:val="0"/>
        <w:jc w:val="both"/>
        <w:rPr>
          <w:rFonts w:ascii="Times New Roman" w:hAnsi="Times New Roman" w:cs="Times New Roman"/>
          <w:sz w:val="28"/>
          <w:szCs w:val="28"/>
        </w:rPr>
      </w:pPr>
      <w:r>
        <w:rPr>
          <w:rFonts w:ascii="Times New Roman" w:hAnsi="Times New Roman" w:cs="Times New Roman"/>
          <w:sz w:val="28"/>
          <w:szCs w:val="28"/>
        </w:rPr>
        <w:t>Canada</w:t>
      </w:r>
      <w:r w:rsidR="00845E08">
        <w:rPr>
          <w:rFonts w:ascii="Times New Roman" w:hAnsi="Times New Roman" w:cs="Times New Roman"/>
          <w:sz w:val="28"/>
          <w:szCs w:val="28"/>
        </w:rPr>
        <w:t xml:space="preserve"> applies to strike the </w:t>
      </w:r>
      <w:r w:rsidR="00F53A65">
        <w:rPr>
          <w:rFonts w:ascii="Times New Roman" w:hAnsi="Times New Roman" w:cs="Times New Roman"/>
          <w:sz w:val="28"/>
          <w:szCs w:val="28"/>
        </w:rPr>
        <w:t>Defendants</w:t>
      </w:r>
      <w:r w:rsidR="009C68A9">
        <w:rPr>
          <w:rFonts w:ascii="Times New Roman" w:hAnsi="Times New Roman" w:cs="Times New Roman"/>
          <w:sz w:val="28"/>
          <w:szCs w:val="28"/>
        </w:rPr>
        <w:t>’</w:t>
      </w:r>
      <w:r w:rsidR="00F53A65">
        <w:rPr>
          <w:rFonts w:ascii="Times New Roman" w:hAnsi="Times New Roman" w:cs="Times New Roman"/>
          <w:sz w:val="28"/>
          <w:szCs w:val="28"/>
        </w:rPr>
        <w:t xml:space="preserve"> reference</w:t>
      </w:r>
      <w:r w:rsidR="00845E08">
        <w:rPr>
          <w:rFonts w:ascii="Times New Roman" w:hAnsi="Times New Roman" w:cs="Times New Roman"/>
          <w:sz w:val="28"/>
          <w:szCs w:val="28"/>
        </w:rPr>
        <w:t xml:space="preserve"> to the </w:t>
      </w:r>
      <w:r w:rsidR="0020469C">
        <w:rPr>
          <w:rFonts w:ascii="Times New Roman" w:hAnsi="Times New Roman" w:cs="Times New Roman"/>
          <w:sz w:val="28"/>
          <w:szCs w:val="28"/>
        </w:rPr>
        <w:t xml:space="preserve">draft </w:t>
      </w:r>
      <w:r w:rsidR="00B37617">
        <w:rPr>
          <w:rFonts w:ascii="Times New Roman" w:hAnsi="Times New Roman" w:cs="Times New Roman"/>
          <w:sz w:val="28"/>
          <w:szCs w:val="28"/>
        </w:rPr>
        <w:t xml:space="preserve">AIP </w:t>
      </w:r>
      <w:r w:rsidR="00FB29F2">
        <w:rPr>
          <w:rFonts w:ascii="Times New Roman" w:hAnsi="Times New Roman" w:cs="Times New Roman"/>
          <w:sz w:val="28"/>
          <w:szCs w:val="28"/>
        </w:rPr>
        <w:t>and the Consultation Draft</w:t>
      </w:r>
      <w:r>
        <w:rPr>
          <w:rFonts w:ascii="Times New Roman" w:hAnsi="Times New Roman" w:cs="Times New Roman"/>
          <w:sz w:val="28"/>
          <w:szCs w:val="28"/>
        </w:rPr>
        <w:t xml:space="preserve"> on the basis of settlement privilege and confidentiality.  </w:t>
      </w:r>
      <w:r w:rsidR="00187CF8">
        <w:rPr>
          <w:rFonts w:ascii="Times New Roman" w:hAnsi="Times New Roman" w:cs="Times New Roman"/>
          <w:sz w:val="28"/>
          <w:szCs w:val="28"/>
        </w:rPr>
        <w:t xml:space="preserve">The Commissioner supports Canada’s motion.  </w:t>
      </w:r>
    </w:p>
    <w:p w14:paraId="03C9712C" w14:textId="164EFBDB" w:rsidR="00560835" w:rsidRDefault="00046640" w:rsidP="003751A0">
      <w:pPr>
        <w:pStyle w:val="ListParagraph"/>
        <w:numPr>
          <w:ilvl w:val="0"/>
          <w:numId w:val="9"/>
        </w:numPr>
        <w:spacing w:after="240" w:line="240" w:lineRule="auto"/>
        <w:ind w:left="0" w:firstLine="0"/>
        <w:contextualSpacing w:val="0"/>
        <w:jc w:val="both"/>
        <w:rPr>
          <w:rFonts w:ascii="Times New Roman" w:hAnsi="Times New Roman" w:cs="Times New Roman"/>
          <w:sz w:val="28"/>
          <w:szCs w:val="28"/>
        </w:rPr>
      </w:pPr>
      <w:r>
        <w:rPr>
          <w:rFonts w:ascii="Times New Roman" w:hAnsi="Times New Roman" w:cs="Times New Roman"/>
          <w:sz w:val="28"/>
          <w:szCs w:val="28"/>
        </w:rPr>
        <w:t xml:space="preserve">Canada and the Commissioner oppose the Defendants’ request for production of those portions of the </w:t>
      </w:r>
      <w:r w:rsidR="000E1264">
        <w:rPr>
          <w:rFonts w:ascii="Times New Roman" w:hAnsi="Times New Roman" w:cs="Times New Roman"/>
          <w:sz w:val="28"/>
          <w:szCs w:val="28"/>
        </w:rPr>
        <w:t xml:space="preserve">Consultation </w:t>
      </w:r>
      <w:r w:rsidR="0020469C">
        <w:rPr>
          <w:rFonts w:ascii="Times New Roman" w:hAnsi="Times New Roman" w:cs="Times New Roman"/>
          <w:sz w:val="28"/>
          <w:szCs w:val="28"/>
        </w:rPr>
        <w:t>Draft which</w:t>
      </w:r>
      <w:r>
        <w:rPr>
          <w:rFonts w:ascii="Times New Roman" w:hAnsi="Times New Roman" w:cs="Times New Roman"/>
          <w:sz w:val="28"/>
          <w:szCs w:val="28"/>
        </w:rPr>
        <w:t xml:space="preserve"> </w:t>
      </w:r>
      <w:r w:rsidR="00D74233">
        <w:rPr>
          <w:rFonts w:ascii="Times New Roman" w:hAnsi="Times New Roman" w:cs="Times New Roman"/>
          <w:sz w:val="28"/>
          <w:szCs w:val="28"/>
        </w:rPr>
        <w:t xml:space="preserve">touch upon treaty rights to land. </w:t>
      </w:r>
      <w:r w:rsidR="00845E08">
        <w:rPr>
          <w:rFonts w:ascii="Times New Roman" w:hAnsi="Times New Roman" w:cs="Times New Roman"/>
          <w:sz w:val="28"/>
          <w:szCs w:val="28"/>
        </w:rPr>
        <w:t xml:space="preserve"> </w:t>
      </w:r>
    </w:p>
    <w:p w14:paraId="56BA74CB" w14:textId="02724042" w:rsidR="00845E08" w:rsidRDefault="00845E08" w:rsidP="003751A0">
      <w:pPr>
        <w:pStyle w:val="ListParagraph"/>
        <w:numPr>
          <w:ilvl w:val="0"/>
          <w:numId w:val="9"/>
        </w:numPr>
        <w:spacing w:after="240" w:line="240" w:lineRule="auto"/>
        <w:ind w:left="0" w:firstLine="0"/>
        <w:contextualSpacing w:val="0"/>
        <w:jc w:val="both"/>
        <w:rPr>
          <w:rFonts w:ascii="Times New Roman" w:hAnsi="Times New Roman" w:cs="Times New Roman"/>
          <w:sz w:val="28"/>
          <w:szCs w:val="28"/>
        </w:rPr>
      </w:pPr>
      <w:r>
        <w:rPr>
          <w:rFonts w:ascii="Times New Roman" w:hAnsi="Times New Roman" w:cs="Times New Roman"/>
          <w:sz w:val="28"/>
          <w:szCs w:val="28"/>
        </w:rPr>
        <w:t>This decision addresses the motion to strike the reference to the</w:t>
      </w:r>
      <w:r w:rsidR="00DA4B53">
        <w:rPr>
          <w:rFonts w:ascii="Times New Roman" w:hAnsi="Times New Roman" w:cs="Times New Roman"/>
          <w:sz w:val="28"/>
          <w:szCs w:val="28"/>
        </w:rPr>
        <w:t xml:space="preserve"> draft</w:t>
      </w:r>
      <w:r>
        <w:rPr>
          <w:rFonts w:ascii="Times New Roman" w:hAnsi="Times New Roman" w:cs="Times New Roman"/>
          <w:sz w:val="28"/>
          <w:szCs w:val="28"/>
        </w:rPr>
        <w:t xml:space="preserve"> AIP</w:t>
      </w:r>
      <w:r w:rsidR="00FB29F2">
        <w:rPr>
          <w:rFonts w:ascii="Times New Roman" w:hAnsi="Times New Roman" w:cs="Times New Roman"/>
          <w:sz w:val="28"/>
          <w:szCs w:val="28"/>
        </w:rPr>
        <w:t xml:space="preserve"> and Consultation Draft</w:t>
      </w:r>
      <w:r>
        <w:rPr>
          <w:rFonts w:ascii="Times New Roman" w:hAnsi="Times New Roman" w:cs="Times New Roman"/>
          <w:sz w:val="28"/>
          <w:szCs w:val="28"/>
        </w:rPr>
        <w:t xml:space="preserve"> and the motion for production of </w:t>
      </w:r>
      <w:r w:rsidR="00E720CC">
        <w:rPr>
          <w:rFonts w:ascii="Times New Roman" w:hAnsi="Times New Roman" w:cs="Times New Roman"/>
          <w:sz w:val="28"/>
          <w:szCs w:val="28"/>
        </w:rPr>
        <w:t>the</w:t>
      </w:r>
      <w:r>
        <w:rPr>
          <w:rFonts w:ascii="Times New Roman" w:hAnsi="Times New Roman" w:cs="Times New Roman"/>
          <w:sz w:val="28"/>
          <w:szCs w:val="28"/>
        </w:rPr>
        <w:t xml:space="preserve"> </w:t>
      </w:r>
      <w:r w:rsidR="0020469C">
        <w:rPr>
          <w:rFonts w:ascii="Times New Roman" w:hAnsi="Times New Roman" w:cs="Times New Roman"/>
          <w:sz w:val="28"/>
          <w:szCs w:val="28"/>
        </w:rPr>
        <w:t>Consultation Draft.</w:t>
      </w:r>
      <w:r>
        <w:rPr>
          <w:rFonts w:ascii="Times New Roman" w:hAnsi="Times New Roman" w:cs="Times New Roman"/>
          <w:sz w:val="28"/>
          <w:szCs w:val="28"/>
        </w:rPr>
        <w:t xml:space="preserve">  The broader Conflict of Interest </w:t>
      </w:r>
      <w:r w:rsidR="00FB29F2">
        <w:rPr>
          <w:rFonts w:ascii="Times New Roman" w:hAnsi="Times New Roman" w:cs="Times New Roman"/>
          <w:sz w:val="28"/>
          <w:szCs w:val="28"/>
        </w:rPr>
        <w:t>Application</w:t>
      </w:r>
      <w:r>
        <w:rPr>
          <w:rFonts w:ascii="Times New Roman" w:hAnsi="Times New Roman" w:cs="Times New Roman"/>
          <w:sz w:val="28"/>
          <w:szCs w:val="28"/>
        </w:rPr>
        <w:t xml:space="preserve"> has not yet been heard.  </w:t>
      </w:r>
    </w:p>
    <w:p w14:paraId="71CB19E1" w14:textId="2F846D8E" w:rsidR="00560835" w:rsidRDefault="00845E08" w:rsidP="003751A0">
      <w:pPr>
        <w:pStyle w:val="ListParagraph"/>
        <w:numPr>
          <w:ilvl w:val="0"/>
          <w:numId w:val="9"/>
        </w:numPr>
        <w:spacing w:after="240" w:line="240" w:lineRule="auto"/>
        <w:ind w:left="0" w:firstLine="0"/>
        <w:contextualSpacing w:val="0"/>
        <w:jc w:val="both"/>
        <w:rPr>
          <w:rFonts w:ascii="Times New Roman" w:hAnsi="Times New Roman" w:cs="Times New Roman"/>
          <w:sz w:val="28"/>
          <w:szCs w:val="28"/>
        </w:rPr>
      </w:pPr>
      <w:r w:rsidRPr="00845E08">
        <w:rPr>
          <w:rFonts w:ascii="Times New Roman" w:hAnsi="Times New Roman" w:cs="Times New Roman"/>
          <w:sz w:val="28"/>
          <w:szCs w:val="28"/>
        </w:rPr>
        <w:t xml:space="preserve">For the reasons that </w:t>
      </w:r>
      <w:r w:rsidR="00E671DF">
        <w:rPr>
          <w:rFonts w:ascii="Times New Roman" w:hAnsi="Times New Roman" w:cs="Times New Roman"/>
          <w:sz w:val="28"/>
          <w:szCs w:val="28"/>
        </w:rPr>
        <w:t xml:space="preserve">follow, I </w:t>
      </w:r>
      <w:r w:rsidR="00E720CC">
        <w:rPr>
          <w:rFonts w:ascii="Times New Roman" w:hAnsi="Times New Roman" w:cs="Times New Roman"/>
          <w:sz w:val="28"/>
          <w:szCs w:val="28"/>
        </w:rPr>
        <w:t xml:space="preserve">grant Canada’s motion to strike and deny the Defendants’ motion for production of </w:t>
      </w:r>
      <w:r w:rsidR="00DC7950">
        <w:rPr>
          <w:rFonts w:ascii="Times New Roman" w:hAnsi="Times New Roman" w:cs="Times New Roman"/>
          <w:sz w:val="28"/>
          <w:szCs w:val="28"/>
        </w:rPr>
        <w:t xml:space="preserve">portions of the Consultation Draft. </w:t>
      </w:r>
    </w:p>
    <w:p w14:paraId="66060DA8" w14:textId="363D6C19" w:rsidR="00F53A65" w:rsidRPr="00F53A65" w:rsidRDefault="00F53A65" w:rsidP="00F53A65">
      <w:pPr>
        <w:pStyle w:val="ListParagraph"/>
        <w:spacing w:after="240" w:line="240" w:lineRule="auto"/>
        <w:ind w:left="0"/>
        <w:contextualSpacing w:val="0"/>
        <w:jc w:val="both"/>
        <w:rPr>
          <w:rFonts w:ascii="Times New Roman" w:hAnsi="Times New Roman" w:cs="Times New Roman"/>
          <w:b/>
          <w:bCs/>
          <w:sz w:val="28"/>
          <w:szCs w:val="28"/>
        </w:rPr>
      </w:pPr>
      <w:r>
        <w:rPr>
          <w:rFonts w:ascii="Times New Roman" w:hAnsi="Times New Roman" w:cs="Times New Roman"/>
          <w:b/>
          <w:bCs/>
          <w:sz w:val="28"/>
          <w:szCs w:val="28"/>
        </w:rPr>
        <w:t>BACKGROUND</w:t>
      </w:r>
    </w:p>
    <w:p w14:paraId="47AF78D7" w14:textId="2A55AA68" w:rsidR="00252D6B" w:rsidRDefault="008F7720" w:rsidP="00491301">
      <w:pPr>
        <w:pStyle w:val="ListParagraph"/>
        <w:numPr>
          <w:ilvl w:val="0"/>
          <w:numId w:val="9"/>
        </w:numPr>
        <w:spacing w:after="240" w:line="240" w:lineRule="auto"/>
        <w:ind w:left="0" w:firstLine="0"/>
        <w:contextualSpacing w:val="0"/>
        <w:jc w:val="both"/>
        <w:rPr>
          <w:rFonts w:ascii="Times New Roman" w:hAnsi="Times New Roman" w:cs="Times New Roman"/>
          <w:sz w:val="28"/>
          <w:szCs w:val="28"/>
        </w:rPr>
      </w:pPr>
      <w:r>
        <w:rPr>
          <w:rFonts w:ascii="Times New Roman" w:hAnsi="Times New Roman" w:cs="Times New Roman"/>
          <w:sz w:val="28"/>
          <w:szCs w:val="28"/>
        </w:rPr>
        <w:t>On April 23, 2010, the Commissioner commenced a trespass action against the Defendants, alleging that they are trespassing on public lands</w:t>
      </w:r>
      <w:r w:rsidR="00F53A65">
        <w:rPr>
          <w:rFonts w:ascii="Times New Roman" w:hAnsi="Times New Roman" w:cs="Times New Roman"/>
          <w:sz w:val="28"/>
          <w:szCs w:val="28"/>
        </w:rPr>
        <w:t xml:space="preserve"> located at </w:t>
      </w:r>
      <w:r w:rsidR="00A95DF7">
        <w:rPr>
          <w:rFonts w:ascii="Times New Roman" w:hAnsi="Times New Roman" w:cs="Times New Roman"/>
          <w:sz w:val="28"/>
          <w:szCs w:val="28"/>
        </w:rPr>
        <w:t>the north side of the Ingr</w:t>
      </w:r>
      <w:r w:rsidR="00595685">
        <w:rPr>
          <w:rFonts w:ascii="Times New Roman" w:hAnsi="Times New Roman" w:cs="Times New Roman"/>
          <w:sz w:val="28"/>
          <w:szCs w:val="28"/>
        </w:rPr>
        <w:t>ah</w:t>
      </w:r>
      <w:r w:rsidR="00A95DF7">
        <w:rPr>
          <w:rFonts w:ascii="Times New Roman" w:hAnsi="Times New Roman" w:cs="Times New Roman"/>
          <w:sz w:val="28"/>
          <w:szCs w:val="28"/>
        </w:rPr>
        <w:t xml:space="preserve">am </w:t>
      </w:r>
      <w:r w:rsidR="00AE1D93">
        <w:rPr>
          <w:rFonts w:ascii="Times New Roman" w:hAnsi="Times New Roman" w:cs="Times New Roman"/>
          <w:sz w:val="28"/>
          <w:szCs w:val="28"/>
        </w:rPr>
        <w:t xml:space="preserve">Trail, located near Yellowknife, Northwest Territories.  </w:t>
      </w:r>
    </w:p>
    <w:p w14:paraId="07377A8A" w14:textId="79D1BD61" w:rsidR="00560835" w:rsidRDefault="008F7720" w:rsidP="00491301">
      <w:pPr>
        <w:pStyle w:val="ListParagraph"/>
        <w:numPr>
          <w:ilvl w:val="0"/>
          <w:numId w:val="9"/>
        </w:numPr>
        <w:spacing w:after="240" w:line="240" w:lineRule="auto"/>
        <w:ind w:left="0" w:firstLine="0"/>
        <w:contextualSpacing w:val="0"/>
        <w:jc w:val="both"/>
        <w:rPr>
          <w:rFonts w:ascii="Times New Roman" w:hAnsi="Times New Roman" w:cs="Times New Roman"/>
          <w:sz w:val="28"/>
          <w:szCs w:val="28"/>
        </w:rPr>
      </w:pPr>
      <w:r>
        <w:rPr>
          <w:rFonts w:ascii="Times New Roman" w:hAnsi="Times New Roman" w:cs="Times New Roman"/>
          <w:sz w:val="28"/>
          <w:szCs w:val="28"/>
        </w:rPr>
        <w:t>On April 4, 2012, the Defendants filed a Statement of Defence and Counterclaim</w:t>
      </w:r>
      <w:r w:rsidR="00F53A65">
        <w:rPr>
          <w:rFonts w:ascii="Times New Roman" w:hAnsi="Times New Roman" w:cs="Times New Roman"/>
          <w:sz w:val="28"/>
          <w:szCs w:val="28"/>
        </w:rPr>
        <w:t xml:space="preserve">, </w:t>
      </w:r>
      <w:r w:rsidR="00595685">
        <w:rPr>
          <w:rFonts w:ascii="Times New Roman" w:hAnsi="Times New Roman" w:cs="Times New Roman"/>
          <w:sz w:val="28"/>
          <w:szCs w:val="28"/>
        </w:rPr>
        <w:t xml:space="preserve">which </w:t>
      </w:r>
      <w:r w:rsidR="00F53A65">
        <w:rPr>
          <w:rFonts w:ascii="Times New Roman" w:hAnsi="Times New Roman" w:cs="Times New Roman"/>
          <w:sz w:val="28"/>
          <w:szCs w:val="28"/>
        </w:rPr>
        <w:t>denied</w:t>
      </w:r>
      <w:r>
        <w:rPr>
          <w:rFonts w:ascii="Times New Roman" w:hAnsi="Times New Roman" w:cs="Times New Roman"/>
          <w:sz w:val="28"/>
          <w:szCs w:val="28"/>
        </w:rPr>
        <w:t xml:space="preserve"> that they are trespassing and asserted that they are entitled to occupy the lands in their traditional territory pursuant to Treaty No. 8.  </w:t>
      </w:r>
      <w:r w:rsidR="00252D6B">
        <w:rPr>
          <w:rFonts w:ascii="Times New Roman" w:hAnsi="Times New Roman" w:cs="Times New Roman"/>
          <w:sz w:val="28"/>
          <w:szCs w:val="28"/>
        </w:rPr>
        <w:t xml:space="preserve">The Defendants are members of the Deninu Kue First Nation (“DKFN”) which is one of the four </w:t>
      </w:r>
      <w:r w:rsidR="002175EB">
        <w:rPr>
          <w:rFonts w:ascii="Times New Roman" w:hAnsi="Times New Roman" w:cs="Times New Roman"/>
          <w:sz w:val="28"/>
          <w:szCs w:val="28"/>
        </w:rPr>
        <w:t xml:space="preserve">First Nations that comprise the </w:t>
      </w:r>
      <w:r w:rsidR="00055520">
        <w:rPr>
          <w:rFonts w:ascii="Times New Roman" w:hAnsi="Times New Roman" w:cs="Times New Roman"/>
          <w:sz w:val="28"/>
          <w:szCs w:val="28"/>
        </w:rPr>
        <w:t>ADFN</w:t>
      </w:r>
      <w:r w:rsidR="002175EB">
        <w:rPr>
          <w:rFonts w:ascii="Times New Roman" w:hAnsi="Times New Roman" w:cs="Times New Roman"/>
          <w:sz w:val="28"/>
          <w:szCs w:val="28"/>
        </w:rPr>
        <w:t xml:space="preserve">.  </w:t>
      </w:r>
      <w:r w:rsidR="00873DA9">
        <w:rPr>
          <w:rFonts w:ascii="Times New Roman" w:hAnsi="Times New Roman" w:cs="Times New Roman"/>
          <w:sz w:val="28"/>
          <w:szCs w:val="28"/>
        </w:rPr>
        <w:t xml:space="preserve">The land in question is located within the Akaitcho Territory.  </w:t>
      </w:r>
    </w:p>
    <w:p w14:paraId="321F9F6C" w14:textId="28CAFC11" w:rsidR="00DD4B04" w:rsidRPr="00727865" w:rsidRDefault="00DD4B04" w:rsidP="00491301">
      <w:pPr>
        <w:pStyle w:val="ListParagraph"/>
        <w:numPr>
          <w:ilvl w:val="0"/>
          <w:numId w:val="9"/>
        </w:numPr>
        <w:spacing w:after="240" w:line="240" w:lineRule="auto"/>
        <w:ind w:left="0" w:firstLine="0"/>
        <w:contextualSpacing w:val="0"/>
        <w:jc w:val="both"/>
        <w:rPr>
          <w:rFonts w:ascii="Times New Roman" w:hAnsi="Times New Roman" w:cs="Times New Roman"/>
          <w:sz w:val="28"/>
          <w:szCs w:val="28"/>
        </w:rPr>
      </w:pPr>
      <w:r w:rsidRPr="00727865">
        <w:rPr>
          <w:rFonts w:ascii="Times New Roman" w:hAnsi="Times New Roman" w:cs="Times New Roman"/>
          <w:sz w:val="28"/>
          <w:szCs w:val="28"/>
        </w:rPr>
        <w:t xml:space="preserve">Treaty </w:t>
      </w:r>
      <w:r w:rsidR="0074006E">
        <w:rPr>
          <w:rFonts w:ascii="Times New Roman" w:hAnsi="Times New Roman" w:cs="Times New Roman"/>
          <w:sz w:val="28"/>
          <w:szCs w:val="28"/>
        </w:rPr>
        <w:t xml:space="preserve">No. </w:t>
      </w:r>
      <w:r w:rsidRPr="00727865">
        <w:rPr>
          <w:rFonts w:ascii="Times New Roman" w:hAnsi="Times New Roman" w:cs="Times New Roman"/>
          <w:sz w:val="28"/>
          <w:szCs w:val="28"/>
        </w:rPr>
        <w:t>8 was signed on 21 June 1899 by the Crown and First Nations of the Lesser Slave Lake area.</w:t>
      </w:r>
      <w:r w:rsidR="00F35848" w:rsidRPr="00727865">
        <w:rPr>
          <w:rFonts w:ascii="Times New Roman" w:hAnsi="Times New Roman" w:cs="Times New Roman"/>
          <w:sz w:val="28"/>
          <w:szCs w:val="28"/>
        </w:rPr>
        <w:t xml:space="preserve">  The Defendant</w:t>
      </w:r>
      <w:r w:rsidR="009D3855" w:rsidRPr="00727865">
        <w:rPr>
          <w:rFonts w:ascii="Times New Roman" w:hAnsi="Times New Roman" w:cs="Times New Roman"/>
          <w:sz w:val="28"/>
          <w:szCs w:val="28"/>
        </w:rPr>
        <w:t>s</w:t>
      </w:r>
      <w:r w:rsidR="00F35848" w:rsidRPr="00727865">
        <w:rPr>
          <w:rFonts w:ascii="Times New Roman" w:hAnsi="Times New Roman" w:cs="Times New Roman"/>
          <w:sz w:val="28"/>
          <w:szCs w:val="28"/>
        </w:rPr>
        <w:t xml:space="preserve"> </w:t>
      </w:r>
      <w:r w:rsidR="00646673">
        <w:rPr>
          <w:rFonts w:ascii="Times New Roman" w:hAnsi="Times New Roman" w:cs="Times New Roman"/>
          <w:sz w:val="28"/>
          <w:szCs w:val="28"/>
        </w:rPr>
        <w:t xml:space="preserve">assert that they are the </w:t>
      </w:r>
      <w:r w:rsidR="00E80C21">
        <w:rPr>
          <w:rFonts w:ascii="Times New Roman" w:hAnsi="Times New Roman" w:cs="Times New Roman"/>
          <w:sz w:val="28"/>
          <w:szCs w:val="28"/>
        </w:rPr>
        <w:t xml:space="preserve">descendants of </w:t>
      </w:r>
      <w:r w:rsidR="003046D6">
        <w:rPr>
          <w:rFonts w:ascii="Times New Roman" w:hAnsi="Times New Roman" w:cs="Times New Roman"/>
          <w:sz w:val="28"/>
          <w:szCs w:val="28"/>
        </w:rPr>
        <w:t xml:space="preserve">the signatories.  </w:t>
      </w:r>
      <w:r w:rsidR="00D43681">
        <w:rPr>
          <w:rFonts w:ascii="Times New Roman" w:hAnsi="Times New Roman" w:cs="Times New Roman"/>
          <w:sz w:val="28"/>
          <w:szCs w:val="28"/>
        </w:rPr>
        <w:t xml:space="preserve">Treaty No.8 </w:t>
      </w:r>
      <w:r w:rsidR="001978D5">
        <w:rPr>
          <w:rFonts w:ascii="Times New Roman" w:hAnsi="Times New Roman" w:cs="Times New Roman"/>
          <w:sz w:val="28"/>
          <w:szCs w:val="28"/>
        </w:rPr>
        <w:t>included a right</w:t>
      </w:r>
      <w:r w:rsidR="00416F25" w:rsidRPr="00727865">
        <w:rPr>
          <w:rFonts w:ascii="Times New Roman" w:hAnsi="Times New Roman" w:cs="Times New Roman"/>
          <w:sz w:val="28"/>
          <w:szCs w:val="28"/>
        </w:rPr>
        <w:t>, as an alternative to th</w:t>
      </w:r>
      <w:r w:rsidR="00CA39FE">
        <w:rPr>
          <w:rFonts w:ascii="Times New Roman" w:hAnsi="Times New Roman" w:cs="Times New Roman"/>
          <w:sz w:val="28"/>
          <w:szCs w:val="28"/>
        </w:rPr>
        <w:t xml:space="preserve">ose who chose </w:t>
      </w:r>
      <w:r w:rsidR="00CA39FE">
        <w:rPr>
          <w:rFonts w:ascii="Times New Roman" w:hAnsi="Times New Roman" w:cs="Times New Roman"/>
          <w:sz w:val="28"/>
          <w:szCs w:val="28"/>
        </w:rPr>
        <w:lastRenderedPageBreak/>
        <w:t>not to reside on reserve</w:t>
      </w:r>
      <w:r w:rsidR="00DF1432">
        <w:rPr>
          <w:rFonts w:ascii="Times New Roman" w:hAnsi="Times New Roman" w:cs="Times New Roman"/>
          <w:sz w:val="28"/>
          <w:szCs w:val="28"/>
        </w:rPr>
        <w:t>,</w:t>
      </w:r>
      <w:r w:rsidR="00CA39FE">
        <w:rPr>
          <w:rFonts w:ascii="Times New Roman" w:hAnsi="Times New Roman" w:cs="Times New Roman"/>
          <w:sz w:val="28"/>
          <w:szCs w:val="28"/>
        </w:rPr>
        <w:t xml:space="preserve"> </w:t>
      </w:r>
      <w:r w:rsidR="00B36B29" w:rsidRPr="00727865">
        <w:rPr>
          <w:rFonts w:ascii="Times New Roman" w:hAnsi="Times New Roman" w:cs="Times New Roman"/>
          <w:sz w:val="28"/>
          <w:szCs w:val="28"/>
        </w:rPr>
        <w:t>to select</w:t>
      </w:r>
      <w:r w:rsidR="009B46DF" w:rsidRPr="00727865">
        <w:rPr>
          <w:rFonts w:ascii="Times New Roman" w:hAnsi="Times New Roman" w:cs="Times New Roman"/>
          <w:sz w:val="28"/>
          <w:szCs w:val="28"/>
        </w:rPr>
        <w:t xml:space="preserve"> </w:t>
      </w:r>
      <w:r w:rsidR="00EF33CC" w:rsidRPr="00727865">
        <w:rPr>
          <w:rFonts w:ascii="Times New Roman" w:hAnsi="Times New Roman" w:cs="Times New Roman"/>
          <w:sz w:val="28"/>
          <w:szCs w:val="28"/>
        </w:rPr>
        <w:t xml:space="preserve">160 acres of </w:t>
      </w:r>
      <w:r w:rsidR="009B46DF" w:rsidRPr="00727865">
        <w:rPr>
          <w:rFonts w:ascii="Times New Roman" w:hAnsi="Times New Roman" w:cs="Times New Roman"/>
          <w:sz w:val="28"/>
          <w:szCs w:val="28"/>
        </w:rPr>
        <w:t>land in severalty (separately)</w:t>
      </w:r>
      <w:r w:rsidR="005C15A9">
        <w:rPr>
          <w:rFonts w:ascii="Times New Roman" w:hAnsi="Times New Roman" w:cs="Times New Roman"/>
          <w:sz w:val="28"/>
          <w:szCs w:val="28"/>
        </w:rPr>
        <w:t xml:space="preserve">: </w:t>
      </w:r>
      <w:r w:rsidR="00CA5B02">
        <w:rPr>
          <w:rFonts w:ascii="Times New Roman" w:hAnsi="Times New Roman" w:cs="Times New Roman"/>
          <w:sz w:val="28"/>
          <w:szCs w:val="28"/>
        </w:rPr>
        <w:t>for a discussion</w:t>
      </w:r>
      <w:r w:rsidR="006135E4">
        <w:rPr>
          <w:rFonts w:ascii="Times New Roman" w:hAnsi="Times New Roman" w:cs="Times New Roman"/>
          <w:sz w:val="28"/>
          <w:szCs w:val="28"/>
        </w:rPr>
        <w:t xml:space="preserve"> on the meaning of the word “severalty</w:t>
      </w:r>
      <w:r w:rsidR="00826DEC">
        <w:rPr>
          <w:rFonts w:ascii="Times New Roman" w:hAnsi="Times New Roman" w:cs="Times New Roman"/>
          <w:sz w:val="28"/>
          <w:szCs w:val="28"/>
        </w:rPr>
        <w:t>,” see</w:t>
      </w:r>
      <w:r w:rsidR="005C15A9">
        <w:rPr>
          <w:rFonts w:ascii="Times New Roman" w:hAnsi="Times New Roman" w:cs="Times New Roman"/>
          <w:sz w:val="28"/>
          <w:szCs w:val="28"/>
        </w:rPr>
        <w:t xml:space="preserve"> </w:t>
      </w:r>
      <w:r w:rsidR="005C15A9" w:rsidRPr="00291531">
        <w:rPr>
          <w:rFonts w:ascii="Times New Roman" w:hAnsi="Times New Roman" w:cs="Times New Roman"/>
          <w:i/>
          <w:iCs/>
          <w:sz w:val="28"/>
          <w:szCs w:val="28"/>
        </w:rPr>
        <w:t>Chingee v Canada (Attorney General)</w:t>
      </w:r>
      <w:r w:rsidR="005C15A9" w:rsidRPr="005C15A9">
        <w:rPr>
          <w:rFonts w:ascii="Times New Roman" w:hAnsi="Times New Roman" w:cs="Times New Roman"/>
          <w:sz w:val="28"/>
          <w:szCs w:val="28"/>
        </w:rPr>
        <w:t>, 2005 BCCA 446 at paras 17-23</w:t>
      </w:r>
      <w:r w:rsidR="00524C4C">
        <w:rPr>
          <w:rFonts w:ascii="Times New Roman" w:hAnsi="Times New Roman" w:cs="Times New Roman"/>
          <w:sz w:val="28"/>
          <w:szCs w:val="28"/>
        </w:rPr>
        <w:t>.</w:t>
      </w:r>
      <w:r w:rsidR="009D3855" w:rsidRPr="00727865">
        <w:rPr>
          <w:rFonts w:ascii="Times New Roman" w:hAnsi="Times New Roman" w:cs="Times New Roman"/>
          <w:sz w:val="28"/>
          <w:szCs w:val="28"/>
        </w:rPr>
        <w:t xml:space="preserve"> </w:t>
      </w:r>
      <w:r w:rsidR="00EF33CC" w:rsidRPr="00727865">
        <w:rPr>
          <w:rFonts w:ascii="Times New Roman" w:hAnsi="Times New Roman" w:cs="Times New Roman"/>
          <w:sz w:val="28"/>
          <w:szCs w:val="28"/>
        </w:rPr>
        <w:t xml:space="preserve"> </w:t>
      </w:r>
      <w:r w:rsidR="009D3855" w:rsidRPr="00727865">
        <w:rPr>
          <w:rFonts w:ascii="Times New Roman" w:hAnsi="Times New Roman" w:cs="Times New Roman"/>
          <w:sz w:val="28"/>
          <w:szCs w:val="28"/>
        </w:rPr>
        <w:t xml:space="preserve">The Defendants allege that Canada has </w:t>
      </w:r>
      <w:r w:rsidR="00727865" w:rsidRPr="00727865">
        <w:rPr>
          <w:rFonts w:ascii="Times New Roman" w:hAnsi="Times New Roman" w:cs="Times New Roman"/>
          <w:sz w:val="28"/>
          <w:szCs w:val="28"/>
        </w:rPr>
        <w:t xml:space="preserve">not fulfilled this existing treaty right. </w:t>
      </w:r>
    </w:p>
    <w:p w14:paraId="1A5BEFD1" w14:textId="59FBF62A" w:rsidR="00F7699D" w:rsidRDefault="008F7720" w:rsidP="00491301">
      <w:pPr>
        <w:pStyle w:val="ListParagraph"/>
        <w:numPr>
          <w:ilvl w:val="0"/>
          <w:numId w:val="9"/>
        </w:numPr>
        <w:spacing w:after="240" w:line="240" w:lineRule="auto"/>
        <w:ind w:left="0" w:firstLine="0"/>
        <w:contextualSpacing w:val="0"/>
        <w:jc w:val="both"/>
        <w:rPr>
          <w:rFonts w:ascii="Times New Roman" w:hAnsi="Times New Roman" w:cs="Times New Roman"/>
          <w:sz w:val="28"/>
          <w:szCs w:val="28"/>
        </w:rPr>
      </w:pPr>
      <w:r w:rsidRPr="00F7699D">
        <w:rPr>
          <w:rFonts w:ascii="Times New Roman" w:hAnsi="Times New Roman" w:cs="Times New Roman"/>
          <w:sz w:val="28"/>
          <w:szCs w:val="28"/>
        </w:rPr>
        <w:t xml:space="preserve">On January 27, 2023, the Defendants filed an Amended Statement of Defence and Amended Counterclaim seeking </w:t>
      </w:r>
      <w:r w:rsidR="00E57BB2" w:rsidRPr="00F7699D">
        <w:rPr>
          <w:rFonts w:ascii="Times New Roman" w:hAnsi="Times New Roman" w:cs="Times New Roman"/>
          <w:sz w:val="28"/>
          <w:szCs w:val="28"/>
        </w:rPr>
        <w:t xml:space="preserve">to convert the action into a proposed class action brought on behalf of the </w:t>
      </w:r>
      <w:r w:rsidR="0015734F" w:rsidRPr="00F7699D">
        <w:rPr>
          <w:rFonts w:ascii="Times New Roman" w:hAnsi="Times New Roman" w:cs="Times New Roman"/>
          <w:sz w:val="28"/>
          <w:szCs w:val="28"/>
        </w:rPr>
        <w:t>Defendants and</w:t>
      </w:r>
      <w:r w:rsidR="00F209FB" w:rsidRPr="00F7699D">
        <w:rPr>
          <w:rFonts w:ascii="Times New Roman" w:hAnsi="Times New Roman" w:cs="Times New Roman"/>
          <w:sz w:val="28"/>
          <w:szCs w:val="28"/>
        </w:rPr>
        <w:t xml:space="preserve"> other members of Indian Bands whose ancestors signed Treaty No. 8. </w:t>
      </w:r>
      <w:r w:rsidR="00593FD2" w:rsidRPr="00F7699D">
        <w:rPr>
          <w:rFonts w:ascii="Times New Roman" w:hAnsi="Times New Roman" w:cs="Times New Roman"/>
          <w:sz w:val="28"/>
          <w:szCs w:val="28"/>
        </w:rPr>
        <w:t xml:space="preserve"> </w:t>
      </w:r>
      <w:r w:rsidR="00F86012" w:rsidRPr="00F7699D">
        <w:rPr>
          <w:rFonts w:ascii="Times New Roman" w:hAnsi="Times New Roman" w:cs="Times New Roman"/>
          <w:sz w:val="28"/>
          <w:szCs w:val="28"/>
        </w:rPr>
        <w:t xml:space="preserve">The Defendants sought to be the proposed representative plaintiffs for the class.  </w:t>
      </w:r>
    </w:p>
    <w:p w14:paraId="20C919B6" w14:textId="41862730" w:rsidR="004152F9" w:rsidRDefault="00C112C7" w:rsidP="00491301">
      <w:pPr>
        <w:pStyle w:val="ListParagraph"/>
        <w:numPr>
          <w:ilvl w:val="0"/>
          <w:numId w:val="9"/>
        </w:numPr>
        <w:spacing w:after="240" w:line="240" w:lineRule="auto"/>
        <w:ind w:left="0" w:firstLine="0"/>
        <w:contextualSpacing w:val="0"/>
        <w:jc w:val="both"/>
        <w:rPr>
          <w:rFonts w:ascii="Times New Roman" w:hAnsi="Times New Roman" w:cs="Times New Roman"/>
          <w:sz w:val="28"/>
          <w:szCs w:val="28"/>
        </w:rPr>
      </w:pPr>
      <w:r>
        <w:rPr>
          <w:rFonts w:ascii="Times New Roman" w:hAnsi="Times New Roman" w:cs="Times New Roman"/>
          <w:sz w:val="28"/>
          <w:szCs w:val="28"/>
        </w:rPr>
        <w:t xml:space="preserve">In the context of the proposed class action, the Defendants continue to seek relief in </w:t>
      </w:r>
      <w:r w:rsidR="004152F9">
        <w:rPr>
          <w:rFonts w:ascii="Times New Roman" w:hAnsi="Times New Roman" w:cs="Times New Roman"/>
          <w:sz w:val="28"/>
          <w:szCs w:val="28"/>
        </w:rPr>
        <w:t xml:space="preserve">relation to the lands they currently </w:t>
      </w:r>
      <w:r w:rsidR="00A01250">
        <w:rPr>
          <w:rFonts w:ascii="Times New Roman" w:hAnsi="Times New Roman" w:cs="Times New Roman"/>
          <w:sz w:val="28"/>
          <w:szCs w:val="28"/>
        </w:rPr>
        <w:t>possess</w:t>
      </w:r>
      <w:r w:rsidR="004152F9">
        <w:rPr>
          <w:rFonts w:ascii="Times New Roman" w:hAnsi="Times New Roman" w:cs="Times New Roman"/>
          <w:sz w:val="28"/>
          <w:szCs w:val="28"/>
        </w:rPr>
        <w:t xml:space="preserve">; namely, an order granting them permanent possession of the lands. </w:t>
      </w:r>
    </w:p>
    <w:p w14:paraId="796EB0D1" w14:textId="46A38FF9" w:rsidR="00F86012" w:rsidRPr="00F7699D" w:rsidRDefault="00F86012" w:rsidP="00491301">
      <w:pPr>
        <w:pStyle w:val="ListParagraph"/>
        <w:numPr>
          <w:ilvl w:val="0"/>
          <w:numId w:val="9"/>
        </w:numPr>
        <w:spacing w:after="240" w:line="240" w:lineRule="auto"/>
        <w:ind w:left="0" w:firstLine="0"/>
        <w:contextualSpacing w:val="0"/>
        <w:jc w:val="both"/>
        <w:rPr>
          <w:rFonts w:ascii="Times New Roman" w:hAnsi="Times New Roman" w:cs="Times New Roman"/>
          <w:sz w:val="28"/>
          <w:szCs w:val="28"/>
        </w:rPr>
      </w:pPr>
      <w:r w:rsidRPr="00F7699D">
        <w:rPr>
          <w:rFonts w:ascii="Times New Roman" w:hAnsi="Times New Roman" w:cs="Times New Roman"/>
          <w:sz w:val="28"/>
          <w:szCs w:val="28"/>
        </w:rPr>
        <w:t xml:space="preserve">The Commissioner filed a </w:t>
      </w:r>
      <w:r w:rsidR="0082437E" w:rsidRPr="00F7699D">
        <w:rPr>
          <w:rFonts w:ascii="Times New Roman" w:hAnsi="Times New Roman" w:cs="Times New Roman"/>
          <w:sz w:val="28"/>
          <w:szCs w:val="28"/>
        </w:rPr>
        <w:t>Conflict</w:t>
      </w:r>
      <w:r w:rsidR="00291531">
        <w:rPr>
          <w:rFonts w:ascii="Times New Roman" w:hAnsi="Times New Roman" w:cs="Times New Roman"/>
          <w:sz w:val="28"/>
          <w:szCs w:val="28"/>
        </w:rPr>
        <w:t xml:space="preserve"> </w:t>
      </w:r>
      <w:r w:rsidR="0082437E" w:rsidRPr="00F7699D">
        <w:rPr>
          <w:rFonts w:ascii="Times New Roman" w:hAnsi="Times New Roman" w:cs="Times New Roman"/>
          <w:sz w:val="28"/>
          <w:szCs w:val="28"/>
        </w:rPr>
        <w:t>of</w:t>
      </w:r>
      <w:r w:rsidR="005C15A9">
        <w:rPr>
          <w:rFonts w:ascii="Times New Roman" w:hAnsi="Times New Roman" w:cs="Times New Roman"/>
          <w:sz w:val="28"/>
          <w:szCs w:val="28"/>
        </w:rPr>
        <w:t xml:space="preserve"> </w:t>
      </w:r>
      <w:r w:rsidR="0082437E" w:rsidRPr="00F7699D">
        <w:rPr>
          <w:rFonts w:ascii="Times New Roman" w:hAnsi="Times New Roman" w:cs="Times New Roman"/>
          <w:sz w:val="28"/>
          <w:szCs w:val="28"/>
        </w:rPr>
        <w:t>Interest</w:t>
      </w:r>
      <w:r w:rsidRPr="00F7699D">
        <w:rPr>
          <w:rFonts w:ascii="Times New Roman" w:hAnsi="Times New Roman" w:cs="Times New Roman"/>
          <w:sz w:val="28"/>
          <w:szCs w:val="28"/>
        </w:rPr>
        <w:t xml:space="preserve"> </w:t>
      </w:r>
      <w:r w:rsidR="00F53A65" w:rsidRPr="00F7699D">
        <w:rPr>
          <w:rFonts w:ascii="Times New Roman" w:hAnsi="Times New Roman" w:cs="Times New Roman"/>
          <w:sz w:val="28"/>
          <w:szCs w:val="28"/>
        </w:rPr>
        <w:t>Application</w:t>
      </w:r>
      <w:r w:rsidRPr="00F7699D">
        <w:rPr>
          <w:rFonts w:ascii="Times New Roman" w:hAnsi="Times New Roman" w:cs="Times New Roman"/>
          <w:sz w:val="28"/>
          <w:szCs w:val="28"/>
        </w:rPr>
        <w:t xml:space="preserve"> on December 14, 2023, seeking a declaration that Rath &amp; Company are in a conflict of interest in purporting to represent both the Defendants as well as the proposed class.  The Commissioner asserts that</w:t>
      </w:r>
      <w:r w:rsidR="00A01250">
        <w:rPr>
          <w:rFonts w:ascii="Times New Roman" w:hAnsi="Times New Roman" w:cs="Times New Roman"/>
          <w:sz w:val="28"/>
          <w:szCs w:val="28"/>
        </w:rPr>
        <w:t xml:space="preserve"> Rath &amp; Company cannot represent the individual interests of the </w:t>
      </w:r>
      <w:r w:rsidR="005F3948">
        <w:rPr>
          <w:rFonts w:ascii="Times New Roman" w:hAnsi="Times New Roman" w:cs="Times New Roman"/>
          <w:sz w:val="28"/>
          <w:szCs w:val="28"/>
        </w:rPr>
        <w:t>Defendants as</w:t>
      </w:r>
      <w:r w:rsidR="00A01250">
        <w:rPr>
          <w:rFonts w:ascii="Times New Roman" w:hAnsi="Times New Roman" w:cs="Times New Roman"/>
          <w:sz w:val="28"/>
          <w:szCs w:val="28"/>
        </w:rPr>
        <w:t xml:space="preserve"> well as the </w:t>
      </w:r>
      <w:r w:rsidR="00E93B0F">
        <w:rPr>
          <w:rFonts w:ascii="Times New Roman" w:hAnsi="Times New Roman" w:cs="Times New Roman"/>
          <w:sz w:val="28"/>
          <w:szCs w:val="28"/>
        </w:rPr>
        <w:t>collective interests of the members in the proposed class</w:t>
      </w:r>
    </w:p>
    <w:p w14:paraId="506A730C" w14:textId="31DDA555" w:rsidR="00F86012" w:rsidRDefault="00F86012" w:rsidP="00491301">
      <w:pPr>
        <w:pStyle w:val="ListParagraph"/>
        <w:numPr>
          <w:ilvl w:val="0"/>
          <w:numId w:val="9"/>
        </w:numPr>
        <w:spacing w:after="240" w:line="240" w:lineRule="auto"/>
        <w:ind w:left="0" w:firstLine="0"/>
        <w:contextualSpacing w:val="0"/>
        <w:jc w:val="both"/>
        <w:rPr>
          <w:rFonts w:ascii="Times New Roman" w:hAnsi="Times New Roman" w:cs="Times New Roman"/>
          <w:sz w:val="28"/>
          <w:szCs w:val="28"/>
        </w:rPr>
      </w:pPr>
      <w:r>
        <w:rPr>
          <w:rFonts w:ascii="Times New Roman" w:hAnsi="Times New Roman" w:cs="Times New Roman"/>
          <w:sz w:val="28"/>
          <w:szCs w:val="28"/>
        </w:rPr>
        <w:t xml:space="preserve">In response to the </w:t>
      </w:r>
      <w:r w:rsidR="0018476C">
        <w:rPr>
          <w:rFonts w:ascii="Times New Roman" w:hAnsi="Times New Roman" w:cs="Times New Roman"/>
          <w:sz w:val="28"/>
          <w:szCs w:val="28"/>
        </w:rPr>
        <w:t>Conflict of Interest</w:t>
      </w:r>
      <w:r>
        <w:rPr>
          <w:rFonts w:ascii="Times New Roman" w:hAnsi="Times New Roman" w:cs="Times New Roman"/>
          <w:sz w:val="28"/>
          <w:szCs w:val="28"/>
        </w:rPr>
        <w:t xml:space="preserve"> </w:t>
      </w:r>
      <w:r w:rsidR="00F53A65">
        <w:rPr>
          <w:rFonts w:ascii="Times New Roman" w:hAnsi="Times New Roman" w:cs="Times New Roman"/>
          <w:sz w:val="28"/>
          <w:szCs w:val="28"/>
        </w:rPr>
        <w:t xml:space="preserve">Application, </w:t>
      </w:r>
      <w:r>
        <w:rPr>
          <w:rFonts w:ascii="Times New Roman" w:hAnsi="Times New Roman" w:cs="Times New Roman"/>
          <w:sz w:val="28"/>
          <w:szCs w:val="28"/>
        </w:rPr>
        <w:t xml:space="preserve">the Defendants filed a Response to Conflict of Interest Motion (“the Conflict of Interest Response”).  The Conflict of Interest Response includes </w:t>
      </w:r>
      <w:r w:rsidR="009E465B">
        <w:rPr>
          <w:rFonts w:ascii="Times New Roman" w:hAnsi="Times New Roman" w:cs="Times New Roman"/>
          <w:sz w:val="28"/>
          <w:szCs w:val="28"/>
        </w:rPr>
        <w:t xml:space="preserve">a </w:t>
      </w:r>
      <w:r>
        <w:rPr>
          <w:rFonts w:ascii="Times New Roman" w:hAnsi="Times New Roman" w:cs="Times New Roman"/>
          <w:sz w:val="28"/>
          <w:szCs w:val="28"/>
        </w:rPr>
        <w:t>reference</w:t>
      </w:r>
      <w:r w:rsidR="009E465B">
        <w:rPr>
          <w:rFonts w:ascii="Times New Roman" w:hAnsi="Times New Roman" w:cs="Times New Roman"/>
          <w:sz w:val="28"/>
          <w:szCs w:val="28"/>
        </w:rPr>
        <w:t xml:space="preserve"> </w:t>
      </w:r>
      <w:r>
        <w:rPr>
          <w:rFonts w:ascii="Times New Roman" w:hAnsi="Times New Roman" w:cs="Times New Roman"/>
          <w:sz w:val="28"/>
          <w:szCs w:val="28"/>
        </w:rPr>
        <w:t xml:space="preserve">to </w:t>
      </w:r>
      <w:r w:rsidR="003F7C12">
        <w:rPr>
          <w:rFonts w:ascii="Times New Roman" w:hAnsi="Times New Roman" w:cs="Times New Roman"/>
          <w:sz w:val="28"/>
          <w:szCs w:val="28"/>
        </w:rPr>
        <w:t>the draft</w:t>
      </w:r>
      <w:r w:rsidR="00D06D84">
        <w:rPr>
          <w:rFonts w:ascii="Times New Roman" w:hAnsi="Times New Roman" w:cs="Times New Roman"/>
          <w:sz w:val="28"/>
          <w:szCs w:val="28"/>
        </w:rPr>
        <w:t xml:space="preserve"> </w:t>
      </w:r>
      <w:r w:rsidR="007E3388">
        <w:rPr>
          <w:rFonts w:ascii="Times New Roman" w:hAnsi="Times New Roman" w:cs="Times New Roman"/>
          <w:sz w:val="28"/>
          <w:szCs w:val="28"/>
        </w:rPr>
        <w:t>AIP</w:t>
      </w:r>
      <w:r w:rsidR="009E465B">
        <w:rPr>
          <w:rFonts w:ascii="Times New Roman" w:hAnsi="Times New Roman" w:cs="Times New Roman"/>
          <w:sz w:val="28"/>
          <w:szCs w:val="28"/>
        </w:rPr>
        <w:t xml:space="preserve">, and indicates that the Defendants intend </w:t>
      </w:r>
      <w:r w:rsidR="00FB10C6">
        <w:rPr>
          <w:rFonts w:ascii="Times New Roman" w:hAnsi="Times New Roman" w:cs="Times New Roman"/>
          <w:sz w:val="28"/>
          <w:szCs w:val="28"/>
        </w:rPr>
        <w:t>to</w:t>
      </w:r>
      <w:r w:rsidR="009E465B">
        <w:rPr>
          <w:rFonts w:ascii="Times New Roman" w:hAnsi="Times New Roman" w:cs="Times New Roman"/>
          <w:sz w:val="28"/>
          <w:szCs w:val="28"/>
        </w:rPr>
        <w:t xml:space="preserve"> rely </w:t>
      </w:r>
      <w:r w:rsidR="00FB10C6">
        <w:rPr>
          <w:rFonts w:ascii="Times New Roman" w:hAnsi="Times New Roman" w:cs="Times New Roman"/>
          <w:sz w:val="28"/>
          <w:szCs w:val="28"/>
        </w:rPr>
        <w:t>up</w:t>
      </w:r>
      <w:r w:rsidR="009E465B">
        <w:rPr>
          <w:rFonts w:ascii="Times New Roman" w:hAnsi="Times New Roman" w:cs="Times New Roman"/>
          <w:sz w:val="28"/>
          <w:szCs w:val="28"/>
        </w:rPr>
        <w:t xml:space="preserve">on the Consultation Draft in responding to the Conflict of Interest </w:t>
      </w:r>
      <w:r w:rsidR="002A72B8">
        <w:rPr>
          <w:rFonts w:ascii="Times New Roman" w:hAnsi="Times New Roman" w:cs="Times New Roman"/>
          <w:sz w:val="28"/>
          <w:szCs w:val="28"/>
        </w:rPr>
        <w:t>Application</w:t>
      </w:r>
      <w:r w:rsidR="009E465B">
        <w:rPr>
          <w:rFonts w:ascii="Times New Roman" w:hAnsi="Times New Roman" w:cs="Times New Roman"/>
          <w:sz w:val="28"/>
          <w:szCs w:val="28"/>
        </w:rPr>
        <w:t xml:space="preserve">.  The Defendants </w:t>
      </w:r>
      <w:r w:rsidR="0001662A">
        <w:rPr>
          <w:rFonts w:ascii="Times New Roman" w:hAnsi="Times New Roman" w:cs="Times New Roman"/>
          <w:sz w:val="28"/>
          <w:szCs w:val="28"/>
        </w:rPr>
        <w:t xml:space="preserve">seeks production of the </w:t>
      </w:r>
      <w:r w:rsidR="009E465B">
        <w:rPr>
          <w:rFonts w:ascii="Times New Roman" w:hAnsi="Times New Roman" w:cs="Times New Roman"/>
          <w:sz w:val="28"/>
          <w:szCs w:val="28"/>
        </w:rPr>
        <w:t xml:space="preserve">provisions of the </w:t>
      </w:r>
      <w:r w:rsidR="005F3948">
        <w:rPr>
          <w:rFonts w:ascii="Times New Roman" w:hAnsi="Times New Roman" w:cs="Times New Roman"/>
          <w:sz w:val="28"/>
          <w:szCs w:val="28"/>
        </w:rPr>
        <w:t xml:space="preserve">Consultation </w:t>
      </w:r>
      <w:r w:rsidR="00291531">
        <w:rPr>
          <w:rFonts w:ascii="Times New Roman" w:hAnsi="Times New Roman" w:cs="Times New Roman"/>
          <w:sz w:val="28"/>
          <w:szCs w:val="28"/>
        </w:rPr>
        <w:t>Draft that</w:t>
      </w:r>
      <w:r w:rsidR="009E465B">
        <w:rPr>
          <w:rFonts w:ascii="Times New Roman" w:hAnsi="Times New Roman" w:cs="Times New Roman"/>
          <w:sz w:val="28"/>
          <w:szCs w:val="28"/>
        </w:rPr>
        <w:t xml:space="preserve"> </w:t>
      </w:r>
      <w:r w:rsidR="00EA0484">
        <w:rPr>
          <w:rFonts w:ascii="Times New Roman" w:hAnsi="Times New Roman" w:cs="Times New Roman"/>
          <w:sz w:val="28"/>
          <w:szCs w:val="28"/>
        </w:rPr>
        <w:t xml:space="preserve">have the potential to affect the treaty rights to land. </w:t>
      </w:r>
      <w:r w:rsidR="004850AC">
        <w:rPr>
          <w:rFonts w:ascii="Times New Roman" w:hAnsi="Times New Roman" w:cs="Times New Roman"/>
          <w:sz w:val="28"/>
          <w:szCs w:val="28"/>
        </w:rPr>
        <w:t xml:space="preserve"> </w:t>
      </w:r>
    </w:p>
    <w:p w14:paraId="7626F972" w14:textId="6C29B468" w:rsidR="0001662A" w:rsidRDefault="0001662A" w:rsidP="00936A90">
      <w:pPr>
        <w:pStyle w:val="ListParagraph"/>
        <w:numPr>
          <w:ilvl w:val="0"/>
          <w:numId w:val="9"/>
        </w:numPr>
        <w:spacing w:after="240" w:line="240" w:lineRule="auto"/>
        <w:ind w:left="0" w:firstLine="0"/>
        <w:contextualSpacing w:val="0"/>
        <w:jc w:val="both"/>
        <w:rPr>
          <w:rFonts w:ascii="Times New Roman" w:hAnsi="Times New Roman" w:cs="Times New Roman"/>
          <w:sz w:val="28"/>
          <w:szCs w:val="28"/>
        </w:rPr>
      </w:pPr>
      <w:r>
        <w:rPr>
          <w:rFonts w:ascii="Times New Roman" w:hAnsi="Times New Roman" w:cs="Times New Roman"/>
          <w:sz w:val="28"/>
          <w:szCs w:val="28"/>
        </w:rPr>
        <w:t xml:space="preserve">Canada, joined by the Commissioner, objects to the reference to the </w:t>
      </w:r>
      <w:r w:rsidR="005F3948">
        <w:rPr>
          <w:rFonts w:ascii="Times New Roman" w:hAnsi="Times New Roman" w:cs="Times New Roman"/>
          <w:sz w:val="28"/>
          <w:szCs w:val="28"/>
        </w:rPr>
        <w:t xml:space="preserve">draft </w:t>
      </w:r>
      <w:r w:rsidR="00982138">
        <w:rPr>
          <w:rFonts w:ascii="Times New Roman" w:hAnsi="Times New Roman" w:cs="Times New Roman"/>
          <w:sz w:val="28"/>
          <w:szCs w:val="28"/>
        </w:rPr>
        <w:t>AIP</w:t>
      </w:r>
      <w:r w:rsidR="00046580">
        <w:rPr>
          <w:rFonts w:ascii="Times New Roman" w:hAnsi="Times New Roman" w:cs="Times New Roman"/>
          <w:sz w:val="28"/>
          <w:szCs w:val="28"/>
        </w:rPr>
        <w:t xml:space="preserve"> and</w:t>
      </w:r>
      <w:r>
        <w:rPr>
          <w:rFonts w:ascii="Times New Roman" w:hAnsi="Times New Roman" w:cs="Times New Roman"/>
          <w:sz w:val="28"/>
          <w:szCs w:val="28"/>
        </w:rPr>
        <w:t xml:space="preserve"> the production of the Consultation </w:t>
      </w:r>
      <w:r w:rsidR="00396C73">
        <w:rPr>
          <w:rFonts w:ascii="Times New Roman" w:hAnsi="Times New Roman" w:cs="Times New Roman"/>
          <w:sz w:val="28"/>
          <w:szCs w:val="28"/>
        </w:rPr>
        <w:t>D</w:t>
      </w:r>
      <w:r>
        <w:rPr>
          <w:rFonts w:ascii="Times New Roman" w:hAnsi="Times New Roman" w:cs="Times New Roman"/>
          <w:sz w:val="28"/>
          <w:szCs w:val="28"/>
        </w:rPr>
        <w:t xml:space="preserve">raft based on the assertion that </w:t>
      </w:r>
      <w:r w:rsidR="000B4ED7">
        <w:rPr>
          <w:rFonts w:ascii="Times New Roman" w:hAnsi="Times New Roman" w:cs="Times New Roman"/>
          <w:sz w:val="28"/>
          <w:szCs w:val="28"/>
        </w:rPr>
        <w:t>that</w:t>
      </w:r>
      <w:r>
        <w:rPr>
          <w:rFonts w:ascii="Times New Roman" w:hAnsi="Times New Roman" w:cs="Times New Roman"/>
          <w:sz w:val="28"/>
          <w:szCs w:val="28"/>
        </w:rPr>
        <w:t xml:space="preserve"> document </w:t>
      </w:r>
      <w:r w:rsidR="00EE2EB8">
        <w:rPr>
          <w:rFonts w:ascii="Times New Roman" w:hAnsi="Times New Roman" w:cs="Times New Roman"/>
          <w:sz w:val="28"/>
          <w:szCs w:val="28"/>
        </w:rPr>
        <w:t>is</w:t>
      </w:r>
      <w:r>
        <w:rPr>
          <w:rFonts w:ascii="Times New Roman" w:hAnsi="Times New Roman" w:cs="Times New Roman"/>
          <w:sz w:val="28"/>
          <w:szCs w:val="28"/>
        </w:rPr>
        <w:t xml:space="preserve"> cloaked with settlement privilege and thereby confidential.  Canada also asserts that the Consultation Draft </w:t>
      </w:r>
      <w:r w:rsidR="00046580">
        <w:rPr>
          <w:rFonts w:ascii="Times New Roman" w:hAnsi="Times New Roman" w:cs="Times New Roman"/>
          <w:sz w:val="28"/>
          <w:szCs w:val="28"/>
        </w:rPr>
        <w:t>is not</w:t>
      </w:r>
      <w:r>
        <w:rPr>
          <w:rFonts w:ascii="Times New Roman" w:hAnsi="Times New Roman" w:cs="Times New Roman"/>
          <w:sz w:val="28"/>
          <w:szCs w:val="28"/>
        </w:rPr>
        <w:t xml:space="preserve"> relevant to determine the Conflict of Interest Application.  </w:t>
      </w:r>
    </w:p>
    <w:p w14:paraId="2A90D9AB" w14:textId="4B1880FA" w:rsidR="004850AC" w:rsidRDefault="004850AC" w:rsidP="00936A90">
      <w:pPr>
        <w:pStyle w:val="ListParagraph"/>
        <w:numPr>
          <w:ilvl w:val="0"/>
          <w:numId w:val="9"/>
        </w:numPr>
        <w:spacing w:after="240" w:line="240" w:lineRule="auto"/>
        <w:ind w:left="0" w:firstLine="0"/>
        <w:contextualSpacing w:val="0"/>
        <w:jc w:val="both"/>
        <w:rPr>
          <w:rFonts w:ascii="Times New Roman" w:hAnsi="Times New Roman" w:cs="Times New Roman"/>
          <w:sz w:val="28"/>
          <w:szCs w:val="28"/>
        </w:rPr>
      </w:pPr>
      <w:r>
        <w:rPr>
          <w:rFonts w:ascii="Times New Roman" w:hAnsi="Times New Roman" w:cs="Times New Roman"/>
          <w:sz w:val="28"/>
          <w:szCs w:val="28"/>
        </w:rPr>
        <w:t>Th</w:t>
      </w:r>
      <w:r w:rsidR="00960668">
        <w:rPr>
          <w:rFonts w:ascii="Times New Roman" w:hAnsi="Times New Roman" w:cs="Times New Roman"/>
          <w:sz w:val="28"/>
          <w:szCs w:val="28"/>
        </w:rPr>
        <w:t xml:space="preserve">e evidence with respect to the </w:t>
      </w:r>
      <w:r w:rsidR="00046580">
        <w:rPr>
          <w:rFonts w:ascii="Times New Roman" w:hAnsi="Times New Roman" w:cs="Times New Roman"/>
          <w:sz w:val="28"/>
          <w:szCs w:val="28"/>
        </w:rPr>
        <w:t xml:space="preserve">Consultation Draft </w:t>
      </w:r>
      <w:r w:rsidR="00960668">
        <w:rPr>
          <w:rFonts w:ascii="Times New Roman" w:hAnsi="Times New Roman" w:cs="Times New Roman"/>
          <w:sz w:val="28"/>
          <w:szCs w:val="28"/>
        </w:rPr>
        <w:t>is contained i</w:t>
      </w:r>
      <w:r w:rsidR="00D56A43">
        <w:rPr>
          <w:rFonts w:ascii="Times New Roman" w:hAnsi="Times New Roman" w:cs="Times New Roman"/>
          <w:sz w:val="28"/>
          <w:szCs w:val="28"/>
        </w:rPr>
        <w:t xml:space="preserve">n the affidavit of Patricia Eeles, who is a negotiator working for Canada.  She was the lead negotiator for Canada at the Akaitcho Treaty negotiation from November 2017 to her retirement in December 2022.  She continues to work on a contract basis as a negotiator.  </w:t>
      </w:r>
    </w:p>
    <w:p w14:paraId="06102966" w14:textId="73D20138" w:rsidR="00D56A43" w:rsidRDefault="00D56A43" w:rsidP="00936A90">
      <w:pPr>
        <w:pStyle w:val="ListParagraph"/>
        <w:numPr>
          <w:ilvl w:val="0"/>
          <w:numId w:val="9"/>
        </w:numPr>
        <w:spacing w:after="240" w:line="240" w:lineRule="auto"/>
        <w:ind w:left="0" w:firstLine="0"/>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 xml:space="preserve">Ms. Eeles testified that the </w:t>
      </w:r>
      <w:r w:rsidR="00021328">
        <w:rPr>
          <w:rFonts w:ascii="Times New Roman" w:hAnsi="Times New Roman" w:cs="Times New Roman"/>
          <w:sz w:val="28"/>
          <w:szCs w:val="28"/>
        </w:rPr>
        <w:t xml:space="preserve">ADFN, </w:t>
      </w:r>
      <w:r>
        <w:rPr>
          <w:rFonts w:ascii="Times New Roman" w:hAnsi="Times New Roman" w:cs="Times New Roman"/>
          <w:sz w:val="28"/>
          <w:szCs w:val="28"/>
        </w:rPr>
        <w:t xml:space="preserve">Canada and the GNWT are negotiating the Akaitcho Comprehensive Claim </w:t>
      </w:r>
      <w:r w:rsidR="009E22C0">
        <w:rPr>
          <w:rFonts w:ascii="Times New Roman" w:hAnsi="Times New Roman" w:cs="Times New Roman"/>
          <w:sz w:val="28"/>
          <w:szCs w:val="28"/>
        </w:rPr>
        <w:t>Agreement focused</w:t>
      </w:r>
      <w:r>
        <w:rPr>
          <w:rFonts w:ascii="Times New Roman" w:hAnsi="Times New Roman" w:cs="Times New Roman"/>
          <w:sz w:val="28"/>
          <w:szCs w:val="28"/>
        </w:rPr>
        <w:t xml:space="preserve"> on resolving the parties’ respective rights and obligations relating to land, resources and governance in the Akaitcho region of the Northwest Territories.  </w:t>
      </w:r>
    </w:p>
    <w:p w14:paraId="454D7B01" w14:textId="7081D8F9" w:rsidR="00560835" w:rsidRDefault="000A29EC" w:rsidP="00936A90">
      <w:pPr>
        <w:pStyle w:val="ListParagraph"/>
        <w:numPr>
          <w:ilvl w:val="0"/>
          <w:numId w:val="9"/>
        </w:numPr>
        <w:spacing w:after="240" w:line="240" w:lineRule="auto"/>
        <w:ind w:left="0" w:firstLine="0"/>
        <w:contextualSpacing w:val="0"/>
        <w:jc w:val="both"/>
        <w:rPr>
          <w:rFonts w:ascii="Times New Roman" w:hAnsi="Times New Roman" w:cs="Times New Roman"/>
          <w:sz w:val="28"/>
          <w:szCs w:val="28"/>
        </w:rPr>
      </w:pPr>
      <w:r>
        <w:rPr>
          <w:rFonts w:ascii="Times New Roman" w:hAnsi="Times New Roman" w:cs="Times New Roman"/>
          <w:sz w:val="28"/>
          <w:szCs w:val="28"/>
        </w:rPr>
        <w:t>The ADFN is negotiating on behalf of the DKFN</w:t>
      </w:r>
      <w:r w:rsidR="00021328">
        <w:rPr>
          <w:rFonts w:ascii="Times New Roman" w:hAnsi="Times New Roman" w:cs="Times New Roman"/>
          <w:sz w:val="28"/>
          <w:szCs w:val="28"/>
        </w:rPr>
        <w:t xml:space="preserve">, the </w:t>
      </w:r>
      <w:r>
        <w:rPr>
          <w:rFonts w:ascii="Times New Roman" w:hAnsi="Times New Roman" w:cs="Times New Roman"/>
          <w:sz w:val="28"/>
          <w:szCs w:val="28"/>
        </w:rPr>
        <w:t>Lutsel K’e Dene First Nation</w:t>
      </w:r>
      <w:r w:rsidR="00C901AA">
        <w:rPr>
          <w:rFonts w:ascii="Times New Roman" w:hAnsi="Times New Roman" w:cs="Times New Roman"/>
          <w:sz w:val="28"/>
          <w:szCs w:val="28"/>
        </w:rPr>
        <w:t xml:space="preserve"> (“LDFN</w:t>
      </w:r>
      <w:r w:rsidR="003F7C12">
        <w:rPr>
          <w:rFonts w:ascii="Times New Roman" w:hAnsi="Times New Roman" w:cs="Times New Roman"/>
          <w:sz w:val="28"/>
          <w:szCs w:val="28"/>
        </w:rPr>
        <w:t>”) and</w:t>
      </w:r>
      <w:r>
        <w:rPr>
          <w:rFonts w:ascii="Times New Roman" w:hAnsi="Times New Roman" w:cs="Times New Roman"/>
          <w:sz w:val="28"/>
          <w:szCs w:val="28"/>
        </w:rPr>
        <w:t xml:space="preserve"> the Yellowknives Dene First Nation of Dettah and Ndilo (“YKDFN”).  </w:t>
      </w:r>
    </w:p>
    <w:p w14:paraId="4E545215" w14:textId="4E5E10F8" w:rsidR="000A29EC" w:rsidRDefault="000A29EC" w:rsidP="00936A90">
      <w:pPr>
        <w:pStyle w:val="ListParagraph"/>
        <w:numPr>
          <w:ilvl w:val="0"/>
          <w:numId w:val="9"/>
        </w:numPr>
        <w:spacing w:after="240" w:line="240" w:lineRule="auto"/>
        <w:ind w:left="0" w:firstLine="0"/>
        <w:contextualSpacing w:val="0"/>
        <w:jc w:val="both"/>
        <w:rPr>
          <w:rFonts w:ascii="Times New Roman" w:hAnsi="Times New Roman" w:cs="Times New Roman"/>
          <w:sz w:val="28"/>
          <w:szCs w:val="28"/>
        </w:rPr>
      </w:pPr>
      <w:r>
        <w:rPr>
          <w:rFonts w:ascii="Times New Roman" w:hAnsi="Times New Roman" w:cs="Times New Roman"/>
          <w:sz w:val="28"/>
          <w:szCs w:val="28"/>
        </w:rPr>
        <w:t xml:space="preserve">Canada, the GNWT and the ADFN entered into the Akaitcho Framework Agreement on July 25, 2000.  </w:t>
      </w:r>
      <w:r w:rsidR="00E21612">
        <w:rPr>
          <w:rFonts w:ascii="Times New Roman" w:hAnsi="Times New Roman" w:cs="Times New Roman"/>
          <w:sz w:val="28"/>
          <w:szCs w:val="28"/>
        </w:rPr>
        <w:t xml:space="preserve">The Framework Agreement sets out the purpose, subject matters and process for the Akaitcho Treaty negotiations.  </w:t>
      </w:r>
    </w:p>
    <w:p w14:paraId="3C223D13" w14:textId="2E66EA3C" w:rsidR="007F5C91" w:rsidRDefault="007F5C91" w:rsidP="00936A90">
      <w:pPr>
        <w:pStyle w:val="ListParagraph"/>
        <w:numPr>
          <w:ilvl w:val="0"/>
          <w:numId w:val="9"/>
        </w:numPr>
        <w:spacing w:after="240" w:line="240" w:lineRule="auto"/>
        <w:ind w:left="0" w:firstLine="0"/>
        <w:contextualSpacing w:val="0"/>
        <w:jc w:val="both"/>
        <w:rPr>
          <w:rFonts w:ascii="Times New Roman" w:hAnsi="Times New Roman" w:cs="Times New Roman"/>
          <w:sz w:val="28"/>
          <w:szCs w:val="28"/>
        </w:rPr>
      </w:pPr>
      <w:r>
        <w:rPr>
          <w:rFonts w:ascii="Times New Roman" w:hAnsi="Times New Roman" w:cs="Times New Roman"/>
          <w:sz w:val="28"/>
          <w:szCs w:val="28"/>
        </w:rPr>
        <w:t xml:space="preserve">Several provisions of the Framework Agreement address confidentiality.  Section 9.2 states: </w:t>
      </w:r>
    </w:p>
    <w:p w14:paraId="2E632157" w14:textId="7E2423F2" w:rsidR="007F5C91" w:rsidRPr="00823094" w:rsidRDefault="007F5C91" w:rsidP="00823094">
      <w:pPr>
        <w:pStyle w:val="ListParagraph"/>
        <w:spacing w:after="240" w:line="240" w:lineRule="auto"/>
        <w:ind w:left="567" w:right="571"/>
        <w:contextualSpacing w:val="0"/>
        <w:jc w:val="both"/>
        <w:rPr>
          <w:rFonts w:ascii="Times New Roman" w:hAnsi="Times New Roman" w:cs="Times New Roman"/>
          <w:sz w:val="24"/>
          <w:szCs w:val="24"/>
        </w:rPr>
      </w:pPr>
      <w:r w:rsidRPr="00823094">
        <w:rPr>
          <w:rFonts w:ascii="Times New Roman" w:hAnsi="Times New Roman" w:cs="Times New Roman"/>
          <w:sz w:val="24"/>
          <w:szCs w:val="24"/>
        </w:rPr>
        <w:t xml:space="preserve">Notwithstanding the desire to keep the public and Akaitcho DFN members informed, the parties agree that details of positions and documents exchanged or developed by the parties during negotiations will be confidential unless the parties agree otherwise or as required by law. </w:t>
      </w:r>
    </w:p>
    <w:p w14:paraId="528C6897" w14:textId="024212EF" w:rsidR="00E21612" w:rsidRDefault="00E21612" w:rsidP="00936A90">
      <w:pPr>
        <w:pStyle w:val="ListParagraph"/>
        <w:numPr>
          <w:ilvl w:val="0"/>
          <w:numId w:val="9"/>
        </w:numPr>
        <w:spacing w:after="240" w:line="240" w:lineRule="auto"/>
        <w:ind w:left="0" w:firstLine="0"/>
        <w:contextualSpacing w:val="0"/>
        <w:jc w:val="both"/>
        <w:rPr>
          <w:rFonts w:ascii="Times New Roman" w:hAnsi="Times New Roman" w:cs="Times New Roman"/>
          <w:sz w:val="28"/>
          <w:szCs w:val="28"/>
        </w:rPr>
      </w:pPr>
      <w:r>
        <w:rPr>
          <w:rFonts w:ascii="Times New Roman" w:hAnsi="Times New Roman" w:cs="Times New Roman"/>
          <w:sz w:val="28"/>
          <w:szCs w:val="28"/>
        </w:rPr>
        <w:t xml:space="preserve">Agreement in Principle negotiations started in September 2001 and are ongoing.  The Framework </w:t>
      </w:r>
      <w:r w:rsidR="00CE29E2">
        <w:rPr>
          <w:rFonts w:ascii="Times New Roman" w:hAnsi="Times New Roman" w:cs="Times New Roman"/>
          <w:sz w:val="28"/>
          <w:szCs w:val="28"/>
        </w:rPr>
        <w:t>A</w:t>
      </w:r>
      <w:r>
        <w:rPr>
          <w:rFonts w:ascii="Times New Roman" w:hAnsi="Times New Roman" w:cs="Times New Roman"/>
          <w:sz w:val="28"/>
          <w:szCs w:val="28"/>
        </w:rPr>
        <w:t xml:space="preserve">greement </w:t>
      </w:r>
      <w:r w:rsidR="00CE29E2">
        <w:rPr>
          <w:rFonts w:ascii="Times New Roman" w:hAnsi="Times New Roman" w:cs="Times New Roman"/>
          <w:sz w:val="28"/>
          <w:szCs w:val="28"/>
        </w:rPr>
        <w:t xml:space="preserve">provides that the parties to the negotiations are following </w:t>
      </w:r>
      <w:r>
        <w:rPr>
          <w:rFonts w:ascii="Times New Roman" w:hAnsi="Times New Roman" w:cs="Times New Roman"/>
          <w:sz w:val="28"/>
          <w:szCs w:val="28"/>
        </w:rPr>
        <w:t xml:space="preserve">a rolling draft process.  </w:t>
      </w:r>
      <w:r w:rsidR="00CE29E2">
        <w:rPr>
          <w:rFonts w:ascii="Times New Roman" w:hAnsi="Times New Roman" w:cs="Times New Roman"/>
          <w:sz w:val="28"/>
          <w:szCs w:val="28"/>
        </w:rPr>
        <w:t xml:space="preserve">By this, I understand that the parties are using one document which is constantly being updated and refined as the parties address </w:t>
      </w:r>
      <w:r w:rsidR="00DD254E">
        <w:rPr>
          <w:rFonts w:ascii="Times New Roman" w:hAnsi="Times New Roman" w:cs="Times New Roman"/>
          <w:sz w:val="28"/>
          <w:szCs w:val="28"/>
        </w:rPr>
        <w:t xml:space="preserve">and reach consensus on the issues. </w:t>
      </w:r>
    </w:p>
    <w:p w14:paraId="22F76CDD" w14:textId="378C251D" w:rsidR="00E21612" w:rsidRDefault="00E21612" w:rsidP="00936A90">
      <w:pPr>
        <w:pStyle w:val="ListParagraph"/>
        <w:numPr>
          <w:ilvl w:val="0"/>
          <w:numId w:val="9"/>
        </w:numPr>
        <w:spacing w:after="240" w:line="240" w:lineRule="auto"/>
        <w:ind w:left="0" w:firstLine="0"/>
        <w:contextualSpacing w:val="0"/>
        <w:jc w:val="both"/>
        <w:rPr>
          <w:rFonts w:ascii="Times New Roman" w:hAnsi="Times New Roman" w:cs="Times New Roman"/>
          <w:sz w:val="28"/>
          <w:szCs w:val="28"/>
        </w:rPr>
      </w:pPr>
      <w:r>
        <w:rPr>
          <w:rFonts w:ascii="Times New Roman" w:hAnsi="Times New Roman" w:cs="Times New Roman"/>
          <w:sz w:val="28"/>
          <w:szCs w:val="28"/>
        </w:rPr>
        <w:t xml:space="preserve">The parties to the negotiation completed a Draft AIP in early 2023 that reflected the state of the negotiations at that time.  This document is known as the Consultation Draft. </w:t>
      </w:r>
      <w:r w:rsidR="00B5140F">
        <w:rPr>
          <w:rFonts w:ascii="Times New Roman" w:hAnsi="Times New Roman" w:cs="Times New Roman"/>
          <w:sz w:val="28"/>
          <w:szCs w:val="28"/>
        </w:rPr>
        <w:t xml:space="preserve"> </w:t>
      </w:r>
      <w:r>
        <w:rPr>
          <w:rFonts w:ascii="Times New Roman" w:hAnsi="Times New Roman" w:cs="Times New Roman"/>
          <w:sz w:val="28"/>
          <w:szCs w:val="28"/>
        </w:rPr>
        <w:t xml:space="preserve">Ms. Eeles advises that the Consultation Draft has not been signed and that its contents are still subject to change as negotiations continue. </w:t>
      </w:r>
    </w:p>
    <w:p w14:paraId="13FAEEC0" w14:textId="6643BF53" w:rsidR="00E21612" w:rsidRDefault="00E21612" w:rsidP="00936A90">
      <w:pPr>
        <w:pStyle w:val="ListParagraph"/>
        <w:numPr>
          <w:ilvl w:val="0"/>
          <w:numId w:val="9"/>
        </w:numPr>
        <w:spacing w:after="240" w:line="240" w:lineRule="auto"/>
        <w:ind w:left="0" w:firstLine="0"/>
        <w:contextualSpacing w:val="0"/>
        <w:jc w:val="both"/>
        <w:rPr>
          <w:rFonts w:ascii="Times New Roman" w:hAnsi="Times New Roman" w:cs="Times New Roman"/>
          <w:sz w:val="28"/>
          <w:szCs w:val="28"/>
        </w:rPr>
      </w:pPr>
      <w:r>
        <w:rPr>
          <w:rFonts w:ascii="Times New Roman" w:hAnsi="Times New Roman" w:cs="Times New Roman"/>
          <w:sz w:val="28"/>
          <w:szCs w:val="28"/>
        </w:rPr>
        <w:t>Ms. Eeles outlined next steps in this process.  They include the ADFN</w:t>
      </w:r>
      <w:r w:rsidR="00BF4911">
        <w:rPr>
          <w:rFonts w:ascii="Times New Roman" w:hAnsi="Times New Roman" w:cs="Times New Roman"/>
          <w:sz w:val="28"/>
          <w:szCs w:val="28"/>
        </w:rPr>
        <w:t>’s</w:t>
      </w:r>
      <w:r>
        <w:rPr>
          <w:rFonts w:ascii="Times New Roman" w:hAnsi="Times New Roman" w:cs="Times New Roman"/>
          <w:sz w:val="28"/>
          <w:szCs w:val="28"/>
        </w:rPr>
        <w:t xml:space="preserve"> internal review</w:t>
      </w:r>
      <w:r w:rsidR="007F5C91">
        <w:rPr>
          <w:rFonts w:ascii="Times New Roman" w:hAnsi="Times New Roman" w:cs="Times New Roman"/>
          <w:sz w:val="28"/>
          <w:szCs w:val="28"/>
        </w:rPr>
        <w:t xml:space="preserve"> as well as Canada and the GNWT using the Consultation Draft to consult with other Indigenous groups.  She advised that before any consultation occurs, the Indigenous groups must agree to maintain the confidentiality of the Consultation Draft</w:t>
      </w:r>
      <w:r w:rsidR="003E5F2C">
        <w:rPr>
          <w:rFonts w:ascii="Times New Roman" w:hAnsi="Times New Roman" w:cs="Times New Roman"/>
          <w:sz w:val="28"/>
          <w:szCs w:val="28"/>
        </w:rPr>
        <w:t xml:space="preserve">. </w:t>
      </w:r>
    </w:p>
    <w:p w14:paraId="75F620F0" w14:textId="167887E1" w:rsidR="00DD254E" w:rsidRPr="00D9720E" w:rsidRDefault="007F5C91" w:rsidP="00936A90">
      <w:pPr>
        <w:pStyle w:val="ListParagraph"/>
        <w:numPr>
          <w:ilvl w:val="0"/>
          <w:numId w:val="9"/>
        </w:numPr>
        <w:spacing w:after="240" w:line="240" w:lineRule="auto"/>
        <w:ind w:left="0" w:firstLine="0"/>
        <w:contextualSpacing w:val="0"/>
        <w:jc w:val="both"/>
        <w:rPr>
          <w:rFonts w:ascii="Times New Roman" w:hAnsi="Times New Roman" w:cs="Times New Roman"/>
          <w:sz w:val="28"/>
          <w:szCs w:val="28"/>
        </w:rPr>
      </w:pPr>
      <w:r>
        <w:rPr>
          <w:rFonts w:ascii="Times New Roman" w:hAnsi="Times New Roman" w:cs="Times New Roman"/>
          <w:sz w:val="28"/>
          <w:szCs w:val="28"/>
        </w:rPr>
        <w:t>Ms. E</w:t>
      </w:r>
      <w:r w:rsidR="00F53A65">
        <w:rPr>
          <w:rFonts w:ascii="Times New Roman" w:hAnsi="Times New Roman" w:cs="Times New Roman"/>
          <w:sz w:val="28"/>
          <w:szCs w:val="28"/>
        </w:rPr>
        <w:t>e</w:t>
      </w:r>
      <w:r>
        <w:rPr>
          <w:rFonts w:ascii="Times New Roman" w:hAnsi="Times New Roman" w:cs="Times New Roman"/>
          <w:sz w:val="28"/>
          <w:szCs w:val="28"/>
        </w:rPr>
        <w:t xml:space="preserve">les asserts that confidentiality and privilege are essential to the effectiveness of the Akaitcho Treaty negotiation process as they provide all parties with the </w:t>
      </w:r>
      <w:r w:rsidR="00D9720E">
        <w:rPr>
          <w:rFonts w:ascii="Times New Roman" w:hAnsi="Times New Roman" w:cs="Times New Roman"/>
          <w:sz w:val="28"/>
          <w:szCs w:val="28"/>
        </w:rPr>
        <w:t xml:space="preserve">comfort that they can share their views openly and </w:t>
      </w:r>
      <w:r w:rsidR="005C4E8E">
        <w:rPr>
          <w:rFonts w:ascii="Times New Roman" w:hAnsi="Times New Roman" w:cs="Times New Roman"/>
          <w:sz w:val="28"/>
          <w:szCs w:val="28"/>
        </w:rPr>
        <w:t>honestly and</w:t>
      </w:r>
      <w:r w:rsidR="00D9720E">
        <w:rPr>
          <w:rFonts w:ascii="Times New Roman" w:hAnsi="Times New Roman" w:cs="Times New Roman"/>
          <w:sz w:val="28"/>
          <w:szCs w:val="28"/>
        </w:rPr>
        <w:t xml:space="preserve"> record their positions and points of agreement in writing as the negotiations progress, without fear that any written document will become public.</w:t>
      </w:r>
      <w:r w:rsidR="00B5140F">
        <w:rPr>
          <w:rFonts w:ascii="Times New Roman" w:hAnsi="Times New Roman" w:cs="Times New Roman"/>
          <w:sz w:val="28"/>
          <w:szCs w:val="28"/>
        </w:rPr>
        <w:t xml:space="preserve"> </w:t>
      </w:r>
      <w:r w:rsidR="00D9720E">
        <w:rPr>
          <w:rFonts w:ascii="Times New Roman" w:hAnsi="Times New Roman" w:cs="Times New Roman"/>
          <w:sz w:val="28"/>
          <w:szCs w:val="28"/>
        </w:rPr>
        <w:t xml:space="preserve"> She asserts that if the </w:t>
      </w:r>
      <w:r w:rsidR="00D9720E">
        <w:rPr>
          <w:rFonts w:ascii="Times New Roman" w:hAnsi="Times New Roman" w:cs="Times New Roman"/>
          <w:sz w:val="28"/>
          <w:szCs w:val="28"/>
        </w:rPr>
        <w:lastRenderedPageBreak/>
        <w:t xml:space="preserve">Consultation Draft were to become public in any manner, including by being filed with the Court and being relied on as evidence, it would negatively affect the Akaitcho Treaty negotiations. </w:t>
      </w:r>
    </w:p>
    <w:p w14:paraId="7E3E3187" w14:textId="3E8EEE14" w:rsidR="003E5F2C" w:rsidRPr="0046683C" w:rsidRDefault="00F53A65" w:rsidP="00936A90">
      <w:pPr>
        <w:pStyle w:val="ListParagraph"/>
        <w:numPr>
          <w:ilvl w:val="0"/>
          <w:numId w:val="9"/>
        </w:numPr>
        <w:spacing w:after="240" w:line="240" w:lineRule="auto"/>
        <w:ind w:left="0" w:firstLine="0"/>
        <w:contextualSpacing w:val="0"/>
        <w:jc w:val="both"/>
        <w:rPr>
          <w:rFonts w:ascii="Times New Roman" w:hAnsi="Times New Roman" w:cs="Times New Roman"/>
          <w:sz w:val="28"/>
          <w:szCs w:val="28"/>
        </w:rPr>
      </w:pPr>
      <w:r w:rsidRPr="0046683C">
        <w:rPr>
          <w:rFonts w:ascii="Times New Roman" w:hAnsi="Times New Roman" w:cs="Times New Roman"/>
          <w:sz w:val="28"/>
          <w:szCs w:val="28"/>
        </w:rPr>
        <w:t>Ms. Eeles asserts that none of the parties in the Akaitcho Treaty negotiation process have waived confidentiality o</w:t>
      </w:r>
      <w:r w:rsidR="00D45961" w:rsidRPr="0046683C">
        <w:rPr>
          <w:rFonts w:ascii="Times New Roman" w:hAnsi="Times New Roman" w:cs="Times New Roman"/>
          <w:sz w:val="28"/>
          <w:szCs w:val="28"/>
        </w:rPr>
        <w:t xml:space="preserve">f the </w:t>
      </w:r>
      <w:r w:rsidRPr="0046683C">
        <w:rPr>
          <w:rFonts w:ascii="Times New Roman" w:hAnsi="Times New Roman" w:cs="Times New Roman"/>
          <w:sz w:val="28"/>
          <w:szCs w:val="28"/>
        </w:rPr>
        <w:t xml:space="preserve">Consultation Draft </w:t>
      </w:r>
      <w:r w:rsidR="00CE29E2" w:rsidRPr="0046683C">
        <w:rPr>
          <w:rFonts w:ascii="Times New Roman" w:hAnsi="Times New Roman" w:cs="Times New Roman"/>
          <w:sz w:val="28"/>
          <w:szCs w:val="28"/>
        </w:rPr>
        <w:t xml:space="preserve">nor any other versions of the draft AIP. </w:t>
      </w:r>
    </w:p>
    <w:p w14:paraId="3281A086" w14:textId="0EC031AB" w:rsidR="00BA0B62" w:rsidRPr="003E5F2C" w:rsidRDefault="00BA0B62" w:rsidP="003E5F2C">
      <w:pPr>
        <w:spacing w:after="240" w:line="240" w:lineRule="auto"/>
        <w:jc w:val="both"/>
        <w:rPr>
          <w:rFonts w:ascii="Times New Roman" w:hAnsi="Times New Roman" w:cs="Times New Roman"/>
          <w:b/>
          <w:bCs/>
          <w:sz w:val="28"/>
          <w:szCs w:val="28"/>
        </w:rPr>
      </w:pPr>
      <w:r w:rsidRPr="003E5F2C">
        <w:rPr>
          <w:rFonts w:ascii="Times New Roman" w:hAnsi="Times New Roman" w:cs="Times New Roman"/>
          <w:b/>
          <w:bCs/>
          <w:sz w:val="28"/>
          <w:szCs w:val="28"/>
        </w:rPr>
        <w:t xml:space="preserve">PRELIMINARY ISSUES </w:t>
      </w:r>
    </w:p>
    <w:p w14:paraId="0CF2AD06" w14:textId="5C350EB6" w:rsidR="00F53A65" w:rsidRDefault="0001662A" w:rsidP="00936A90">
      <w:pPr>
        <w:pStyle w:val="ListParagraph"/>
        <w:numPr>
          <w:ilvl w:val="0"/>
          <w:numId w:val="9"/>
        </w:numPr>
        <w:spacing w:after="240" w:line="240" w:lineRule="auto"/>
        <w:ind w:left="0" w:firstLine="0"/>
        <w:contextualSpacing w:val="0"/>
        <w:jc w:val="both"/>
        <w:rPr>
          <w:rFonts w:ascii="Times New Roman" w:hAnsi="Times New Roman" w:cs="Times New Roman"/>
          <w:sz w:val="28"/>
          <w:szCs w:val="28"/>
        </w:rPr>
      </w:pPr>
      <w:r w:rsidRPr="0001662A">
        <w:rPr>
          <w:rFonts w:ascii="Times New Roman" w:hAnsi="Times New Roman" w:cs="Times New Roman"/>
          <w:sz w:val="28"/>
          <w:szCs w:val="28"/>
        </w:rPr>
        <w:t>Prior to addressing Canada’s motion regarding references to the Consultation Draft, Canada raises two preliminary issues</w:t>
      </w:r>
      <w:r>
        <w:rPr>
          <w:rFonts w:ascii="Times New Roman" w:hAnsi="Times New Roman" w:cs="Times New Roman"/>
          <w:sz w:val="28"/>
          <w:szCs w:val="28"/>
        </w:rPr>
        <w:t xml:space="preserve">: </w:t>
      </w:r>
    </w:p>
    <w:p w14:paraId="1CDCADAD" w14:textId="64029362" w:rsidR="006A59F3" w:rsidRDefault="0099065A" w:rsidP="00973729">
      <w:pPr>
        <w:pStyle w:val="ListParagraph"/>
        <w:numPr>
          <w:ilvl w:val="2"/>
          <w:numId w:val="9"/>
        </w:numPr>
        <w:spacing w:after="0" w:line="240" w:lineRule="auto"/>
        <w:jc w:val="both"/>
        <w:rPr>
          <w:rFonts w:ascii="Times New Roman" w:hAnsi="Times New Roman" w:cs="Times New Roman"/>
          <w:sz w:val="28"/>
          <w:szCs w:val="28"/>
        </w:rPr>
      </w:pPr>
      <w:r w:rsidRPr="0099065A">
        <w:rPr>
          <w:rFonts w:ascii="Times New Roman" w:hAnsi="Times New Roman" w:cs="Times New Roman"/>
          <w:sz w:val="28"/>
          <w:szCs w:val="28"/>
        </w:rPr>
        <w:t>Whether the Defendants’ request</w:t>
      </w:r>
      <w:r w:rsidR="00CE29E2">
        <w:rPr>
          <w:rFonts w:ascii="Times New Roman" w:hAnsi="Times New Roman" w:cs="Times New Roman"/>
          <w:sz w:val="28"/>
          <w:szCs w:val="28"/>
        </w:rPr>
        <w:t xml:space="preserve"> </w:t>
      </w:r>
      <w:r w:rsidR="003F71C3">
        <w:rPr>
          <w:rFonts w:ascii="Times New Roman" w:hAnsi="Times New Roman" w:cs="Times New Roman"/>
          <w:sz w:val="28"/>
          <w:szCs w:val="28"/>
        </w:rPr>
        <w:t xml:space="preserve">for </w:t>
      </w:r>
      <w:r w:rsidR="00CE29E2">
        <w:rPr>
          <w:rFonts w:ascii="Times New Roman" w:hAnsi="Times New Roman" w:cs="Times New Roman"/>
          <w:sz w:val="28"/>
          <w:szCs w:val="28"/>
        </w:rPr>
        <w:t xml:space="preserve">production </w:t>
      </w:r>
      <w:r w:rsidR="003E5F2C">
        <w:rPr>
          <w:rFonts w:ascii="Times New Roman" w:hAnsi="Times New Roman" w:cs="Times New Roman"/>
          <w:sz w:val="28"/>
          <w:szCs w:val="28"/>
        </w:rPr>
        <w:t xml:space="preserve">of </w:t>
      </w:r>
      <w:r w:rsidR="003E5F2C" w:rsidRPr="0099065A">
        <w:rPr>
          <w:rFonts w:ascii="Times New Roman" w:hAnsi="Times New Roman" w:cs="Times New Roman"/>
          <w:sz w:val="28"/>
          <w:szCs w:val="28"/>
        </w:rPr>
        <w:t>parts</w:t>
      </w:r>
      <w:r w:rsidRPr="0099065A">
        <w:rPr>
          <w:rFonts w:ascii="Times New Roman" w:hAnsi="Times New Roman" w:cs="Times New Roman"/>
          <w:sz w:val="28"/>
          <w:szCs w:val="28"/>
        </w:rPr>
        <w:t xml:space="preserve"> of the </w:t>
      </w:r>
      <w:r w:rsidR="00D45961">
        <w:rPr>
          <w:rFonts w:ascii="Times New Roman" w:hAnsi="Times New Roman" w:cs="Times New Roman"/>
          <w:sz w:val="28"/>
          <w:szCs w:val="28"/>
        </w:rPr>
        <w:t>Consultation Draft</w:t>
      </w:r>
      <w:r w:rsidRPr="0099065A">
        <w:rPr>
          <w:rFonts w:ascii="Times New Roman" w:hAnsi="Times New Roman" w:cs="Times New Roman"/>
          <w:sz w:val="28"/>
          <w:szCs w:val="28"/>
        </w:rPr>
        <w:t xml:space="preserve"> is properly before the Court; and </w:t>
      </w:r>
    </w:p>
    <w:p w14:paraId="75E899CA" w14:textId="77777777" w:rsidR="00405423" w:rsidRPr="002A78AA" w:rsidRDefault="00405423" w:rsidP="00973729">
      <w:pPr>
        <w:pStyle w:val="ListParagraph"/>
        <w:spacing w:after="0" w:line="240" w:lineRule="auto"/>
        <w:ind w:left="1080"/>
        <w:jc w:val="both"/>
        <w:rPr>
          <w:rFonts w:ascii="Times New Roman" w:hAnsi="Times New Roman" w:cs="Times New Roman"/>
          <w:sz w:val="28"/>
          <w:szCs w:val="28"/>
        </w:rPr>
      </w:pPr>
    </w:p>
    <w:p w14:paraId="00374203" w14:textId="3D897AF9" w:rsidR="0009603C" w:rsidRPr="0009603C" w:rsidRDefault="003E5F2C" w:rsidP="0009603C">
      <w:pPr>
        <w:pStyle w:val="ListParagraph"/>
        <w:numPr>
          <w:ilvl w:val="2"/>
          <w:numId w:val="9"/>
        </w:numPr>
        <w:spacing w:after="240" w:line="240" w:lineRule="auto"/>
        <w:jc w:val="both"/>
        <w:rPr>
          <w:rFonts w:ascii="Times New Roman" w:hAnsi="Times New Roman" w:cs="Times New Roman"/>
          <w:sz w:val="28"/>
          <w:szCs w:val="28"/>
        </w:rPr>
      </w:pPr>
      <w:r w:rsidRPr="0099065A">
        <w:rPr>
          <w:rFonts w:ascii="Times New Roman" w:hAnsi="Times New Roman" w:cs="Times New Roman"/>
          <w:sz w:val="28"/>
          <w:szCs w:val="28"/>
        </w:rPr>
        <w:t>Whether</w:t>
      </w:r>
      <w:r w:rsidR="00CE29E2">
        <w:rPr>
          <w:rFonts w:ascii="Times New Roman" w:hAnsi="Times New Roman" w:cs="Times New Roman"/>
          <w:sz w:val="28"/>
          <w:szCs w:val="28"/>
        </w:rPr>
        <w:t xml:space="preserve"> the </w:t>
      </w:r>
      <w:r w:rsidR="0099065A" w:rsidRPr="0099065A">
        <w:rPr>
          <w:rFonts w:ascii="Times New Roman" w:hAnsi="Times New Roman" w:cs="Times New Roman"/>
          <w:sz w:val="28"/>
          <w:szCs w:val="28"/>
        </w:rPr>
        <w:t>unsupported factual allegations in the Defendants’ brief</w:t>
      </w:r>
      <w:r w:rsidR="00405423">
        <w:rPr>
          <w:rFonts w:ascii="Times New Roman" w:hAnsi="Times New Roman" w:cs="Times New Roman"/>
          <w:sz w:val="28"/>
          <w:szCs w:val="28"/>
        </w:rPr>
        <w:t xml:space="preserve"> </w:t>
      </w:r>
      <w:r w:rsidR="00CE29E2">
        <w:rPr>
          <w:rFonts w:ascii="Times New Roman" w:hAnsi="Times New Roman" w:cs="Times New Roman"/>
          <w:sz w:val="28"/>
          <w:szCs w:val="28"/>
        </w:rPr>
        <w:t xml:space="preserve">should be </w:t>
      </w:r>
      <w:r w:rsidR="0099065A" w:rsidRPr="0099065A">
        <w:rPr>
          <w:rFonts w:ascii="Times New Roman" w:hAnsi="Times New Roman" w:cs="Times New Roman"/>
          <w:sz w:val="28"/>
          <w:szCs w:val="28"/>
        </w:rPr>
        <w:t>disregarded or given no weight</w:t>
      </w:r>
      <w:r w:rsidR="00222D68">
        <w:rPr>
          <w:rFonts w:ascii="Times New Roman" w:hAnsi="Times New Roman" w:cs="Times New Roman"/>
          <w:sz w:val="28"/>
          <w:szCs w:val="28"/>
        </w:rPr>
        <w:t xml:space="preserve">. </w:t>
      </w:r>
    </w:p>
    <w:p w14:paraId="459E7520" w14:textId="77777777" w:rsidR="0009603C" w:rsidRDefault="0009603C" w:rsidP="00037008">
      <w:pPr>
        <w:pStyle w:val="ListParagraph"/>
        <w:spacing w:after="0" w:line="240" w:lineRule="auto"/>
        <w:ind w:left="1440" w:hanging="720"/>
        <w:contextualSpacing w:val="0"/>
        <w:jc w:val="both"/>
        <w:rPr>
          <w:rFonts w:ascii="Times New Roman" w:hAnsi="Times New Roman" w:cs="Times New Roman"/>
          <w:sz w:val="28"/>
          <w:szCs w:val="28"/>
        </w:rPr>
      </w:pPr>
    </w:p>
    <w:p w14:paraId="65BBD0EE" w14:textId="5E3F8356" w:rsidR="00222D68" w:rsidRDefault="00222D68" w:rsidP="00973729">
      <w:pPr>
        <w:pStyle w:val="ListParagraph"/>
        <w:spacing w:after="0" w:line="240" w:lineRule="auto"/>
        <w:ind w:left="1440" w:hanging="720"/>
        <w:contextualSpacing w:val="0"/>
        <w:jc w:val="both"/>
        <w:rPr>
          <w:rFonts w:ascii="Times New Roman" w:hAnsi="Times New Roman" w:cs="Times New Roman"/>
          <w:sz w:val="28"/>
          <w:szCs w:val="28"/>
        </w:rPr>
      </w:pPr>
      <w:r>
        <w:rPr>
          <w:rFonts w:ascii="Times New Roman" w:hAnsi="Times New Roman" w:cs="Times New Roman"/>
          <w:sz w:val="28"/>
          <w:szCs w:val="28"/>
        </w:rPr>
        <w:t xml:space="preserve">A third issue is raised by the Defendants: </w:t>
      </w:r>
    </w:p>
    <w:p w14:paraId="6670A0F1" w14:textId="77777777" w:rsidR="00973729" w:rsidRDefault="00973729" w:rsidP="00973729">
      <w:pPr>
        <w:pStyle w:val="ListParagraph"/>
        <w:spacing w:after="0" w:line="240" w:lineRule="auto"/>
        <w:ind w:left="1440" w:hanging="720"/>
        <w:contextualSpacing w:val="0"/>
        <w:jc w:val="both"/>
        <w:rPr>
          <w:rFonts w:ascii="Times New Roman" w:hAnsi="Times New Roman" w:cs="Times New Roman"/>
          <w:sz w:val="28"/>
          <w:szCs w:val="28"/>
        </w:rPr>
      </w:pPr>
    </w:p>
    <w:p w14:paraId="334ECB0D" w14:textId="67C3E38D" w:rsidR="00222D68" w:rsidRPr="00037008" w:rsidRDefault="00973729" w:rsidP="00317E6E">
      <w:pPr>
        <w:pStyle w:val="ListParagraph"/>
        <w:numPr>
          <w:ilvl w:val="2"/>
          <w:numId w:val="9"/>
        </w:numPr>
        <w:spacing w:after="24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062CD" w:rsidRPr="00037008">
        <w:rPr>
          <w:rFonts w:ascii="Times New Roman" w:hAnsi="Times New Roman" w:cs="Times New Roman"/>
          <w:sz w:val="28"/>
          <w:szCs w:val="28"/>
        </w:rPr>
        <w:t xml:space="preserve">The weight to be given to the evidence of Patricia Eeles. </w:t>
      </w:r>
    </w:p>
    <w:p w14:paraId="296CEBF0" w14:textId="269A6F69" w:rsidR="00AD1658" w:rsidRPr="00477B77" w:rsidRDefault="00AD1658" w:rsidP="00477B77">
      <w:pPr>
        <w:spacing w:after="240" w:line="240" w:lineRule="auto"/>
        <w:jc w:val="both"/>
        <w:rPr>
          <w:rFonts w:ascii="Times New Roman" w:hAnsi="Times New Roman" w:cs="Times New Roman"/>
          <w:b/>
          <w:bCs/>
          <w:i/>
          <w:iCs/>
          <w:sz w:val="28"/>
          <w:szCs w:val="28"/>
        </w:rPr>
      </w:pPr>
      <w:r w:rsidRPr="00477B77">
        <w:rPr>
          <w:rFonts w:ascii="Times New Roman" w:hAnsi="Times New Roman" w:cs="Times New Roman"/>
          <w:b/>
          <w:bCs/>
          <w:i/>
          <w:iCs/>
          <w:sz w:val="28"/>
          <w:szCs w:val="28"/>
        </w:rPr>
        <w:t xml:space="preserve">Is the </w:t>
      </w:r>
      <w:r w:rsidR="001659DC" w:rsidRPr="00477B77">
        <w:rPr>
          <w:rFonts w:ascii="Times New Roman" w:hAnsi="Times New Roman" w:cs="Times New Roman"/>
          <w:b/>
          <w:bCs/>
          <w:i/>
          <w:iCs/>
          <w:sz w:val="28"/>
          <w:szCs w:val="28"/>
        </w:rPr>
        <w:t xml:space="preserve">Defendants’ </w:t>
      </w:r>
      <w:r w:rsidRPr="00477B77">
        <w:rPr>
          <w:rFonts w:ascii="Times New Roman" w:hAnsi="Times New Roman" w:cs="Times New Roman"/>
          <w:b/>
          <w:bCs/>
          <w:i/>
          <w:iCs/>
          <w:sz w:val="28"/>
          <w:szCs w:val="28"/>
        </w:rPr>
        <w:t xml:space="preserve">cross motion properly before the Court? </w:t>
      </w:r>
    </w:p>
    <w:p w14:paraId="270EC423" w14:textId="7E990876" w:rsidR="00F53A65" w:rsidRDefault="00F14B14" w:rsidP="00936A90">
      <w:pPr>
        <w:pStyle w:val="ListParagraph"/>
        <w:numPr>
          <w:ilvl w:val="0"/>
          <w:numId w:val="9"/>
        </w:numPr>
        <w:spacing w:after="240" w:line="240" w:lineRule="auto"/>
        <w:ind w:left="0" w:firstLine="0"/>
        <w:contextualSpacing w:val="0"/>
        <w:jc w:val="both"/>
        <w:rPr>
          <w:rFonts w:ascii="Times New Roman" w:hAnsi="Times New Roman" w:cs="Times New Roman"/>
          <w:sz w:val="28"/>
          <w:szCs w:val="28"/>
        </w:rPr>
      </w:pPr>
      <w:r>
        <w:rPr>
          <w:rFonts w:ascii="Times New Roman" w:hAnsi="Times New Roman" w:cs="Times New Roman"/>
          <w:sz w:val="28"/>
          <w:szCs w:val="28"/>
        </w:rPr>
        <w:t>Canada argues that the Defendants’ motion is not properly before the Court.  They rely on</w:t>
      </w:r>
      <w:r w:rsidR="007D211B">
        <w:rPr>
          <w:rFonts w:ascii="Times New Roman" w:hAnsi="Times New Roman" w:cs="Times New Roman"/>
          <w:sz w:val="28"/>
          <w:szCs w:val="28"/>
        </w:rPr>
        <w:t xml:space="preserve"> </w:t>
      </w:r>
      <w:r w:rsidR="0075242A">
        <w:rPr>
          <w:rFonts w:ascii="Times New Roman" w:hAnsi="Times New Roman" w:cs="Times New Roman"/>
          <w:sz w:val="28"/>
          <w:szCs w:val="28"/>
        </w:rPr>
        <w:t>R</w:t>
      </w:r>
      <w:r w:rsidR="007D211B">
        <w:rPr>
          <w:rFonts w:ascii="Times New Roman" w:hAnsi="Times New Roman" w:cs="Times New Roman"/>
          <w:sz w:val="28"/>
          <w:szCs w:val="28"/>
        </w:rPr>
        <w:t>ule</w:t>
      </w:r>
      <w:r>
        <w:rPr>
          <w:rFonts w:ascii="Times New Roman" w:hAnsi="Times New Roman" w:cs="Times New Roman"/>
          <w:sz w:val="28"/>
          <w:szCs w:val="28"/>
        </w:rPr>
        <w:t xml:space="preserve"> 382(1) of the </w:t>
      </w:r>
      <w:r w:rsidRPr="00F14B14">
        <w:rPr>
          <w:rFonts w:ascii="Times New Roman" w:hAnsi="Times New Roman" w:cs="Times New Roman"/>
          <w:i/>
          <w:iCs/>
          <w:sz w:val="28"/>
          <w:szCs w:val="28"/>
        </w:rPr>
        <w:t>Rules of Court of the Northwest Territories</w:t>
      </w:r>
      <w:r>
        <w:rPr>
          <w:rFonts w:ascii="Times New Roman" w:hAnsi="Times New Roman" w:cs="Times New Roman"/>
          <w:sz w:val="28"/>
          <w:szCs w:val="28"/>
        </w:rPr>
        <w:t xml:space="preserve"> </w:t>
      </w:r>
      <w:r w:rsidR="00703BC4" w:rsidRPr="00703BC4">
        <w:rPr>
          <w:rFonts w:ascii="Times New Roman" w:hAnsi="Times New Roman" w:cs="Times New Roman"/>
          <w:sz w:val="28"/>
          <w:szCs w:val="28"/>
        </w:rPr>
        <w:t>R-010-96</w:t>
      </w:r>
      <w:r w:rsidR="007D211B">
        <w:rPr>
          <w:rFonts w:ascii="Times New Roman" w:hAnsi="Times New Roman" w:cs="Times New Roman"/>
          <w:sz w:val="28"/>
          <w:szCs w:val="28"/>
        </w:rPr>
        <w:t xml:space="preserve"> </w:t>
      </w:r>
      <w:r w:rsidR="0075242A">
        <w:rPr>
          <w:rFonts w:ascii="Times New Roman" w:hAnsi="Times New Roman" w:cs="Times New Roman"/>
          <w:sz w:val="28"/>
          <w:szCs w:val="28"/>
        </w:rPr>
        <w:t>(the “</w:t>
      </w:r>
      <w:r w:rsidR="0075242A" w:rsidRPr="0075242A">
        <w:rPr>
          <w:rFonts w:ascii="Times New Roman" w:hAnsi="Times New Roman" w:cs="Times New Roman"/>
          <w:i/>
          <w:iCs/>
          <w:sz w:val="28"/>
          <w:szCs w:val="28"/>
        </w:rPr>
        <w:t>Rules</w:t>
      </w:r>
      <w:r w:rsidR="0075242A">
        <w:rPr>
          <w:rFonts w:ascii="Times New Roman" w:hAnsi="Times New Roman" w:cs="Times New Roman"/>
          <w:sz w:val="28"/>
          <w:szCs w:val="28"/>
        </w:rPr>
        <w:t xml:space="preserve">”) </w:t>
      </w:r>
      <w:r w:rsidR="007D211B">
        <w:rPr>
          <w:rFonts w:ascii="Times New Roman" w:hAnsi="Times New Roman" w:cs="Times New Roman"/>
          <w:sz w:val="28"/>
          <w:szCs w:val="28"/>
        </w:rPr>
        <w:t xml:space="preserve">which provides </w:t>
      </w:r>
      <w:r>
        <w:rPr>
          <w:rFonts w:ascii="Times New Roman" w:hAnsi="Times New Roman" w:cs="Times New Roman"/>
          <w:sz w:val="28"/>
          <w:szCs w:val="28"/>
        </w:rPr>
        <w:t xml:space="preserve">that any application for an order should be made by filing a </w:t>
      </w:r>
      <w:r w:rsidR="00892BC8">
        <w:rPr>
          <w:rFonts w:ascii="Times New Roman" w:hAnsi="Times New Roman" w:cs="Times New Roman"/>
          <w:sz w:val="28"/>
          <w:szCs w:val="28"/>
        </w:rPr>
        <w:t>n</w:t>
      </w:r>
      <w:r>
        <w:rPr>
          <w:rFonts w:ascii="Times New Roman" w:hAnsi="Times New Roman" w:cs="Times New Roman"/>
          <w:sz w:val="28"/>
          <w:szCs w:val="28"/>
        </w:rPr>
        <w:t xml:space="preserve">otice of </w:t>
      </w:r>
      <w:r w:rsidR="00892BC8">
        <w:rPr>
          <w:rFonts w:ascii="Times New Roman" w:hAnsi="Times New Roman" w:cs="Times New Roman"/>
          <w:sz w:val="28"/>
          <w:szCs w:val="28"/>
        </w:rPr>
        <w:t>m</w:t>
      </w:r>
      <w:r>
        <w:rPr>
          <w:rFonts w:ascii="Times New Roman" w:hAnsi="Times New Roman" w:cs="Times New Roman"/>
          <w:sz w:val="28"/>
          <w:szCs w:val="28"/>
        </w:rPr>
        <w:t xml:space="preserve">otion (or, in this case, a </w:t>
      </w:r>
      <w:r w:rsidR="00892BC8">
        <w:rPr>
          <w:rFonts w:ascii="Times New Roman" w:hAnsi="Times New Roman" w:cs="Times New Roman"/>
          <w:sz w:val="28"/>
          <w:szCs w:val="28"/>
        </w:rPr>
        <w:t>c</w:t>
      </w:r>
      <w:r>
        <w:rPr>
          <w:rFonts w:ascii="Times New Roman" w:hAnsi="Times New Roman" w:cs="Times New Roman"/>
          <w:sz w:val="28"/>
          <w:szCs w:val="28"/>
        </w:rPr>
        <w:t>ross-</w:t>
      </w:r>
      <w:r w:rsidR="00892BC8">
        <w:rPr>
          <w:rFonts w:ascii="Times New Roman" w:hAnsi="Times New Roman" w:cs="Times New Roman"/>
          <w:sz w:val="28"/>
          <w:szCs w:val="28"/>
        </w:rPr>
        <w:t>m</w:t>
      </w:r>
      <w:r>
        <w:rPr>
          <w:rFonts w:ascii="Times New Roman" w:hAnsi="Times New Roman" w:cs="Times New Roman"/>
          <w:sz w:val="28"/>
          <w:szCs w:val="28"/>
        </w:rPr>
        <w:t xml:space="preserve">otion given that Canada filed the </w:t>
      </w:r>
      <w:r w:rsidR="0073781A">
        <w:rPr>
          <w:rFonts w:ascii="Times New Roman" w:hAnsi="Times New Roman" w:cs="Times New Roman"/>
          <w:sz w:val="28"/>
          <w:szCs w:val="28"/>
        </w:rPr>
        <w:t>motion to strike</w:t>
      </w:r>
      <w:r>
        <w:rPr>
          <w:rFonts w:ascii="Times New Roman" w:hAnsi="Times New Roman" w:cs="Times New Roman"/>
          <w:sz w:val="28"/>
          <w:szCs w:val="28"/>
        </w:rPr>
        <w:t xml:space="preserve">).  Rather than file a separate pleading, the Defendants sought production of the </w:t>
      </w:r>
      <w:r w:rsidR="00A96823">
        <w:rPr>
          <w:rFonts w:ascii="Times New Roman" w:hAnsi="Times New Roman" w:cs="Times New Roman"/>
          <w:sz w:val="28"/>
          <w:szCs w:val="28"/>
        </w:rPr>
        <w:t xml:space="preserve">Consultation </w:t>
      </w:r>
      <w:r w:rsidR="0059593E">
        <w:rPr>
          <w:rFonts w:ascii="Times New Roman" w:hAnsi="Times New Roman" w:cs="Times New Roman"/>
          <w:sz w:val="28"/>
          <w:szCs w:val="28"/>
        </w:rPr>
        <w:t>Draft within</w:t>
      </w:r>
      <w:r>
        <w:rPr>
          <w:rFonts w:ascii="Times New Roman" w:hAnsi="Times New Roman" w:cs="Times New Roman"/>
          <w:sz w:val="28"/>
          <w:szCs w:val="28"/>
        </w:rPr>
        <w:t xml:space="preserve"> their Response to Canada’s </w:t>
      </w:r>
      <w:r w:rsidR="00545B31">
        <w:rPr>
          <w:rFonts w:ascii="Times New Roman" w:hAnsi="Times New Roman" w:cs="Times New Roman"/>
          <w:sz w:val="28"/>
          <w:szCs w:val="28"/>
        </w:rPr>
        <w:t>m</w:t>
      </w:r>
      <w:r>
        <w:rPr>
          <w:rFonts w:ascii="Times New Roman" w:hAnsi="Times New Roman" w:cs="Times New Roman"/>
          <w:sz w:val="28"/>
          <w:szCs w:val="28"/>
        </w:rPr>
        <w:t xml:space="preserve">otion.  </w:t>
      </w:r>
    </w:p>
    <w:p w14:paraId="0BBAA2DD" w14:textId="0BE77BDE" w:rsidR="00F14B14" w:rsidRDefault="00F14B14" w:rsidP="007F75C3">
      <w:pPr>
        <w:pStyle w:val="ListParagraph"/>
        <w:numPr>
          <w:ilvl w:val="0"/>
          <w:numId w:val="9"/>
        </w:numPr>
        <w:spacing w:after="240" w:line="240" w:lineRule="auto"/>
        <w:ind w:left="0" w:firstLine="0"/>
        <w:contextualSpacing w:val="0"/>
        <w:jc w:val="both"/>
        <w:rPr>
          <w:rFonts w:ascii="Times New Roman" w:hAnsi="Times New Roman" w:cs="Times New Roman"/>
          <w:sz w:val="28"/>
          <w:szCs w:val="28"/>
        </w:rPr>
      </w:pPr>
      <w:r>
        <w:rPr>
          <w:rFonts w:ascii="Times New Roman" w:hAnsi="Times New Roman" w:cs="Times New Roman"/>
          <w:sz w:val="28"/>
          <w:szCs w:val="28"/>
        </w:rPr>
        <w:t xml:space="preserve">Canada further notes that Rule 382(3) requires that a motion be supported by affidavit evidence.  No affidavit evidence was filed in support of the Defendant’s request for production. </w:t>
      </w:r>
    </w:p>
    <w:p w14:paraId="5322F147" w14:textId="7E62B055" w:rsidR="00F14B14" w:rsidRDefault="00F14B14" w:rsidP="007F75C3">
      <w:pPr>
        <w:pStyle w:val="ListParagraph"/>
        <w:numPr>
          <w:ilvl w:val="0"/>
          <w:numId w:val="9"/>
        </w:numPr>
        <w:spacing w:after="240" w:line="240" w:lineRule="auto"/>
        <w:ind w:left="0" w:firstLine="0"/>
        <w:contextualSpacing w:val="0"/>
        <w:jc w:val="both"/>
        <w:rPr>
          <w:rFonts w:ascii="Times New Roman" w:hAnsi="Times New Roman" w:cs="Times New Roman"/>
          <w:sz w:val="28"/>
          <w:szCs w:val="28"/>
        </w:rPr>
      </w:pPr>
      <w:r>
        <w:rPr>
          <w:rFonts w:ascii="Times New Roman" w:hAnsi="Times New Roman" w:cs="Times New Roman"/>
          <w:sz w:val="28"/>
          <w:szCs w:val="28"/>
        </w:rPr>
        <w:t xml:space="preserve">Canada relies on </w:t>
      </w:r>
      <w:r w:rsidRPr="00F14B14">
        <w:rPr>
          <w:rFonts w:ascii="Times New Roman" w:hAnsi="Times New Roman" w:cs="Times New Roman"/>
          <w:i/>
          <w:iCs/>
          <w:sz w:val="28"/>
          <w:szCs w:val="28"/>
        </w:rPr>
        <w:t>CPC International v Seaforth Creamery Inc</w:t>
      </w:r>
      <w:r>
        <w:rPr>
          <w:rFonts w:ascii="Times New Roman" w:hAnsi="Times New Roman" w:cs="Times New Roman"/>
          <w:sz w:val="28"/>
          <w:szCs w:val="28"/>
        </w:rPr>
        <w:t>, 1996 CarswellOnt 1320, in which the court notes that motions generally require an underlying evidentiary basis and that “…[When] the motion deals with substantive matters it should only be the exceptional situation where the motion is addressed in the absence of supporting evidence” (</w:t>
      </w:r>
      <w:r w:rsidR="0059593E">
        <w:rPr>
          <w:rFonts w:ascii="Times New Roman" w:hAnsi="Times New Roman" w:cs="Times New Roman"/>
          <w:sz w:val="28"/>
          <w:szCs w:val="28"/>
        </w:rPr>
        <w:t xml:space="preserve">at </w:t>
      </w:r>
      <w:r>
        <w:rPr>
          <w:rFonts w:ascii="Times New Roman" w:hAnsi="Times New Roman" w:cs="Times New Roman"/>
          <w:sz w:val="28"/>
          <w:szCs w:val="28"/>
        </w:rPr>
        <w:t xml:space="preserve">para 29). </w:t>
      </w:r>
    </w:p>
    <w:p w14:paraId="56D51193" w14:textId="2B797E75" w:rsidR="00F14B14" w:rsidRDefault="00625260" w:rsidP="007F75C3">
      <w:pPr>
        <w:pStyle w:val="ListParagraph"/>
        <w:numPr>
          <w:ilvl w:val="0"/>
          <w:numId w:val="9"/>
        </w:numPr>
        <w:spacing w:after="240" w:line="240" w:lineRule="auto"/>
        <w:ind w:left="0" w:firstLine="0"/>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 xml:space="preserve">The Defendants note that the </w:t>
      </w:r>
      <w:r w:rsidRPr="0059593E">
        <w:rPr>
          <w:rFonts w:ascii="Times New Roman" w:hAnsi="Times New Roman" w:cs="Times New Roman"/>
          <w:i/>
          <w:iCs/>
          <w:sz w:val="28"/>
          <w:szCs w:val="28"/>
        </w:rPr>
        <w:t>Rules</w:t>
      </w:r>
      <w:r w:rsidR="0059593E">
        <w:rPr>
          <w:rFonts w:ascii="Times New Roman" w:hAnsi="Times New Roman" w:cs="Times New Roman"/>
          <w:sz w:val="28"/>
          <w:szCs w:val="28"/>
        </w:rPr>
        <w:t xml:space="preserve"> </w:t>
      </w:r>
      <w:r>
        <w:rPr>
          <w:rFonts w:ascii="Times New Roman" w:hAnsi="Times New Roman" w:cs="Times New Roman"/>
          <w:sz w:val="28"/>
          <w:szCs w:val="28"/>
        </w:rPr>
        <w:t xml:space="preserve">do not prescribe the format for responding to a motion nor what precise relief may be sought in that response. </w:t>
      </w:r>
    </w:p>
    <w:p w14:paraId="2E61ABA3" w14:textId="2B13B3D4" w:rsidR="00625260" w:rsidRDefault="00625260" w:rsidP="007F75C3">
      <w:pPr>
        <w:pStyle w:val="ListParagraph"/>
        <w:numPr>
          <w:ilvl w:val="0"/>
          <w:numId w:val="9"/>
        </w:numPr>
        <w:spacing w:after="240" w:line="240" w:lineRule="auto"/>
        <w:ind w:left="0" w:firstLine="0"/>
        <w:contextualSpacing w:val="0"/>
        <w:jc w:val="both"/>
        <w:rPr>
          <w:rFonts w:ascii="Times New Roman" w:hAnsi="Times New Roman" w:cs="Times New Roman"/>
          <w:sz w:val="28"/>
          <w:szCs w:val="28"/>
        </w:rPr>
      </w:pPr>
      <w:r>
        <w:rPr>
          <w:rFonts w:ascii="Times New Roman" w:hAnsi="Times New Roman" w:cs="Times New Roman"/>
          <w:sz w:val="28"/>
          <w:szCs w:val="28"/>
        </w:rPr>
        <w:t xml:space="preserve">The Defendants rely on s 27 of the </w:t>
      </w:r>
      <w:r w:rsidRPr="007D08EE">
        <w:rPr>
          <w:rFonts w:ascii="Times New Roman" w:hAnsi="Times New Roman" w:cs="Times New Roman"/>
          <w:i/>
          <w:iCs/>
          <w:sz w:val="28"/>
          <w:szCs w:val="28"/>
        </w:rPr>
        <w:t>Judicature Act</w:t>
      </w:r>
      <w:r w:rsidR="001F5FA3">
        <w:rPr>
          <w:rFonts w:ascii="Times New Roman" w:hAnsi="Times New Roman" w:cs="Times New Roman"/>
          <w:sz w:val="28"/>
          <w:szCs w:val="28"/>
        </w:rPr>
        <w:t>, RSNWT 1988</w:t>
      </w:r>
      <w:r w:rsidR="00FF202C">
        <w:rPr>
          <w:rFonts w:ascii="Times New Roman" w:hAnsi="Times New Roman" w:cs="Times New Roman"/>
          <w:sz w:val="28"/>
          <w:szCs w:val="28"/>
        </w:rPr>
        <w:t>, c J-1</w:t>
      </w:r>
      <w:r w:rsidR="0059593E">
        <w:rPr>
          <w:rFonts w:ascii="Times New Roman" w:hAnsi="Times New Roman" w:cs="Times New Roman"/>
          <w:sz w:val="28"/>
          <w:szCs w:val="28"/>
        </w:rPr>
        <w:t>,</w:t>
      </w:r>
      <w:r w:rsidR="00FF202C">
        <w:rPr>
          <w:rFonts w:ascii="Times New Roman" w:hAnsi="Times New Roman" w:cs="Times New Roman"/>
          <w:sz w:val="28"/>
          <w:szCs w:val="28"/>
        </w:rPr>
        <w:t xml:space="preserve"> which </w:t>
      </w:r>
      <w:r w:rsidR="00A14444" w:rsidRPr="00A14444">
        <w:rPr>
          <w:rFonts w:ascii="Times New Roman" w:hAnsi="Times New Roman" w:cs="Times New Roman"/>
          <w:sz w:val="28"/>
          <w:szCs w:val="28"/>
        </w:rPr>
        <w:t>stipulates that a court can grant all remedies any of the parties are entitled to and as far as possible, determine all disputed issues completely and finally to avoid the multiplicity of proceedings.</w:t>
      </w:r>
    </w:p>
    <w:p w14:paraId="29D39A88" w14:textId="14CD2D00" w:rsidR="00F53A65" w:rsidRDefault="005B2989" w:rsidP="007F75C3">
      <w:pPr>
        <w:pStyle w:val="ListParagraph"/>
        <w:numPr>
          <w:ilvl w:val="0"/>
          <w:numId w:val="9"/>
        </w:numPr>
        <w:spacing w:after="240" w:line="240" w:lineRule="auto"/>
        <w:ind w:left="0" w:firstLine="0"/>
        <w:contextualSpacing w:val="0"/>
        <w:jc w:val="both"/>
        <w:rPr>
          <w:rFonts w:ascii="Times New Roman" w:hAnsi="Times New Roman" w:cs="Times New Roman"/>
          <w:sz w:val="28"/>
          <w:szCs w:val="28"/>
        </w:rPr>
      </w:pPr>
      <w:r>
        <w:rPr>
          <w:rFonts w:ascii="Times New Roman" w:hAnsi="Times New Roman" w:cs="Times New Roman"/>
          <w:sz w:val="28"/>
          <w:szCs w:val="28"/>
        </w:rPr>
        <w:t xml:space="preserve">The Defendants also </w:t>
      </w:r>
      <w:r w:rsidR="00CA462F">
        <w:rPr>
          <w:rFonts w:ascii="Times New Roman" w:hAnsi="Times New Roman" w:cs="Times New Roman"/>
          <w:sz w:val="28"/>
          <w:szCs w:val="28"/>
        </w:rPr>
        <w:t xml:space="preserve">rely on </w:t>
      </w:r>
      <w:r w:rsidR="00CA462F" w:rsidRPr="006B762A">
        <w:rPr>
          <w:rFonts w:ascii="Times New Roman" w:hAnsi="Times New Roman" w:cs="Times New Roman"/>
          <w:sz w:val="28"/>
          <w:szCs w:val="28"/>
        </w:rPr>
        <w:t>Rule</w:t>
      </w:r>
      <w:r w:rsidR="00CA462F" w:rsidRPr="001B386B">
        <w:rPr>
          <w:rFonts w:ascii="Times New Roman" w:hAnsi="Times New Roman" w:cs="Times New Roman"/>
          <w:i/>
          <w:iCs/>
          <w:sz w:val="28"/>
          <w:szCs w:val="28"/>
        </w:rPr>
        <w:t xml:space="preserve"> </w:t>
      </w:r>
      <w:r w:rsidR="00CA462F">
        <w:rPr>
          <w:rFonts w:ascii="Times New Roman" w:hAnsi="Times New Roman" w:cs="Times New Roman"/>
          <w:sz w:val="28"/>
          <w:szCs w:val="28"/>
        </w:rPr>
        <w:t>121 which provides that in a pleading</w:t>
      </w:r>
      <w:r w:rsidR="00605608">
        <w:rPr>
          <w:rFonts w:ascii="Times New Roman" w:hAnsi="Times New Roman" w:cs="Times New Roman"/>
          <w:sz w:val="28"/>
          <w:szCs w:val="28"/>
        </w:rPr>
        <w:t>,</w:t>
      </w:r>
      <w:r w:rsidR="00CA462F">
        <w:rPr>
          <w:rFonts w:ascii="Times New Roman" w:hAnsi="Times New Roman" w:cs="Times New Roman"/>
          <w:sz w:val="28"/>
          <w:szCs w:val="28"/>
        </w:rPr>
        <w:t xml:space="preserve"> “it is not necessary to ask for general or other relief, both of which may be given to the same extent as if they had been asked for</w:t>
      </w:r>
      <w:r w:rsidR="00ED4D2C">
        <w:rPr>
          <w:rFonts w:ascii="Times New Roman" w:hAnsi="Times New Roman" w:cs="Times New Roman"/>
          <w:sz w:val="28"/>
          <w:szCs w:val="28"/>
        </w:rPr>
        <w:t>”</w:t>
      </w:r>
      <w:r w:rsidR="005B6973">
        <w:rPr>
          <w:rFonts w:ascii="Times New Roman" w:hAnsi="Times New Roman" w:cs="Times New Roman"/>
          <w:sz w:val="28"/>
          <w:szCs w:val="28"/>
        </w:rPr>
        <w:t xml:space="preserve"> an</w:t>
      </w:r>
      <w:r w:rsidR="00586C8D">
        <w:rPr>
          <w:rFonts w:ascii="Times New Roman" w:hAnsi="Times New Roman" w:cs="Times New Roman"/>
          <w:sz w:val="28"/>
          <w:szCs w:val="28"/>
        </w:rPr>
        <w:t>d</w:t>
      </w:r>
      <w:r w:rsidR="00E1629A">
        <w:rPr>
          <w:rFonts w:ascii="Times New Roman" w:hAnsi="Times New Roman" w:cs="Times New Roman"/>
          <w:sz w:val="28"/>
          <w:szCs w:val="28"/>
        </w:rPr>
        <w:t xml:space="preserve"> assert that their position that a formal motion is not necessary is consistent with</w:t>
      </w:r>
      <w:r w:rsidR="00A9397B">
        <w:rPr>
          <w:rFonts w:ascii="Times New Roman" w:hAnsi="Times New Roman" w:cs="Times New Roman"/>
          <w:sz w:val="28"/>
          <w:szCs w:val="28"/>
        </w:rPr>
        <w:t xml:space="preserve"> the object of the </w:t>
      </w:r>
      <w:r w:rsidR="00A9397B" w:rsidRPr="008A2E0D">
        <w:rPr>
          <w:rFonts w:ascii="Times New Roman" w:hAnsi="Times New Roman" w:cs="Times New Roman"/>
          <w:i/>
          <w:iCs/>
          <w:sz w:val="28"/>
          <w:szCs w:val="28"/>
        </w:rPr>
        <w:t>Rules</w:t>
      </w:r>
      <w:r w:rsidR="00A9397B">
        <w:rPr>
          <w:rFonts w:ascii="Times New Roman" w:hAnsi="Times New Roman" w:cs="Times New Roman"/>
          <w:sz w:val="28"/>
          <w:szCs w:val="28"/>
        </w:rPr>
        <w:t xml:space="preserve"> </w:t>
      </w:r>
      <w:r w:rsidR="00B025BC">
        <w:rPr>
          <w:rFonts w:ascii="Times New Roman" w:hAnsi="Times New Roman" w:cs="Times New Roman"/>
          <w:sz w:val="28"/>
          <w:szCs w:val="28"/>
        </w:rPr>
        <w:t xml:space="preserve">being to “secure the just, speedy and inexpensive determination of every proceeding”. </w:t>
      </w:r>
    </w:p>
    <w:p w14:paraId="63C2CDDB" w14:textId="581E7B6E" w:rsidR="00CF5258" w:rsidRDefault="00541035" w:rsidP="007F75C3">
      <w:pPr>
        <w:pStyle w:val="ListParagraph"/>
        <w:numPr>
          <w:ilvl w:val="0"/>
          <w:numId w:val="9"/>
        </w:numPr>
        <w:spacing w:after="240" w:line="240" w:lineRule="auto"/>
        <w:ind w:left="0" w:firstLine="0"/>
        <w:contextualSpacing w:val="0"/>
        <w:jc w:val="both"/>
        <w:rPr>
          <w:rFonts w:ascii="Times New Roman" w:hAnsi="Times New Roman" w:cs="Times New Roman"/>
          <w:sz w:val="28"/>
          <w:szCs w:val="28"/>
        </w:rPr>
      </w:pPr>
      <w:r w:rsidRPr="00022B5A">
        <w:rPr>
          <w:rFonts w:ascii="Times New Roman" w:hAnsi="Times New Roman" w:cs="Times New Roman"/>
          <w:sz w:val="28"/>
          <w:szCs w:val="28"/>
        </w:rPr>
        <w:t>I agree with the Defendants</w:t>
      </w:r>
      <w:r w:rsidR="00A72197" w:rsidRPr="00022B5A">
        <w:rPr>
          <w:rFonts w:ascii="Times New Roman" w:hAnsi="Times New Roman" w:cs="Times New Roman"/>
          <w:sz w:val="28"/>
          <w:szCs w:val="28"/>
        </w:rPr>
        <w:t xml:space="preserve"> that, in these </w:t>
      </w:r>
      <w:r w:rsidR="000661A6" w:rsidRPr="00022B5A">
        <w:rPr>
          <w:rFonts w:ascii="Times New Roman" w:hAnsi="Times New Roman" w:cs="Times New Roman"/>
          <w:sz w:val="28"/>
          <w:szCs w:val="28"/>
        </w:rPr>
        <w:t xml:space="preserve">particular </w:t>
      </w:r>
      <w:r w:rsidR="00A72197" w:rsidRPr="00022B5A">
        <w:rPr>
          <w:rFonts w:ascii="Times New Roman" w:hAnsi="Times New Roman" w:cs="Times New Roman"/>
          <w:sz w:val="28"/>
          <w:szCs w:val="28"/>
        </w:rPr>
        <w:t xml:space="preserve">circumstances, a formal motion is not necessary.  </w:t>
      </w:r>
      <w:r w:rsidR="00CF3132" w:rsidRPr="00022B5A">
        <w:rPr>
          <w:rFonts w:ascii="Times New Roman" w:hAnsi="Times New Roman" w:cs="Times New Roman"/>
          <w:sz w:val="28"/>
          <w:szCs w:val="28"/>
        </w:rPr>
        <w:t xml:space="preserve">The request for production of the </w:t>
      </w:r>
      <w:r w:rsidR="006A05B9">
        <w:rPr>
          <w:rFonts w:ascii="Times New Roman" w:hAnsi="Times New Roman" w:cs="Times New Roman"/>
          <w:sz w:val="28"/>
          <w:szCs w:val="28"/>
        </w:rPr>
        <w:t>Consultation Draft</w:t>
      </w:r>
      <w:r w:rsidR="00CF3132" w:rsidRPr="00022B5A">
        <w:rPr>
          <w:rFonts w:ascii="Times New Roman" w:hAnsi="Times New Roman" w:cs="Times New Roman"/>
          <w:sz w:val="28"/>
          <w:szCs w:val="28"/>
        </w:rPr>
        <w:t xml:space="preserve"> flows out of </w:t>
      </w:r>
      <w:r w:rsidR="00E16D40" w:rsidRPr="00022B5A">
        <w:rPr>
          <w:rFonts w:ascii="Times New Roman" w:hAnsi="Times New Roman" w:cs="Times New Roman"/>
          <w:sz w:val="28"/>
          <w:szCs w:val="28"/>
        </w:rPr>
        <w:t>Canada’s motion to strike the reference</w:t>
      </w:r>
      <w:r w:rsidR="006A05B9">
        <w:rPr>
          <w:rFonts w:ascii="Times New Roman" w:hAnsi="Times New Roman" w:cs="Times New Roman"/>
          <w:sz w:val="28"/>
          <w:szCs w:val="28"/>
        </w:rPr>
        <w:t xml:space="preserve"> to the</w:t>
      </w:r>
      <w:r w:rsidR="00D937E2">
        <w:rPr>
          <w:rFonts w:ascii="Times New Roman" w:hAnsi="Times New Roman" w:cs="Times New Roman"/>
          <w:sz w:val="28"/>
          <w:szCs w:val="28"/>
        </w:rPr>
        <w:t xml:space="preserve"> </w:t>
      </w:r>
      <w:r w:rsidR="006A05B9">
        <w:rPr>
          <w:rFonts w:ascii="Times New Roman" w:hAnsi="Times New Roman" w:cs="Times New Roman"/>
          <w:sz w:val="28"/>
          <w:szCs w:val="28"/>
        </w:rPr>
        <w:t xml:space="preserve">Draft </w:t>
      </w:r>
      <w:r w:rsidR="0080233B">
        <w:rPr>
          <w:rFonts w:ascii="Times New Roman" w:hAnsi="Times New Roman" w:cs="Times New Roman"/>
          <w:sz w:val="28"/>
          <w:szCs w:val="28"/>
        </w:rPr>
        <w:t>AIP</w:t>
      </w:r>
      <w:r w:rsidR="00CB6263">
        <w:rPr>
          <w:rFonts w:ascii="Times New Roman" w:hAnsi="Times New Roman" w:cs="Times New Roman"/>
          <w:sz w:val="28"/>
          <w:szCs w:val="28"/>
        </w:rPr>
        <w:t xml:space="preserve"> and Consultation Draft </w:t>
      </w:r>
      <w:r w:rsidR="00E16D40" w:rsidRPr="00022B5A">
        <w:rPr>
          <w:rFonts w:ascii="Times New Roman" w:hAnsi="Times New Roman" w:cs="Times New Roman"/>
          <w:sz w:val="28"/>
          <w:szCs w:val="28"/>
        </w:rPr>
        <w:t xml:space="preserve">and both motions </w:t>
      </w:r>
      <w:r w:rsidR="003E0183" w:rsidRPr="00022B5A">
        <w:rPr>
          <w:rFonts w:ascii="Times New Roman" w:hAnsi="Times New Roman" w:cs="Times New Roman"/>
          <w:sz w:val="28"/>
          <w:szCs w:val="28"/>
        </w:rPr>
        <w:t>touch upon similar</w:t>
      </w:r>
      <w:r w:rsidR="00732418" w:rsidRPr="00022B5A">
        <w:rPr>
          <w:rFonts w:ascii="Times New Roman" w:hAnsi="Times New Roman" w:cs="Times New Roman"/>
          <w:sz w:val="28"/>
          <w:szCs w:val="28"/>
        </w:rPr>
        <w:t xml:space="preserve"> </w:t>
      </w:r>
      <w:r w:rsidR="00E16D40" w:rsidRPr="00022B5A">
        <w:rPr>
          <w:rFonts w:ascii="Times New Roman" w:hAnsi="Times New Roman" w:cs="Times New Roman"/>
          <w:sz w:val="28"/>
          <w:szCs w:val="28"/>
        </w:rPr>
        <w:t xml:space="preserve">issues; namely </w:t>
      </w:r>
      <w:r w:rsidR="00B90669" w:rsidRPr="00022B5A">
        <w:rPr>
          <w:rFonts w:ascii="Times New Roman" w:hAnsi="Times New Roman" w:cs="Times New Roman"/>
          <w:sz w:val="28"/>
          <w:szCs w:val="28"/>
        </w:rPr>
        <w:t xml:space="preserve">whether the Consultation Draft </w:t>
      </w:r>
      <w:r w:rsidR="00844375">
        <w:rPr>
          <w:rFonts w:ascii="Times New Roman" w:hAnsi="Times New Roman" w:cs="Times New Roman"/>
          <w:sz w:val="28"/>
          <w:szCs w:val="28"/>
        </w:rPr>
        <w:t xml:space="preserve">is </w:t>
      </w:r>
      <w:r w:rsidR="00B90669" w:rsidRPr="00022B5A">
        <w:rPr>
          <w:rFonts w:ascii="Times New Roman" w:hAnsi="Times New Roman" w:cs="Times New Roman"/>
          <w:sz w:val="28"/>
          <w:szCs w:val="28"/>
        </w:rPr>
        <w:t xml:space="preserve">shielded from being used in these court proceedings by virtue of settlement privilege, confidentiality </w:t>
      </w:r>
      <w:r w:rsidR="00817F04" w:rsidRPr="00022B5A">
        <w:rPr>
          <w:rFonts w:ascii="Times New Roman" w:hAnsi="Times New Roman" w:cs="Times New Roman"/>
          <w:sz w:val="28"/>
          <w:szCs w:val="28"/>
        </w:rPr>
        <w:t>and relevance</w:t>
      </w:r>
      <w:r w:rsidR="00022B5A">
        <w:rPr>
          <w:rFonts w:ascii="Times New Roman" w:hAnsi="Times New Roman" w:cs="Times New Roman"/>
          <w:sz w:val="28"/>
          <w:szCs w:val="28"/>
        </w:rPr>
        <w:t xml:space="preserve">. </w:t>
      </w:r>
      <w:r w:rsidR="00432E31">
        <w:rPr>
          <w:rFonts w:ascii="Times New Roman" w:hAnsi="Times New Roman" w:cs="Times New Roman"/>
          <w:sz w:val="28"/>
          <w:szCs w:val="28"/>
        </w:rPr>
        <w:t xml:space="preserve"> </w:t>
      </w:r>
      <w:r w:rsidR="00CF4260" w:rsidRPr="00022B5A">
        <w:rPr>
          <w:rFonts w:ascii="Times New Roman" w:hAnsi="Times New Roman" w:cs="Times New Roman"/>
          <w:sz w:val="28"/>
          <w:szCs w:val="28"/>
        </w:rPr>
        <w:t>Moreover, the relief requested by the Defendants is set out in the</w:t>
      </w:r>
      <w:r w:rsidR="00593B93" w:rsidRPr="00022B5A">
        <w:rPr>
          <w:rFonts w:ascii="Times New Roman" w:hAnsi="Times New Roman" w:cs="Times New Roman"/>
          <w:sz w:val="28"/>
          <w:szCs w:val="28"/>
        </w:rPr>
        <w:t xml:space="preserve">ir documents entitled “Partial Production Application”.  </w:t>
      </w:r>
      <w:r w:rsidR="005D1EA2" w:rsidRPr="00022B5A">
        <w:rPr>
          <w:rFonts w:ascii="Times New Roman" w:hAnsi="Times New Roman" w:cs="Times New Roman"/>
          <w:sz w:val="28"/>
          <w:szCs w:val="28"/>
        </w:rPr>
        <w:t xml:space="preserve">This is not a situation where the relief requested </w:t>
      </w:r>
      <w:r w:rsidR="002F0330" w:rsidRPr="00022B5A">
        <w:rPr>
          <w:rFonts w:ascii="Times New Roman" w:hAnsi="Times New Roman" w:cs="Times New Roman"/>
          <w:sz w:val="28"/>
          <w:szCs w:val="28"/>
        </w:rPr>
        <w:t xml:space="preserve">is unclear or can be said to take counsel for the Commissioner and Canada by surprise. </w:t>
      </w:r>
    </w:p>
    <w:p w14:paraId="50329010" w14:textId="085AD84B" w:rsidR="000B77A2" w:rsidRDefault="000B77A2" w:rsidP="007F75C3">
      <w:pPr>
        <w:pStyle w:val="ListParagraph"/>
        <w:numPr>
          <w:ilvl w:val="0"/>
          <w:numId w:val="9"/>
        </w:numPr>
        <w:spacing w:after="240" w:line="240" w:lineRule="auto"/>
        <w:ind w:left="0" w:firstLine="0"/>
        <w:contextualSpacing w:val="0"/>
        <w:jc w:val="both"/>
        <w:rPr>
          <w:rFonts w:ascii="Times New Roman" w:hAnsi="Times New Roman" w:cs="Times New Roman"/>
          <w:sz w:val="28"/>
          <w:szCs w:val="28"/>
        </w:rPr>
      </w:pPr>
      <w:r>
        <w:rPr>
          <w:rFonts w:ascii="Times New Roman" w:hAnsi="Times New Roman" w:cs="Times New Roman"/>
          <w:sz w:val="28"/>
          <w:szCs w:val="28"/>
        </w:rPr>
        <w:t>Pich</w:t>
      </w:r>
      <w:r w:rsidR="00B00471" w:rsidRPr="00B00471">
        <w:rPr>
          <w:rFonts w:ascii="Times New Roman" w:hAnsi="Times New Roman" w:cs="Times New Roman"/>
          <w:sz w:val="28"/>
          <w:szCs w:val="28"/>
        </w:rPr>
        <w:t>é</w:t>
      </w:r>
      <w:r>
        <w:rPr>
          <w:rFonts w:ascii="Times New Roman" w:hAnsi="Times New Roman" w:cs="Times New Roman"/>
          <w:sz w:val="28"/>
          <w:szCs w:val="28"/>
        </w:rPr>
        <w:t xml:space="preserve"> J</w:t>
      </w:r>
      <w:r w:rsidR="006A4120">
        <w:rPr>
          <w:rFonts w:ascii="Times New Roman" w:hAnsi="Times New Roman" w:cs="Times New Roman"/>
          <w:sz w:val="28"/>
          <w:szCs w:val="28"/>
        </w:rPr>
        <w:t xml:space="preserve"> in </w:t>
      </w:r>
      <w:r w:rsidR="006A4120" w:rsidRPr="006A4120">
        <w:rPr>
          <w:rFonts w:ascii="Times New Roman" w:hAnsi="Times New Roman" w:cs="Times New Roman"/>
          <w:i/>
          <w:iCs/>
          <w:sz w:val="28"/>
          <w:szCs w:val="28"/>
        </w:rPr>
        <w:t>Acho Dene Koe First Nation v Paramount Resources Ltd</w:t>
      </w:r>
      <w:r w:rsidR="006A4120" w:rsidRPr="006A4120">
        <w:rPr>
          <w:rFonts w:ascii="Times New Roman" w:hAnsi="Times New Roman" w:cs="Times New Roman"/>
          <w:sz w:val="28"/>
          <w:szCs w:val="28"/>
        </w:rPr>
        <w:t>, 2025 NWTSC 65</w:t>
      </w:r>
      <w:r w:rsidR="00746305">
        <w:rPr>
          <w:rFonts w:ascii="Times New Roman" w:hAnsi="Times New Roman" w:cs="Times New Roman"/>
          <w:sz w:val="28"/>
          <w:szCs w:val="28"/>
        </w:rPr>
        <w:t xml:space="preserve"> dealt with a similar issue</w:t>
      </w:r>
      <w:r w:rsidR="003A5DE7">
        <w:rPr>
          <w:rFonts w:ascii="Times New Roman" w:hAnsi="Times New Roman" w:cs="Times New Roman"/>
          <w:sz w:val="28"/>
          <w:szCs w:val="28"/>
        </w:rPr>
        <w:t xml:space="preserve">; specifically, whether a cross-motion for summary judgment was necessary for her to make a ruling on that issue.  </w:t>
      </w:r>
      <w:r w:rsidR="008373A6">
        <w:rPr>
          <w:rFonts w:ascii="Times New Roman" w:hAnsi="Times New Roman" w:cs="Times New Roman"/>
          <w:sz w:val="28"/>
          <w:szCs w:val="28"/>
        </w:rPr>
        <w:t>Pich</w:t>
      </w:r>
      <w:r w:rsidR="009D07A5" w:rsidRPr="009D07A5">
        <w:rPr>
          <w:rFonts w:ascii="Times New Roman" w:hAnsi="Times New Roman" w:cs="Times New Roman"/>
          <w:sz w:val="28"/>
          <w:szCs w:val="28"/>
        </w:rPr>
        <w:t>é</w:t>
      </w:r>
      <w:r w:rsidR="008373A6">
        <w:rPr>
          <w:rFonts w:ascii="Times New Roman" w:hAnsi="Times New Roman" w:cs="Times New Roman"/>
          <w:sz w:val="28"/>
          <w:szCs w:val="28"/>
        </w:rPr>
        <w:t xml:space="preserve"> J held that </w:t>
      </w:r>
      <w:r w:rsidR="00BD2F1D">
        <w:rPr>
          <w:rFonts w:ascii="Times New Roman" w:hAnsi="Times New Roman" w:cs="Times New Roman"/>
          <w:sz w:val="28"/>
          <w:szCs w:val="28"/>
        </w:rPr>
        <w:t xml:space="preserve">the </w:t>
      </w:r>
      <w:r w:rsidR="00BD2F1D" w:rsidRPr="00891342">
        <w:rPr>
          <w:rFonts w:ascii="Times New Roman" w:hAnsi="Times New Roman" w:cs="Times New Roman"/>
          <w:sz w:val="28"/>
          <w:szCs w:val="28"/>
        </w:rPr>
        <w:t>court</w:t>
      </w:r>
      <w:r w:rsidR="00891342" w:rsidRPr="00891342">
        <w:rPr>
          <w:rFonts w:ascii="Times New Roman" w:hAnsi="Times New Roman" w:cs="Times New Roman"/>
          <w:sz w:val="28"/>
          <w:szCs w:val="28"/>
        </w:rPr>
        <w:t xml:space="preserve"> </w:t>
      </w:r>
      <w:r w:rsidR="00997D53" w:rsidRPr="00891342">
        <w:rPr>
          <w:rFonts w:ascii="Times New Roman" w:hAnsi="Times New Roman" w:cs="Times New Roman"/>
          <w:sz w:val="28"/>
          <w:szCs w:val="28"/>
        </w:rPr>
        <w:t>could</w:t>
      </w:r>
      <w:r w:rsidR="00891342" w:rsidRPr="00891342">
        <w:rPr>
          <w:rFonts w:ascii="Times New Roman" w:hAnsi="Times New Roman" w:cs="Times New Roman"/>
          <w:sz w:val="28"/>
          <w:szCs w:val="28"/>
        </w:rPr>
        <w:t xml:space="preserve"> entertain a cross-application in the absence of a formal motion if it allows for a just and fair determination of the issues in dispute.</w:t>
      </w:r>
      <w:r w:rsidR="004A000E">
        <w:rPr>
          <w:rFonts w:ascii="Times New Roman" w:hAnsi="Times New Roman" w:cs="Times New Roman"/>
          <w:sz w:val="28"/>
          <w:szCs w:val="28"/>
        </w:rPr>
        <w:t xml:space="preserve"> </w:t>
      </w:r>
      <w:r w:rsidR="00432E31">
        <w:rPr>
          <w:rFonts w:ascii="Times New Roman" w:hAnsi="Times New Roman" w:cs="Times New Roman"/>
          <w:sz w:val="28"/>
          <w:szCs w:val="28"/>
        </w:rPr>
        <w:t xml:space="preserve"> </w:t>
      </w:r>
      <w:r w:rsidR="00DD426F" w:rsidRPr="00DD426F">
        <w:rPr>
          <w:rFonts w:ascii="Times New Roman" w:hAnsi="Times New Roman" w:cs="Times New Roman"/>
          <w:sz w:val="28"/>
          <w:szCs w:val="28"/>
        </w:rPr>
        <w:t>As noted by Pich</w:t>
      </w:r>
      <w:r w:rsidR="009D07A5" w:rsidRPr="009D07A5">
        <w:rPr>
          <w:rFonts w:ascii="Times New Roman" w:hAnsi="Times New Roman" w:cs="Times New Roman"/>
          <w:sz w:val="28"/>
          <w:szCs w:val="28"/>
        </w:rPr>
        <w:t>é</w:t>
      </w:r>
      <w:r w:rsidR="00DD426F" w:rsidRPr="00DD426F">
        <w:rPr>
          <w:rFonts w:ascii="Times New Roman" w:hAnsi="Times New Roman" w:cs="Times New Roman"/>
          <w:sz w:val="28"/>
          <w:szCs w:val="28"/>
        </w:rPr>
        <w:t>, J</w:t>
      </w:r>
      <w:r w:rsidR="00DD426F">
        <w:rPr>
          <w:rFonts w:ascii="Times New Roman" w:hAnsi="Times New Roman" w:cs="Times New Roman"/>
          <w:sz w:val="28"/>
          <w:szCs w:val="28"/>
        </w:rPr>
        <w:t xml:space="preserve">, </w:t>
      </w:r>
      <w:r w:rsidR="00DD426F" w:rsidRPr="00DD426F">
        <w:rPr>
          <w:rFonts w:ascii="Times New Roman" w:hAnsi="Times New Roman" w:cs="Times New Roman"/>
          <w:sz w:val="28"/>
          <w:szCs w:val="28"/>
        </w:rPr>
        <w:t>the central issue in the appellate authority</w:t>
      </w:r>
      <w:r w:rsidR="00DD426F">
        <w:rPr>
          <w:rFonts w:ascii="Times New Roman" w:hAnsi="Times New Roman" w:cs="Times New Roman"/>
          <w:sz w:val="28"/>
          <w:szCs w:val="28"/>
        </w:rPr>
        <w:t xml:space="preserve"> addressing the necessity for a motion </w:t>
      </w:r>
      <w:r w:rsidR="00DD426F" w:rsidRPr="00DD426F">
        <w:rPr>
          <w:rFonts w:ascii="Times New Roman" w:hAnsi="Times New Roman" w:cs="Times New Roman"/>
          <w:sz w:val="28"/>
          <w:szCs w:val="28"/>
        </w:rPr>
        <w:t>is one of fairness</w:t>
      </w:r>
      <w:r w:rsidR="00DD426F">
        <w:rPr>
          <w:rFonts w:ascii="Times New Roman" w:hAnsi="Times New Roman" w:cs="Times New Roman"/>
          <w:sz w:val="28"/>
          <w:szCs w:val="28"/>
        </w:rPr>
        <w:t xml:space="preserve"> to the litigants: </w:t>
      </w:r>
      <w:r w:rsidR="004C6D25">
        <w:rPr>
          <w:rFonts w:ascii="Times New Roman" w:hAnsi="Times New Roman" w:cs="Times New Roman"/>
          <w:sz w:val="28"/>
          <w:szCs w:val="28"/>
        </w:rPr>
        <w:t xml:space="preserve"> </w:t>
      </w:r>
      <w:r w:rsidR="00367516" w:rsidRPr="00E7089C">
        <w:rPr>
          <w:rFonts w:ascii="Times New Roman" w:hAnsi="Times New Roman" w:cs="Times New Roman"/>
          <w:i/>
          <w:iCs/>
          <w:sz w:val="28"/>
          <w:szCs w:val="28"/>
        </w:rPr>
        <w:t>Acho Dene</w:t>
      </w:r>
      <w:r w:rsidR="00367516">
        <w:rPr>
          <w:rFonts w:ascii="Times New Roman" w:hAnsi="Times New Roman" w:cs="Times New Roman"/>
          <w:sz w:val="28"/>
          <w:szCs w:val="28"/>
        </w:rPr>
        <w:t xml:space="preserve"> at para </w:t>
      </w:r>
      <w:r w:rsidR="00C75E07">
        <w:rPr>
          <w:rFonts w:ascii="Times New Roman" w:hAnsi="Times New Roman" w:cs="Times New Roman"/>
          <w:sz w:val="28"/>
          <w:szCs w:val="28"/>
        </w:rPr>
        <w:t xml:space="preserve">30 to 36, relying on </w:t>
      </w:r>
      <w:r w:rsidR="004A000E" w:rsidRPr="00C75E07">
        <w:rPr>
          <w:rFonts w:ascii="Times New Roman" w:hAnsi="Times New Roman" w:cs="Times New Roman"/>
          <w:i/>
          <w:iCs/>
          <w:sz w:val="28"/>
          <w:szCs w:val="28"/>
        </w:rPr>
        <w:t>Pyrrha Design Inc v Plum and Posey Inc</w:t>
      </w:r>
      <w:r w:rsidR="004A000E" w:rsidRPr="004A000E">
        <w:rPr>
          <w:rFonts w:ascii="Times New Roman" w:hAnsi="Times New Roman" w:cs="Times New Roman"/>
          <w:sz w:val="28"/>
          <w:szCs w:val="28"/>
        </w:rPr>
        <w:t>, 2016 ABCA 12</w:t>
      </w:r>
      <w:r w:rsidR="005E718E">
        <w:rPr>
          <w:rFonts w:ascii="Times New Roman" w:hAnsi="Times New Roman" w:cs="Times New Roman"/>
          <w:sz w:val="28"/>
          <w:szCs w:val="28"/>
        </w:rPr>
        <w:t>;</w:t>
      </w:r>
      <w:r w:rsidR="00784765">
        <w:rPr>
          <w:rFonts w:ascii="Times New Roman" w:hAnsi="Times New Roman" w:cs="Times New Roman"/>
          <w:sz w:val="28"/>
          <w:szCs w:val="28"/>
        </w:rPr>
        <w:t xml:space="preserve"> </w:t>
      </w:r>
      <w:r w:rsidR="00784765" w:rsidRPr="00784765">
        <w:rPr>
          <w:rFonts w:ascii="Times New Roman" w:hAnsi="Times New Roman" w:cs="Times New Roman"/>
          <w:i/>
          <w:iCs/>
          <w:sz w:val="28"/>
          <w:szCs w:val="28"/>
        </w:rPr>
        <w:t>Drummond v Cadillac Fairview Corporation Limited</w:t>
      </w:r>
      <w:r w:rsidR="00784765" w:rsidRPr="00784765">
        <w:rPr>
          <w:rFonts w:ascii="Times New Roman" w:hAnsi="Times New Roman" w:cs="Times New Roman"/>
          <w:sz w:val="28"/>
          <w:szCs w:val="28"/>
        </w:rPr>
        <w:t>, 2019 ONCA 447</w:t>
      </w:r>
      <w:r w:rsidR="005E718E" w:rsidRPr="005E718E">
        <w:rPr>
          <w:rFonts w:ascii="Times New Roman" w:hAnsi="Times New Roman" w:cs="Times New Roman"/>
          <w:sz w:val="28"/>
          <w:szCs w:val="28"/>
        </w:rPr>
        <w:t xml:space="preserve">, </w:t>
      </w:r>
      <w:r w:rsidR="00DE7060">
        <w:rPr>
          <w:rFonts w:ascii="Times New Roman" w:hAnsi="Times New Roman" w:cs="Times New Roman"/>
          <w:sz w:val="28"/>
          <w:szCs w:val="28"/>
        </w:rPr>
        <w:t xml:space="preserve">and </w:t>
      </w:r>
      <w:r w:rsidR="005E718E" w:rsidRPr="005E718E">
        <w:rPr>
          <w:rFonts w:ascii="Times New Roman" w:hAnsi="Times New Roman" w:cs="Times New Roman"/>
          <w:i/>
          <w:iCs/>
          <w:sz w:val="28"/>
          <w:szCs w:val="28"/>
        </w:rPr>
        <w:t>Abrams v RTO Asset Management</w:t>
      </w:r>
      <w:r w:rsidR="005E718E" w:rsidRPr="005E718E">
        <w:rPr>
          <w:rFonts w:ascii="Times New Roman" w:hAnsi="Times New Roman" w:cs="Times New Roman"/>
          <w:sz w:val="28"/>
          <w:szCs w:val="28"/>
        </w:rPr>
        <w:t>, 2020 NBCA 57 (leave to appeal to SCC refused, 2021 CanLII 20336 (SCC</w:t>
      </w:r>
      <w:r w:rsidR="00E7089C">
        <w:rPr>
          <w:rFonts w:ascii="Times New Roman" w:hAnsi="Times New Roman" w:cs="Times New Roman"/>
          <w:sz w:val="28"/>
          <w:szCs w:val="28"/>
        </w:rPr>
        <w:t xml:space="preserve">)).  </w:t>
      </w:r>
    </w:p>
    <w:p w14:paraId="5E7FFF60" w14:textId="66619AF5" w:rsidR="00F332DC" w:rsidRDefault="00F3166C" w:rsidP="007F75C3">
      <w:pPr>
        <w:pStyle w:val="ListParagraph"/>
        <w:numPr>
          <w:ilvl w:val="0"/>
          <w:numId w:val="9"/>
        </w:numPr>
        <w:spacing w:after="240" w:line="240" w:lineRule="auto"/>
        <w:ind w:left="0" w:firstLine="0"/>
        <w:contextualSpacing w:val="0"/>
        <w:jc w:val="both"/>
        <w:rPr>
          <w:rFonts w:ascii="Times New Roman" w:hAnsi="Times New Roman" w:cs="Times New Roman"/>
          <w:sz w:val="28"/>
          <w:szCs w:val="28"/>
        </w:rPr>
      </w:pPr>
      <w:r>
        <w:rPr>
          <w:rFonts w:ascii="Times New Roman" w:hAnsi="Times New Roman" w:cs="Times New Roman"/>
          <w:sz w:val="28"/>
          <w:szCs w:val="28"/>
        </w:rPr>
        <w:t xml:space="preserve">With respect to the </w:t>
      </w:r>
      <w:r w:rsidRPr="002928E9">
        <w:rPr>
          <w:rFonts w:ascii="Times New Roman" w:hAnsi="Times New Roman" w:cs="Times New Roman"/>
          <w:sz w:val="28"/>
          <w:szCs w:val="28"/>
        </w:rPr>
        <w:t>Canada’s</w:t>
      </w:r>
      <w:r>
        <w:rPr>
          <w:rFonts w:ascii="Times New Roman" w:hAnsi="Times New Roman" w:cs="Times New Roman"/>
          <w:sz w:val="28"/>
          <w:szCs w:val="28"/>
        </w:rPr>
        <w:t xml:space="preserve"> </w:t>
      </w:r>
      <w:r w:rsidR="00500E2D">
        <w:rPr>
          <w:rFonts w:ascii="Times New Roman" w:hAnsi="Times New Roman" w:cs="Times New Roman"/>
          <w:sz w:val="28"/>
          <w:szCs w:val="28"/>
        </w:rPr>
        <w:t>position that</w:t>
      </w:r>
      <w:r>
        <w:rPr>
          <w:rFonts w:ascii="Times New Roman" w:hAnsi="Times New Roman" w:cs="Times New Roman"/>
          <w:sz w:val="28"/>
          <w:szCs w:val="28"/>
        </w:rPr>
        <w:t xml:space="preserve"> </w:t>
      </w:r>
      <w:r w:rsidR="00395DB3">
        <w:rPr>
          <w:rFonts w:ascii="Times New Roman" w:hAnsi="Times New Roman" w:cs="Times New Roman"/>
          <w:sz w:val="28"/>
          <w:szCs w:val="28"/>
        </w:rPr>
        <w:t xml:space="preserve">the </w:t>
      </w:r>
      <w:r w:rsidR="00395DB3" w:rsidRPr="002928E9">
        <w:rPr>
          <w:rFonts w:ascii="Times New Roman" w:hAnsi="Times New Roman" w:cs="Times New Roman"/>
          <w:i/>
          <w:iCs/>
          <w:sz w:val="28"/>
          <w:szCs w:val="28"/>
        </w:rPr>
        <w:t>Rules</w:t>
      </w:r>
      <w:r w:rsidR="00395DB3">
        <w:rPr>
          <w:rFonts w:ascii="Times New Roman" w:hAnsi="Times New Roman" w:cs="Times New Roman"/>
          <w:sz w:val="28"/>
          <w:szCs w:val="28"/>
        </w:rPr>
        <w:t xml:space="preserve"> require that a </w:t>
      </w:r>
      <w:r>
        <w:rPr>
          <w:rFonts w:ascii="Times New Roman" w:hAnsi="Times New Roman" w:cs="Times New Roman"/>
          <w:sz w:val="28"/>
          <w:szCs w:val="28"/>
        </w:rPr>
        <w:t>motion should be accompanied by affidavit evidence</w:t>
      </w:r>
      <w:r w:rsidR="00395DB3">
        <w:rPr>
          <w:rFonts w:ascii="Times New Roman" w:hAnsi="Times New Roman" w:cs="Times New Roman"/>
          <w:sz w:val="28"/>
          <w:szCs w:val="28"/>
        </w:rPr>
        <w:t xml:space="preserve">, </w:t>
      </w:r>
      <w:r w:rsidR="00F76A17">
        <w:rPr>
          <w:rFonts w:ascii="Times New Roman" w:hAnsi="Times New Roman" w:cs="Times New Roman"/>
          <w:sz w:val="28"/>
          <w:szCs w:val="28"/>
        </w:rPr>
        <w:t xml:space="preserve">I agree that typically this is required.  The rationale for requiring affidavit evidence is so that the record fully reflects the evidentiary foundation for any order made.  </w:t>
      </w:r>
      <w:r w:rsidR="00F10492">
        <w:rPr>
          <w:rFonts w:ascii="Times New Roman" w:hAnsi="Times New Roman" w:cs="Times New Roman"/>
          <w:sz w:val="28"/>
          <w:szCs w:val="28"/>
        </w:rPr>
        <w:t>However, in this case, the Defendants request for production flows out of Canada’s motion to strike, which motion is accompanied by the affidavit of Patricia E</w:t>
      </w:r>
      <w:r w:rsidR="00012446">
        <w:rPr>
          <w:rFonts w:ascii="Times New Roman" w:hAnsi="Times New Roman" w:cs="Times New Roman"/>
          <w:sz w:val="28"/>
          <w:szCs w:val="28"/>
        </w:rPr>
        <w:t>eles.</w:t>
      </w:r>
      <w:r w:rsidR="00F10492">
        <w:rPr>
          <w:rFonts w:ascii="Times New Roman" w:hAnsi="Times New Roman" w:cs="Times New Roman"/>
          <w:sz w:val="28"/>
          <w:szCs w:val="28"/>
        </w:rPr>
        <w:t xml:space="preserve">  Ms. E</w:t>
      </w:r>
      <w:r w:rsidR="00012446">
        <w:rPr>
          <w:rFonts w:ascii="Times New Roman" w:hAnsi="Times New Roman" w:cs="Times New Roman"/>
          <w:sz w:val="28"/>
          <w:szCs w:val="28"/>
        </w:rPr>
        <w:t>eles</w:t>
      </w:r>
      <w:r w:rsidR="00F10492">
        <w:rPr>
          <w:rFonts w:ascii="Times New Roman" w:hAnsi="Times New Roman" w:cs="Times New Roman"/>
          <w:sz w:val="28"/>
          <w:szCs w:val="28"/>
        </w:rPr>
        <w:t xml:space="preserve"> affidavit sets forth the </w:t>
      </w:r>
      <w:r w:rsidR="003072B5">
        <w:rPr>
          <w:rFonts w:ascii="Times New Roman" w:hAnsi="Times New Roman" w:cs="Times New Roman"/>
          <w:sz w:val="28"/>
          <w:szCs w:val="28"/>
        </w:rPr>
        <w:lastRenderedPageBreak/>
        <w:t>process being followed in the AIP negotiations</w:t>
      </w:r>
      <w:r w:rsidR="00CE29E2">
        <w:rPr>
          <w:rFonts w:ascii="Times New Roman" w:hAnsi="Times New Roman" w:cs="Times New Roman"/>
          <w:sz w:val="28"/>
          <w:szCs w:val="28"/>
        </w:rPr>
        <w:t xml:space="preserve">.  </w:t>
      </w:r>
      <w:r w:rsidR="00E67AD5">
        <w:rPr>
          <w:rFonts w:ascii="Times New Roman" w:hAnsi="Times New Roman" w:cs="Times New Roman"/>
          <w:sz w:val="28"/>
          <w:szCs w:val="28"/>
        </w:rPr>
        <w:t xml:space="preserve">That affidavit, coupled with the pleadings filed to date, provide a sufficient evidentiary foundation to allow me to decide the issue before the Court. </w:t>
      </w:r>
    </w:p>
    <w:p w14:paraId="2F3BDEE3" w14:textId="2F483117" w:rsidR="000D7CB3" w:rsidRPr="00F332DC" w:rsidRDefault="00F332DC" w:rsidP="00477B77">
      <w:pPr>
        <w:spacing w:after="240" w:line="240" w:lineRule="auto"/>
        <w:jc w:val="both"/>
        <w:rPr>
          <w:rFonts w:ascii="Times New Roman" w:hAnsi="Times New Roman" w:cs="Times New Roman"/>
          <w:sz w:val="28"/>
          <w:szCs w:val="28"/>
        </w:rPr>
      </w:pPr>
      <w:r>
        <w:rPr>
          <w:rFonts w:ascii="Times New Roman" w:hAnsi="Times New Roman" w:cs="Times New Roman"/>
          <w:b/>
          <w:bCs/>
          <w:i/>
          <w:iCs/>
          <w:sz w:val="28"/>
          <w:szCs w:val="28"/>
        </w:rPr>
        <w:t>Weight to be given to unsupported factual allegations</w:t>
      </w:r>
      <w:r w:rsidR="00012446">
        <w:rPr>
          <w:rFonts w:ascii="Times New Roman" w:hAnsi="Times New Roman" w:cs="Times New Roman"/>
          <w:sz w:val="28"/>
          <w:szCs w:val="28"/>
        </w:rPr>
        <w:t xml:space="preserve"> </w:t>
      </w:r>
    </w:p>
    <w:p w14:paraId="3D8E20DC" w14:textId="4B7F380F" w:rsidR="00A95C81" w:rsidRDefault="00A95C81" w:rsidP="00BE5519">
      <w:pPr>
        <w:pStyle w:val="ListParagraph"/>
        <w:numPr>
          <w:ilvl w:val="0"/>
          <w:numId w:val="9"/>
        </w:numPr>
        <w:spacing w:after="240" w:line="240" w:lineRule="auto"/>
        <w:ind w:left="0" w:firstLine="0"/>
        <w:contextualSpacing w:val="0"/>
        <w:jc w:val="both"/>
        <w:rPr>
          <w:rFonts w:ascii="Times New Roman" w:hAnsi="Times New Roman" w:cs="Times New Roman"/>
          <w:sz w:val="28"/>
          <w:szCs w:val="28"/>
        </w:rPr>
      </w:pPr>
      <w:r>
        <w:rPr>
          <w:rFonts w:ascii="Times New Roman" w:hAnsi="Times New Roman" w:cs="Times New Roman"/>
          <w:sz w:val="28"/>
          <w:szCs w:val="28"/>
        </w:rPr>
        <w:t xml:space="preserve">Canada also asserts </w:t>
      </w:r>
      <w:r w:rsidR="006E66CC">
        <w:rPr>
          <w:rFonts w:ascii="Times New Roman" w:hAnsi="Times New Roman" w:cs="Times New Roman"/>
          <w:sz w:val="28"/>
          <w:szCs w:val="28"/>
        </w:rPr>
        <w:t xml:space="preserve">that </w:t>
      </w:r>
      <w:r>
        <w:rPr>
          <w:rFonts w:ascii="Times New Roman" w:hAnsi="Times New Roman" w:cs="Times New Roman"/>
          <w:sz w:val="28"/>
          <w:szCs w:val="28"/>
        </w:rPr>
        <w:t xml:space="preserve">the </w:t>
      </w:r>
      <w:r w:rsidR="0044389D">
        <w:rPr>
          <w:rFonts w:ascii="Times New Roman" w:hAnsi="Times New Roman" w:cs="Times New Roman"/>
          <w:sz w:val="28"/>
          <w:szCs w:val="28"/>
        </w:rPr>
        <w:t>Defendants, in</w:t>
      </w:r>
      <w:r w:rsidR="00D17905">
        <w:rPr>
          <w:rFonts w:ascii="Times New Roman" w:hAnsi="Times New Roman" w:cs="Times New Roman"/>
          <w:sz w:val="28"/>
          <w:szCs w:val="28"/>
        </w:rPr>
        <w:t xml:space="preserve"> their response to Canada’s motion to strik</w:t>
      </w:r>
      <w:r w:rsidR="00BD457F">
        <w:rPr>
          <w:rFonts w:ascii="Times New Roman" w:hAnsi="Times New Roman" w:cs="Times New Roman"/>
          <w:sz w:val="28"/>
          <w:szCs w:val="28"/>
        </w:rPr>
        <w:t>e,</w:t>
      </w:r>
      <w:r w:rsidR="009E3496">
        <w:rPr>
          <w:rFonts w:ascii="Times New Roman" w:hAnsi="Times New Roman" w:cs="Times New Roman"/>
          <w:sz w:val="28"/>
          <w:szCs w:val="28"/>
        </w:rPr>
        <w:t xml:space="preserve"> </w:t>
      </w:r>
      <w:r w:rsidR="00BD457F">
        <w:rPr>
          <w:rFonts w:ascii="Times New Roman" w:hAnsi="Times New Roman" w:cs="Times New Roman"/>
          <w:sz w:val="28"/>
          <w:szCs w:val="28"/>
        </w:rPr>
        <w:t xml:space="preserve">refer </w:t>
      </w:r>
      <w:r>
        <w:rPr>
          <w:rFonts w:ascii="Times New Roman" w:hAnsi="Times New Roman" w:cs="Times New Roman"/>
          <w:sz w:val="28"/>
          <w:szCs w:val="28"/>
        </w:rPr>
        <w:t>to facts which are not in evidence</w:t>
      </w:r>
      <w:r w:rsidR="006B0C3C">
        <w:rPr>
          <w:rFonts w:ascii="Times New Roman" w:hAnsi="Times New Roman" w:cs="Times New Roman"/>
          <w:sz w:val="28"/>
          <w:szCs w:val="28"/>
        </w:rPr>
        <w:t xml:space="preserve">.  </w:t>
      </w:r>
      <w:r w:rsidR="00B1687F">
        <w:rPr>
          <w:rFonts w:ascii="Times New Roman" w:hAnsi="Times New Roman" w:cs="Times New Roman"/>
          <w:sz w:val="28"/>
          <w:szCs w:val="28"/>
        </w:rPr>
        <w:t xml:space="preserve">Canada takes the position that the unsupported </w:t>
      </w:r>
      <w:r w:rsidR="006B0C3C">
        <w:rPr>
          <w:rFonts w:ascii="Times New Roman" w:hAnsi="Times New Roman" w:cs="Times New Roman"/>
          <w:sz w:val="28"/>
          <w:szCs w:val="28"/>
        </w:rPr>
        <w:t>facts should be</w:t>
      </w:r>
      <w:r>
        <w:rPr>
          <w:rFonts w:ascii="Times New Roman" w:hAnsi="Times New Roman" w:cs="Times New Roman"/>
          <w:sz w:val="28"/>
          <w:szCs w:val="28"/>
        </w:rPr>
        <w:t xml:space="preserve"> disregarded by the Court.  </w:t>
      </w:r>
      <w:r w:rsidR="00B6743E">
        <w:rPr>
          <w:rFonts w:ascii="Times New Roman" w:hAnsi="Times New Roman" w:cs="Times New Roman"/>
          <w:sz w:val="28"/>
          <w:szCs w:val="28"/>
        </w:rPr>
        <w:t xml:space="preserve">In response, the Defendants assert that the factual assertions raised by them arise from either the court record or from public documents. </w:t>
      </w:r>
    </w:p>
    <w:p w14:paraId="5E395114" w14:textId="275FDEE5" w:rsidR="00B6743E" w:rsidRDefault="00AC38D1" w:rsidP="00BE5519">
      <w:pPr>
        <w:pStyle w:val="ListParagraph"/>
        <w:numPr>
          <w:ilvl w:val="0"/>
          <w:numId w:val="9"/>
        </w:numPr>
        <w:spacing w:after="240" w:line="240" w:lineRule="auto"/>
        <w:ind w:left="0" w:firstLine="0"/>
        <w:contextualSpacing w:val="0"/>
        <w:jc w:val="both"/>
        <w:rPr>
          <w:rFonts w:ascii="Times New Roman" w:hAnsi="Times New Roman" w:cs="Times New Roman"/>
          <w:sz w:val="28"/>
          <w:szCs w:val="28"/>
        </w:rPr>
      </w:pPr>
      <w:r>
        <w:rPr>
          <w:rFonts w:ascii="Times New Roman" w:hAnsi="Times New Roman" w:cs="Times New Roman"/>
          <w:sz w:val="28"/>
          <w:szCs w:val="28"/>
        </w:rPr>
        <w:t xml:space="preserve">I have reviewed carefully the </w:t>
      </w:r>
      <w:r w:rsidR="009E3496">
        <w:rPr>
          <w:rFonts w:ascii="Times New Roman" w:hAnsi="Times New Roman" w:cs="Times New Roman"/>
          <w:sz w:val="28"/>
          <w:szCs w:val="28"/>
        </w:rPr>
        <w:t xml:space="preserve">Defendants’ response, including the provisions </w:t>
      </w:r>
      <w:r w:rsidR="00383DF7">
        <w:rPr>
          <w:rFonts w:ascii="Times New Roman" w:hAnsi="Times New Roman" w:cs="Times New Roman"/>
          <w:sz w:val="28"/>
          <w:szCs w:val="28"/>
        </w:rPr>
        <w:t xml:space="preserve">with which Canada takes exception.  To the extent that the provisions include speculation </w:t>
      </w:r>
      <w:r w:rsidR="0039531B">
        <w:rPr>
          <w:rFonts w:ascii="Times New Roman" w:hAnsi="Times New Roman" w:cs="Times New Roman"/>
          <w:sz w:val="28"/>
          <w:szCs w:val="28"/>
        </w:rPr>
        <w:t xml:space="preserve">about </w:t>
      </w:r>
      <w:r w:rsidR="009154BC">
        <w:rPr>
          <w:rFonts w:ascii="Times New Roman" w:hAnsi="Times New Roman" w:cs="Times New Roman"/>
          <w:sz w:val="28"/>
          <w:szCs w:val="28"/>
        </w:rPr>
        <w:t>the possible contents of the Consultation Draft (paragraph 6</w:t>
      </w:r>
      <w:r w:rsidR="002D5819">
        <w:rPr>
          <w:rFonts w:ascii="Times New Roman" w:hAnsi="Times New Roman" w:cs="Times New Roman"/>
          <w:sz w:val="28"/>
          <w:szCs w:val="28"/>
        </w:rPr>
        <w:t xml:space="preserve">, </w:t>
      </w:r>
      <w:r w:rsidR="00AC3CC3">
        <w:rPr>
          <w:rFonts w:ascii="Times New Roman" w:hAnsi="Times New Roman" w:cs="Times New Roman"/>
          <w:sz w:val="28"/>
          <w:szCs w:val="28"/>
        </w:rPr>
        <w:t xml:space="preserve">38, </w:t>
      </w:r>
      <w:r w:rsidR="002D5819">
        <w:rPr>
          <w:rFonts w:ascii="Times New Roman" w:hAnsi="Times New Roman" w:cs="Times New Roman"/>
          <w:sz w:val="28"/>
          <w:szCs w:val="28"/>
        </w:rPr>
        <w:t>39</w:t>
      </w:r>
      <w:r w:rsidR="00B44906">
        <w:rPr>
          <w:rFonts w:ascii="Times New Roman" w:hAnsi="Times New Roman" w:cs="Times New Roman"/>
          <w:sz w:val="28"/>
          <w:szCs w:val="28"/>
        </w:rPr>
        <w:t>)</w:t>
      </w:r>
      <w:r w:rsidR="009154BC">
        <w:rPr>
          <w:rFonts w:ascii="Times New Roman" w:hAnsi="Times New Roman" w:cs="Times New Roman"/>
          <w:sz w:val="28"/>
          <w:szCs w:val="28"/>
        </w:rPr>
        <w:t xml:space="preserve"> or the role of </w:t>
      </w:r>
      <w:r w:rsidR="00733ED1">
        <w:rPr>
          <w:rFonts w:ascii="Times New Roman" w:hAnsi="Times New Roman" w:cs="Times New Roman"/>
          <w:sz w:val="28"/>
          <w:szCs w:val="28"/>
        </w:rPr>
        <w:t xml:space="preserve">counsel for </w:t>
      </w:r>
      <w:r w:rsidR="00726A21">
        <w:rPr>
          <w:rFonts w:ascii="Times New Roman" w:hAnsi="Times New Roman" w:cs="Times New Roman"/>
          <w:sz w:val="28"/>
          <w:szCs w:val="28"/>
        </w:rPr>
        <w:t>the ADFN</w:t>
      </w:r>
      <w:r w:rsidR="006B595B">
        <w:rPr>
          <w:rFonts w:ascii="Times New Roman" w:hAnsi="Times New Roman" w:cs="Times New Roman"/>
          <w:sz w:val="28"/>
          <w:szCs w:val="28"/>
        </w:rPr>
        <w:t xml:space="preserve">, Canada and the GNWT </w:t>
      </w:r>
      <w:r w:rsidR="00726A21">
        <w:rPr>
          <w:rFonts w:ascii="Times New Roman" w:hAnsi="Times New Roman" w:cs="Times New Roman"/>
          <w:sz w:val="28"/>
          <w:szCs w:val="28"/>
        </w:rPr>
        <w:t>(para 17</w:t>
      </w:r>
      <w:r w:rsidR="003435C3">
        <w:rPr>
          <w:rFonts w:ascii="Times New Roman" w:hAnsi="Times New Roman" w:cs="Times New Roman"/>
          <w:sz w:val="28"/>
          <w:szCs w:val="28"/>
        </w:rPr>
        <w:t>, 32</w:t>
      </w:r>
      <w:r w:rsidR="00C46397">
        <w:rPr>
          <w:rFonts w:ascii="Times New Roman" w:hAnsi="Times New Roman" w:cs="Times New Roman"/>
          <w:sz w:val="28"/>
          <w:szCs w:val="28"/>
        </w:rPr>
        <w:t>, 33</w:t>
      </w:r>
      <w:r w:rsidR="00FE682A">
        <w:rPr>
          <w:rFonts w:ascii="Times New Roman" w:hAnsi="Times New Roman" w:cs="Times New Roman"/>
          <w:sz w:val="28"/>
          <w:szCs w:val="28"/>
        </w:rPr>
        <w:t>, 37</w:t>
      </w:r>
      <w:r w:rsidR="00CD3832">
        <w:rPr>
          <w:rFonts w:ascii="Times New Roman" w:hAnsi="Times New Roman" w:cs="Times New Roman"/>
          <w:sz w:val="28"/>
          <w:szCs w:val="28"/>
        </w:rPr>
        <w:t xml:space="preserve">) </w:t>
      </w:r>
      <w:r w:rsidR="002727C1">
        <w:rPr>
          <w:rFonts w:ascii="Times New Roman" w:hAnsi="Times New Roman" w:cs="Times New Roman"/>
          <w:sz w:val="28"/>
          <w:szCs w:val="28"/>
        </w:rPr>
        <w:t xml:space="preserve">I have disregarded those comments.  </w:t>
      </w:r>
      <w:r w:rsidR="0015525A">
        <w:rPr>
          <w:rFonts w:ascii="Times New Roman" w:hAnsi="Times New Roman" w:cs="Times New Roman"/>
          <w:sz w:val="28"/>
          <w:szCs w:val="28"/>
        </w:rPr>
        <w:t xml:space="preserve">In my view, and without deciding the issue, speculation as to whether any other counsel are in a conflict of interest </w:t>
      </w:r>
      <w:r w:rsidR="00097C28">
        <w:rPr>
          <w:rFonts w:ascii="Times New Roman" w:hAnsi="Times New Roman" w:cs="Times New Roman"/>
          <w:sz w:val="28"/>
          <w:szCs w:val="28"/>
        </w:rPr>
        <w:t>may be relevant to addressing the Conflict of Interest Application but it is not relevant to a decision on the issue before me today.  Again, I caution that I am not deciding the issue of relevance of those allegations; simply finding that they are not relevant to deciding Canada’s motion</w:t>
      </w:r>
      <w:r w:rsidR="008455AA">
        <w:rPr>
          <w:rFonts w:ascii="Times New Roman" w:hAnsi="Times New Roman" w:cs="Times New Roman"/>
          <w:sz w:val="28"/>
          <w:szCs w:val="28"/>
        </w:rPr>
        <w:t xml:space="preserve"> to strike. </w:t>
      </w:r>
    </w:p>
    <w:p w14:paraId="4E44FB28" w14:textId="6F10BBC6" w:rsidR="008455AA" w:rsidRDefault="009855C6" w:rsidP="00BE5519">
      <w:pPr>
        <w:pStyle w:val="ListParagraph"/>
        <w:numPr>
          <w:ilvl w:val="0"/>
          <w:numId w:val="9"/>
        </w:numPr>
        <w:spacing w:after="240" w:line="240" w:lineRule="auto"/>
        <w:ind w:left="0" w:firstLine="0"/>
        <w:contextualSpacing w:val="0"/>
        <w:jc w:val="both"/>
        <w:rPr>
          <w:rFonts w:ascii="Times New Roman" w:hAnsi="Times New Roman" w:cs="Times New Roman"/>
          <w:sz w:val="28"/>
          <w:szCs w:val="28"/>
        </w:rPr>
      </w:pPr>
      <w:r>
        <w:rPr>
          <w:rFonts w:ascii="Times New Roman" w:hAnsi="Times New Roman" w:cs="Times New Roman"/>
          <w:sz w:val="28"/>
          <w:szCs w:val="28"/>
        </w:rPr>
        <w:t xml:space="preserve">Canada also objects to </w:t>
      </w:r>
      <w:r w:rsidR="00CE60C9">
        <w:rPr>
          <w:rFonts w:ascii="Times New Roman" w:hAnsi="Times New Roman" w:cs="Times New Roman"/>
          <w:sz w:val="28"/>
          <w:szCs w:val="28"/>
        </w:rPr>
        <w:t xml:space="preserve">the Defendant’s reference to </w:t>
      </w:r>
      <w:r w:rsidR="00BB396F">
        <w:rPr>
          <w:rFonts w:ascii="Times New Roman" w:hAnsi="Times New Roman" w:cs="Times New Roman"/>
          <w:sz w:val="28"/>
          <w:szCs w:val="28"/>
        </w:rPr>
        <w:t xml:space="preserve">the Salt River First Nation Treaty </w:t>
      </w:r>
      <w:r w:rsidR="00D463A8">
        <w:rPr>
          <w:rFonts w:ascii="Times New Roman" w:hAnsi="Times New Roman" w:cs="Times New Roman"/>
          <w:sz w:val="28"/>
          <w:szCs w:val="28"/>
        </w:rPr>
        <w:t xml:space="preserve">Settlement Agreement on the basis that </w:t>
      </w:r>
      <w:r w:rsidR="00172EB7">
        <w:rPr>
          <w:rFonts w:ascii="Times New Roman" w:hAnsi="Times New Roman" w:cs="Times New Roman"/>
          <w:sz w:val="28"/>
          <w:szCs w:val="28"/>
        </w:rPr>
        <w:t xml:space="preserve">there is no evidence as to that agreement before the Court.  In response, the Defendants assert that the Salt River First Nation Treaty Settlement Agreement </w:t>
      </w:r>
      <w:r w:rsidR="00AA34BC">
        <w:rPr>
          <w:rFonts w:ascii="Times New Roman" w:hAnsi="Times New Roman" w:cs="Times New Roman"/>
          <w:sz w:val="28"/>
          <w:szCs w:val="28"/>
        </w:rPr>
        <w:t xml:space="preserve">is a public document </w:t>
      </w:r>
      <w:r w:rsidR="00A367C0">
        <w:rPr>
          <w:rFonts w:ascii="Times New Roman" w:hAnsi="Times New Roman" w:cs="Times New Roman"/>
          <w:sz w:val="28"/>
          <w:szCs w:val="28"/>
        </w:rPr>
        <w:t xml:space="preserve">and thereby admissible. </w:t>
      </w:r>
    </w:p>
    <w:p w14:paraId="70808CA8" w14:textId="0D3B1959" w:rsidR="00377952" w:rsidRDefault="00A367C0" w:rsidP="00BE5519">
      <w:pPr>
        <w:pStyle w:val="ListParagraph"/>
        <w:numPr>
          <w:ilvl w:val="0"/>
          <w:numId w:val="9"/>
        </w:numPr>
        <w:spacing w:after="240" w:line="240" w:lineRule="auto"/>
        <w:ind w:left="0" w:firstLine="0"/>
        <w:contextualSpacing w:val="0"/>
        <w:jc w:val="both"/>
        <w:rPr>
          <w:rFonts w:ascii="Times New Roman" w:hAnsi="Times New Roman" w:cs="Times New Roman"/>
          <w:sz w:val="28"/>
          <w:szCs w:val="28"/>
        </w:rPr>
      </w:pPr>
      <w:r w:rsidRPr="00A367C0">
        <w:rPr>
          <w:rFonts w:ascii="Times New Roman" w:hAnsi="Times New Roman" w:cs="Times New Roman"/>
          <w:sz w:val="28"/>
          <w:szCs w:val="28"/>
        </w:rPr>
        <w:t>At common law, public documents are an exception to the hearsay rule and are admissible as proof of their contents based on their inherent reliability and the impracticality of requiring public officials to testify to their authenticity</w:t>
      </w:r>
      <w:r w:rsidR="00E84B94">
        <w:rPr>
          <w:rFonts w:ascii="Times New Roman" w:hAnsi="Times New Roman" w:cs="Times New Roman"/>
          <w:sz w:val="28"/>
          <w:szCs w:val="28"/>
        </w:rPr>
        <w:t xml:space="preserve">:  </w:t>
      </w:r>
      <w:r w:rsidR="00CE29E2">
        <w:rPr>
          <w:rFonts w:ascii="Times New Roman" w:hAnsi="Times New Roman" w:cs="Times New Roman"/>
          <w:sz w:val="28"/>
          <w:szCs w:val="28"/>
        </w:rPr>
        <w:t>s</w:t>
      </w:r>
      <w:r w:rsidR="00CF50C5">
        <w:rPr>
          <w:rFonts w:ascii="Times New Roman" w:hAnsi="Times New Roman" w:cs="Times New Roman"/>
          <w:sz w:val="28"/>
          <w:szCs w:val="28"/>
        </w:rPr>
        <w:t xml:space="preserve">ee </w:t>
      </w:r>
      <w:r w:rsidR="00CF50C5" w:rsidRPr="00CF50C5">
        <w:rPr>
          <w:rFonts w:ascii="Times New Roman" w:hAnsi="Times New Roman" w:cs="Times New Roman"/>
          <w:i/>
          <w:iCs/>
          <w:sz w:val="28"/>
          <w:szCs w:val="28"/>
        </w:rPr>
        <w:t>Niego v Hamlet of Baker Lake</w:t>
      </w:r>
      <w:r w:rsidR="00CF50C5" w:rsidRPr="00CF50C5">
        <w:rPr>
          <w:rFonts w:ascii="Times New Roman" w:hAnsi="Times New Roman" w:cs="Times New Roman"/>
          <w:sz w:val="28"/>
          <w:szCs w:val="28"/>
        </w:rPr>
        <w:t>, 1986 CarswellNWT 72</w:t>
      </w:r>
      <w:r w:rsidR="00793C1E">
        <w:rPr>
          <w:rFonts w:ascii="Times New Roman" w:hAnsi="Times New Roman" w:cs="Times New Roman"/>
          <w:sz w:val="28"/>
          <w:szCs w:val="28"/>
        </w:rPr>
        <w:t xml:space="preserve"> for an analysis of the historical </w:t>
      </w:r>
      <w:r w:rsidR="00377952">
        <w:rPr>
          <w:rFonts w:ascii="Times New Roman" w:hAnsi="Times New Roman" w:cs="Times New Roman"/>
          <w:sz w:val="28"/>
          <w:szCs w:val="28"/>
        </w:rPr>
        <w:t xml:space="preserve">underpinnings of the common law rule relating to public documents. </w:t>
      </w:r>
      <w:r w:rsidR="00CF50C5">
        <w:rPr>
          <w:rFonts w:ascii="Times New Roman" w:hAnsi="Times New Roman" w:cs="Times New Roman"/>
          <w:sz w:val="28"/>
          <w:szCs w:val="28"/>
        </w:rPr>
        <w:t xml:space="preserve"> </w:t>
      </w:r>
      <w:r w:rsidR="00D8451B">
        <w:rPr>
          <w:rFonts w:ascii="Times New Roman" w:hAnsi="Times New Roman" w:cs="Times New Roman"/>
          <w:sz w:val="28"/>
          <w:szCs w:val="28"/>
        </w:rPr>
        <w:t xml:space="preserve">There are also statutory </w:t>
      </w:r>
      <w:r w:rsidR="009306EF">
        <w:rPr>
          <w:rFonts w:ascii="Times New Roman" w:hAnsi="Times New Roman" w:cs="Times New Roman"/>
          <w:sz w:val="28"/>
          <w:szCs w:val="28"/>
        </w:rPr>
        <w:t xml:space="preserve">provisions enabling the use of certain public documents without the necessity of proving the document:  See </w:t>
      </w:r>
      <w:r w:rsidR="00CB562B" w:rsidRPr="0059438B">
        <w:rPr>
          <w:rFonts w:ascii="Times New Roman" w:hAnsi="Times New Roman" w:cs="Times New Roman"/>
          <w:i/>
          <w:iCs/>
          <w:sz w:val="28"/>
          <w:szCs w:val="28"/>
        </w:rPr>
        <w:t>Evidence Act</w:t>
      </w:r>
      <w:r w:rsidR="00CB562B">
        <w:rPr>
          <w:rFonts w:ascii="Times New Roman" w:hAnsi="Times New Roman" w:cs="Times New Roman"/>
          <w:sz w:val="28"/>
          <w:szCs w:val="28"/>
        </w:rPr>
        <w:t>, RSNWT 1988 c E-</w:t>
      </w:r>
      <w:r w:rsidR="0059438B">
        <w:rPr>
          <w:rFonts w:ascii="Times New Roman" w:hAnsi="Times New Roman" w:cs="Times New Roman"/>
          <w:sz w:val="28"/>
          <w:szCs w:val="28"/>
        </w:rPr>
        <w:t xml:space="preserve">8, s 40. </w:t>
      </w:r>
    </w:p>
    <w:p w14:paraId="108D4688" w14:textId="77777777" w:rsidR="00D8508B" w:rsidRDefault="005058E7" w:rsidP="00BE5519">
      <w:pPr>
        <w:pStyle w:val="ListParagraph"/>
        <w:numPr>
          <w:ilvl w:val="0"/>
          <w:numId w:val="9"/>
        </w:numPr>
        <w:spacing w:after="240" w:line="240" w:lineRule="auto"/>
        <w:ind w:left="0" w:firstLine="0"/>
        <w:contextualSpacing w:val="0"/>
        <w:jc w:val="both"/>
        <w:rPr>
          <w:rFonts w:ascii="Times New Roman" w:hAnsi="Times New Roman" w:cs="Times New Roman"/>
          <w:sz w:val="28"/>
          <w:szCs w:val="28"/>
        </w:rPr>
      </w:pPr>
      <w:r>
        <w:rPr>
          <w:rFonts w:ascii="Times New Roman" w:hAnsi="Times New Roman" w:cs="Times New Roman"/>
          <w:sz w:val="28"/>
          <w:szCs w:val="28"/>
        </w:rPr>
        <w:t xml:space="preserve">Insofar as the Salt River First Nation Treaty Settlement Agreement is found on both the GNWT website </w:t>
      </w:r>
      <w:r w:rsidR="008053D0">
        <w:rPr>
          <w:rFonts w:ascii="Times New Roman" w:hAnsi="Times New Roman" w:cs="Times New Roman"/>
          <w:sz w:val="28"/>
          <w:szCs w:val="28"/>
        </w:rPr>
        <w:t xml:space="preserve">and on the website maintained by </w:t>
      </w:r>
      <w:r w:rsidR="00AA4A2F">
        <w:rPr>
          <w:rFonts w:ascii="Times New Roman" w:hAnsi="Times New Roman" w:cs="Times New Roman"/>
          <w:sz w:val="28"/>
          <w:szCs w:val="28"/>
        </w:rPr>
        <w:t>the Indigenous government,</w:t>
      </w:r>
      <w:r w:rsidR="002C4293">
        <w:rPr>
          <w:rFonts w:ascii="Times New Roman" w:hAnsi="Times New Roman" w:cs="Times New Roman"/>
          <w:sz w:val="28"/>
          <w:szCs w:val="28"/>
        </w:rPr>
        <w:t xml:space="preserve"> in the absence of evidence to the contrary as to its accuracy, I am entitled to rely upon it.  </w:t>
      </w:r>
      <w:r w:rsidR="00D8508B">
        <w:rPr>
          <w:rFonts w:ascii="Times New Roman" w:hAnsi="Times New Roman" w:cs="Times New Roman"/>
          <w:sz w:val="28"/>
          <w:szCs w:val="28"/>
        </w:rPr>
        <w:t xml:space="preserve">I do not find, however, that reliance on this agreement, or other agreements, is helpful in terms of deciding the narrow issue before me. </w:t>
      </w:r>
    </w:p>
    <w:p w14:paraId="61F03D3C" w14:textId="364BD4A5" w:rsidR="00A367C0" w:rsidRPr="00D8508B" w:rsidRDefault="00D8508B" w:rsidP="00477B77">
      <w:pPr>
        <w:spacing w:after="240" w:line="240" w:lineRule="auto"/>
        <w:jc w:val="both"/>
        <w:rPr>
          <w:rFonts w:ascii="Times New Roman" w:hAnsi="Times New Roman" w:cs="Times New Roman"/>
          <w:b/>
          <w:bCs/>
          <w:i/>
          <w:iCs/>
          <w:sz w:val="28"/>
          <w:szCs w:val="28"/>
        </w:rPr>
      </w:pPr>
      <w:r w:rsidRPr="00D8508B">
        <w:rPr>
          <w:rFonts w:ascii="Times New Roman" w:hAnsi="Times New Roman" w:cs="Times New Roman"/>
          <w:b/>
          <w:bCs/>
          <w:i/>
          <w:iCs/>
          <w:sz w:val="28"/>
          <w:szCs w:val="28"/>
        </w:rPr>
        <w:lastRenderedPageBreak/>
        <w:t>Weight to be given to the evidence of Patricia Eeles</w:t>
      </w:r>
      <w:r w:rsidR="0059438B" w:rsidRPr="00D8508B">
        <w:rPr>
          <w:rFonts w:ascii="Times New Roman" w:hAnsi="Times New Roman" w:cs="Times New Roman"/>
          <w:b/>
          <w:bCs/>
          <w:i/>
          <w:iCs/>
          <w:sz w:val="28"/>
          <w:szCs w:val="28"/>
        </w:rPr>
        <w:t xml:space="preserve"> </w:t>
      </w:r>
    </w:p>
    <w:p w14:paraId="5B7F3970" w14:textId="6C2B5EA7" w:rsidR="000B43D5" w:rsidRDefault="00726FCC" w:rsidP="00BE5519">
      <w:pPr>
        <w:pStyle w:val="ListParagraph"/>
        <w:numPr>
          <w:ilvl w:val="0"/>
          <w:numId w:val="9"/>
        </w:numPr>
        <w:spacing w:after="240" w:line="240" w:lineRule="auto"/>
        <w:ind w:left="0" w:firstLine="0"/>
        <w:contextualSpacing w:val="0"/>
        <w:jc w:val="both"/>
        <w:rPr>
          <w:rFonts w:ascii="Times New Roman" w:hAnsi="Times New Roman" w:cs="Times New Roman"/>
          <w:sz w:val="28"/>
          <w:szCs w:val="28"/>
        </w:rPr>
      </w:pPr>
      <w:r>
        <w:rPr>
          <w:rFonts w:ascii="Times New Roman" w:hAnsi="Times New Roman" w:cs="Times New Roman"/>
          <w:sz w:val="28"/>
          <w:szCs w:val="28"/>
        </w:rPr>
        <w:t>The Defendants assert that the opinion evidence of Canada’s aff</w:t>
      </w:r>
      <w:r w:rsidR="000F3331">
        <w:rPr>
          <w:rFonts w:ascii="Times New Roman" w:hAnsi="Times New Roman" w:cs="Times New Roman"/>
          <w:sz w:val="28"/>
          <w:szCs w:val="28"/>
        </w:rPr>
        <w:t xml:space="preserve">iant, Patricia Eeles, should be disregarded or given little weight. </w:t>
      </w:r>
      <w:r w:rsidR="00586E78">
        <w:rPr>
          <w:rFonts w:ascii="Times New Roman" w:hAnsi="Times New Roman" w:cs="Times New Roman"/>
          <w:sz w:val="28"/>
          <w:szCs w:val="28"/>
        </w:rPr>
        <w:t xml:space="preserve"> Ms. Eeles deposed that </w:t>
      </w:r>
      <w:r w:rsidR="003238C9">
        <w:rPr>
          <w:rFonts w:ascii="Times New Roman" w:hAnsi="Times New Roman" w:cs="Times New Roman"/>
          <w:sz w:val="28"/>
          <w:szCs w:val="28"/>
        </w:rPr>
        <w:t>the</w:t>
      </w:r>
      <w:r w:rsidR="00DB34D4">
        <w:rPr>
          <w:rFonts w:ascii="Times New Roman" w:hAnsi="Times New Roman" w:cs="Times New Roman"/>
          <w:sz w:val="28"/>
          <w:szCs w:val="28"/>
        </w:rPr>
        <w:t xml:space="preserve"> parties involved in </w:t>
      </w:r>
      <w:r w:rsidR="00134B17">
        <w:rPr>
          <w:rFonts w:ascii="Times New Roman" w:hAnsi="Times New Roman" w:cs="Times New Roman"/>
          <w:sz w:val="28"/>
          <w:szCs w:val="28"/>
        </w:rPr>
        <w:t>the Framework Agreement expect the negotiations to be confidential, that treaties are an important tool of reconciliation, and that</w:t>
      </w:r>
      <w:r w:rsidR="00EE79FC">
        <w:rPr>
          <w:rFonts w:ascii="Times New Roman" w:hAnsi="Times New Roman" w:cs="Times New Roman"/>
          <w:sz w:val="28"/>
          <w:szCs w:val="28"/>
        </w:rPr>
        <w:t xml:space="preserve">, in essence, </w:t>
      </w:r>
      <w:r w:rsidR="00134B17">
        <w:rPr>
          <w:rFonts w:ascii="Times New Roman" w:hAnsi="Times New Roman" w:cs="Times New Roman"/>
          <w:sz w:val="28"/>
          <w:szCs w:val="28"/>
        </w:rPr>
        <w:t xml:space="preserve">there would be a chilling effect on </w:t>
      </w:r>
      <w:r w:rsidR="006E4DD2">
        <w:rPr>
          <w:rFonts w:ascii="Times New Roman" w:hAnsi="Times New Roman" w:cs="Times New Roman"/>
          <w:sz w:val="28"/>
          <w:szCs w:val="28"/>
        </w:rPr>
        <w:t xml:space="preserve">the negotiations for this </w:t>
      </w:r>
      <w:r w:rsidR="00ED21D6">
        <w:rPr>
          <w:rFonts w:ascii="Times New Roman" w:hAnsi="Times New Roman" w:cs="Times New Roman"/>
          <w:sz w:val="28"/>
          <w:szCs w:val="28"/>
        </w:rPr>
        <w:t xml:space="preserve">process, as well as other treaty </w:t>
      </w:r>
      <w:r w:rsidR="000B43D5">
        <w:rPr>
          <w:rFonts w:ascii="Times New Roman" w:hAnsi="Times New Roman" w:cs="Times New Roman"/>
          <w:sz w:val="28"/>
          <w:szCs w:val="28"/>
        </w:rPr>
        <w:t>negotiations, if</w:t>
      </w:r>
      <w:r w:rsidR="00ED21D6">
        <w:rPr>
          <w:rFonts w:ascii="Times New Roman" w:hAnsi="Times New Roman" w:cs="Times New Roman"/>
          <w:sz w:val="28"/>
          <w:szCs w:val="28"/>
        </w:rPr>
        <w:t xml:space="preserve"> the negotiations were to become public. </w:t>
      </w:r>
    </w:p>
    <w:p w14:paraId="6C2C21D2" w14:textId="349E9411" w:rsidR="00A225C4" w:rsidRDefault="00076F59" w:rsidP="00BE5519">
      <w:pPr>
        <w:pStyle w:val="ListParagraph"/>
        <w:numPr>
          <w:ilvl w:val="0"/>
          <w:numId w:val="9"/>
        </w:numPr>
        <w:spacing w:after="240" w:line="240" w:lineRule="auto"/>
        <w:ind w:left="0" w:firstLine="0"/>
        <w:contextualSpacing w:val="0"/>
        <w:jc w:val="both"/>
        <w:rPr>
          <w:rFonts w:ascii="Times New Roman" w:hAnsi="Times New Roman" w:cs="Times New Roman"/>
          <w:sz w:val="28"/>
          <w:szCs w:val="28"/>
        </w:rPr>
      </w:pPr>
      <w:r>
        <w:rPr>
          <w:rFonts w:ascii="Times New Roman" w:hAnsi="Times New Roman" w:cs="Times New Roman"/>
          <w:sz w:val="28"/>
          <w:szCs w:val="28"/>
        </w:rPr>
        <w:t xml:space="preserve">In my view, as a participant in the negotiations process for many years, Ms. Eeles is well positioned to speak on the issue of her understanding of the expectations of the parties with respect to confidentiality.  </w:t>
      </w:r>
      <w:r w:rsidR="00771DB2">
        <w:rPr>
          <w:rFonts w:ascii="Times New Roman" w:hAnsi="Times New Roman" w:cs="Times New Roman"/>
          <w:sz w:val="28"/>
          <w:szCs w:val="28"/>
        </w:rPr>
        <w:t xml:space="preserve">Moreover, her statement to the effect that making negotiations public would have a chilling effect on </w:t>
      </w:r>
      <w:r w:rsidR="00910B0D">
        <w:rPr>
          <w:rFonts w:ascii="Times New Roman" w:hAnsi="Times New Roman" w:cs="Times New Roman"/>
          <w:sz w:val="28"/>
          <w:szCs w:val="28"/>
        </w:rPr>
        <w:t xml:space="preserve">the negotiations is nothing more than what courts have stated time and time again as </w:t>
      </w:r>
      <w:r w:rsidR="00851271">
        <w:rPr>
          <w:rFonts w:ascii="Times New Roman" w:hAnsi="Times New Roman" w:cs="Times New Roman"/>
          <w:sz w:val="28"/>
          <w:szCs w:val="28"/>
        </w:rPr>
        <w:t xml:space="preserve">the underlying policy rationale for the settlement privilege rule.  </w:t>
      </w:r>
      <w:r w:rsidR="00113582">
        <w:rPr>
          <w:rFonts w:ascii="Times New Roman" w:hAnsi="Times New Roman" w:cs="Times New Roman"/>
          <w:sz w:val="28"/>
          <w:szCs w:val="28"/>
        </w:rPr>
        <w:t xml:space="preserve">I give little </w:t>
      </w:r>
      <w:r w:rsidR="00EF2908">
        <w:rPr>
          <w:rFonts w:ascii="Times New Roman" w:hAnsi="Times New Roman" w:cs="Times New Roman"/>
          <w:sz w:val="28"/>
          <w:szCs w:val="28"/>
        </w:rPr>
        <w:t>weight to</w:t>
      </w:r>
      <w:r w:rsidR="00113582">
        <w:rPr>
          <w:rFonts w:ascii="Times New Roman" w:hAnsi="Times New Roman" w:cs="Times New Roman"/>
          <w:sz w:val="28"/>
          <w:szCs w:val="28"/>
        </w:rPr>
        <w:t xml:space="preserve"> any comment that she might have about the impact on other negotiations, however, what is important here is the impact that release of the Consultation Draft would have on </w:t>
      </w:r>
      <w:r w:rsidR="00113582" w:rsidRPr="00113582">
        <w:rPr>
          <w:rFonts w:ascii="Times New Roman" w:hAnsi="Times New Roman" w:cs="Times New Roman"/>
          <w:i/>
          <w:iCs/>
          <w:sz w:val="28"/>
          <w:szCs w:val="28"/>
        </w:rPr>
        <w:t>these</w:t>
      </w:r>
      <w:r w:rsidR="00113582">
        <w:rPr>
          <w:rFonts w:ascii="Times New Roman" w:hAnsi="Times New Roman" w:cs="Times New Roman"/>
          <w:sz w:val="28"/>
          <w:szCs w:val="28"/>
        </w:rPr>
        <w:t xml:space="preserve"> negotiations</w:t>
      </w:r>
      <w:r w:rsidR="00A225C4">
        <w:rPr>
          <w:rFonts w:ascii="Times New Roman" w:hAnsi="Times New Roman" w:cs="Times New Roman"/>
          <w:sz w:val="28"/>
          <w:szCs w:val="28"/>
        </w:rPr>
        <w:t xml:space="preserve">.  </w:t>
      </w:r>
    </w:p>
    <w:p w14:paraId="0A8B8072" w14:textId="3073F935" w:rsidR="00933367" w:rsidRPr="00A225C4" w:rsidRDefault="00933367" w:rsidP="00A225C4">
      <w:pPr>
        <w:spacing w:after="240" w:line="240" w:lineRule="auto"/>
        <w:jc w:val="both"/>
        <w:rPr>
          <w:rFonts w:ascii="Times New Roman" w:hAnsi="Times New Roman" w:cs="Times New Roman"/>
          <w:sz w:val="28"/>
          <w:szCs w:val="28"/>
        </w:rPr>
      </w:pPr>
      <w:r w:rsidRPr="00A225C4">
        <w:rPr>
          <w:rFonts w:ascii="Times New Roman" w:hAnsi="Times New Roman" w:cs="Times New Roman"/>
          <w:b/>
          <w:bCs/>
          <w:sz w:val="28"/>
          <w:szCs w:val="28"/>
        </w:rPr>
        <w:t xml:space="preserve">SUBSTANTIVE ISSUES </w:t>
      </w:r>
    </w:p>
    <w:p w14:paraId="2F5A2CFC" w14:textId="553E5D29" w:rsidR="0042411A" w:rsidRDefault="00547535" w:rsidP="00BE5519">
      <w:pPr>
        <w:pStyle w:val="ListParagraph"/>
        <w:numPr>
          <w:ilvl w:val="0"/>
          <w:numId w:val="9"/>
        </w:numPr>
        <w:spacing w:after="240" w:line="240" w:lineRule="auto"/>
        <w:ind w:left="0" w:firstLine="0"/>
        <w:contextualSpacing w:val="0"/>
        <w:jc w:val="both"/>
        <w:rPr>
          <w:rFonts w:ascii="Times New Roman" w:hAnsi="Times New Roman" w:cs="Times New Roman"/>
          <w:sz w:val="28"/>
          <w:szCs w:val="28"/>
        </w:rPr>
      </w:pPr>
      <w:r>
        <w:rPr>
          <w:rFonts w:ascii="Times New Roman" w:hAnsi="Times New Roman" w:cs="Times New Roman"/>
          <w:sz w:val="28"/>
          <w:szCs w:val="28"/>
        </w:rPr>
        <w:t xml:space="preserve">The parties have each framed the substantive issues </w:t>
      </w:r>
      <w:r w:rsidR="00D71DDC">
        <w:rPr>
          <w:rFonts w:ascii="Times New Roman" w:hAnsi="Times New Roman" w:cs="Times New Roman"/>
          <w:sz w:val="28"/>
          <w:szCs w:val="28"/>
        </w:rPr>
        <w:t xml:space="preserve">differently, however, at their heart, the main issues are as follows: </w:t>
      </w:r>
    </w:p>
    <w:p w14:paraId="191F87A2" w14:textId="77777777" w:rsidR="00364869" w:rsidRDefault="00D71DDC" w:rsidP="00D71DDC">
      <w:pPr>
        <w:pStyle w:val="ListParagraph"/>
        <w:numPr>
          <w:ilvl w:val="2"/>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Whether the Consultation Draft</w:t>
      </w:r>
      <w:r w:rsidR="00C562B8">
        <w:rPr>
          <w:rFonts w:ascii="Times New Roman" w:hAnsi="Times New Roman" w:cs="Times New Roman"/>
          <w:sz w:val="28"/>
          <w:szCs w:val="28"/>
        </w:rPr>
        <w:t xml:space="preserve"> is protected by settlement privilege </w:t>
      </w:r>
      <w:r w:rsidR="00364869">
        <w:rPr>
          <w:rFonts w:ascii="Times New Roman" w:hAnsi="Times New Roman" w:cs="Times New Roman"/>
          <w:sz w:val="28"/>
          <w:szCs w:val="28"/>
        </w:rPr>
        <w:t xml:space="preserve">or by virtue of its confidentiality provisions; and </w:t>
      </w:r>
    </w:p>
    <w:p w14:paraId="1FE477A4" w14:textId="701D5E2F" w:rsidR="00D71DDC" w:rsidRDefault="00364869" w:rsidP="00D71DDC">
      <w:pPr>
        <w:pStyle w:val="ListParagraph"/>
        <w:numPr>
          <w:ilvl w:val="2"/>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If it is privileged, should I nonetheless order production of the </w:t>
      </w:r>
      <w:r w:rsidR="000828A0">
        <w:rPr>
          <w:rFonts w:ascii="Times New Roman" w:hAnsi="Times New Roman" w:cs="Times New Roman"/>
          <w:sz w:val="28"/>
          <w:szCs w:val="28"/>
        </w:rPr>
        <w:t xml:space="preserve">Consultation Draft. </w:t>
      </w:r>
      <w:r>
        <w:rPr>
          <w:rFonts w:ascii="Times New Roman" w:hAnsi="Times New Roman" w:cs="Times New Roman"/>
          <w:sz w:val="28"/>
          <w:szCs w:val="28"/>
        </w:rPr>
        <w:t xml:space="preserve"> </w:t>
      </w:r>
    </w:p>
    <w:p w14:paraId="7706B759" w14:textId="0C6E2776" w:rsidR="00933367" w:rsidRPr="00F61058" w:rsidRDefault="00051A48" w:rsidP="00F61058">
      <w:pPr>
        <w:spacing w:after="240" w:line="240" w:lineRule="auto"/>
        <w:jc w:val="both"/>
        <w:rPr>
          <w:rFonts w:ascii="Times New Roman" w:hAnsi="Times New Roman" w:cs="Times New Roman"/>
          <w:b/>
          <w:bCs/>
          <w:i/>
          <w:iCs/>
          <w:sz w:val="28"/>
          <w:szCs w:val="28"/>
        </w:rPr>
      </w:pPr>
      <w:r w:rsidRPr="00F61058">
        <w:rPr>
          <w:rFonts w:ascii="Times New Roman" w:hAnsi="Times New Roman" w:cs="Times New Roman"/>
          <w:b/>
          <w:bCs/>
          <w:i/>
          <w:iCs/>
          <w:sz w:val="28"/>
          <w:szCs w:val="28"/>
        </w:rPr>
        <w:t xml:space="preserve">Is the Consultation Draft protected by settlement privilege or by virtue of its confidentiality provisions? </w:t>
      </w:r>
    </w:p>
    <w:p w14:paraId="60426C74" w14:textId="3E7087F5" w:rsidR="00B81C53" w:rsidRDefault="0025477A" w:rsidP="00BE5519">
      <w:pPr>
        <w:pStyle w:val="ListParagraph"/>
        <w:numPr>
          <w:ilvl w:val="0"/>
          <w:numId w:val="9"/>
        </w:numPr>
        <w:spacing w:after="240" w:line="240" w:lineRule="auto"/>
        <w:ind w:left="0" w:firstLine="0"/>
        <w:contextualSpacing w:val="0"/>
        <w:jc w:val="both"/>
        <w:rPr>
          <w:rFonts w:ascii="Times New Roman" w:hAnsi="Times New Roman" w:cs="Times New Roman"/>
          <w:sz w:val="28"/>
          <w:szCs w:val="28"/>
        </w:rPr>
      </w:pPr>
      <w:r>
        <w:rPr>
          <w:rFonts w:ascii="Times New Roman" w:hAnsi="Times New Roman" w:cs="Times New Roman"/>
          <w:sz w:val="28"/>
          <w:szCs w:val="28"/>
        </w:rPr>
        <w:t xml:space="preserve">Canada </w:t>
      </w:r>
      <w:r w:rsidR="00691DB4">
        <w:rPr>
          <w:rFonts w:ascii="Times New Roman" w:hAnsi="Times New Roman" w:cs="Times New Roman"/>
          <w:sz w:val="28"/>
          <w:szCs w:val="28"/>
        </w:rPr>
        <w:t xml:space="preserve">seeks an order that any reference to the </w:t>
      </w:r>
      <w:r w:rsidR="003E2864">
        <w:rPr>
          <w:rFonts w:ascii="Times New Roman" w:hAnsi="Times New Roman" w:cs="Times New Roman"/>
          <w:sz w:val="28"/>
          <w:szCs w:val="28"/>
        </w:rPr>
        <w:t xml:space="preserve">Draft </w:t>
      </w:r>
      <w:r w:rsidR="003A07F3">
        <w:rPr>
          <w:rFonts w:ascii="Times New Roman" w:hAnsi="Times New Roman" w:cs="Times New Roman"/>
          <w:sz w:val="28"/>
          <w:szCs w:val="28"/>
        </w:rPr>
        <w:t>AIP</w:t>
      </w:r>
      <w:r w:rsidR="003E2864">
        <w:rPr>
          <w:rFonts w:ascii="Times New Roman" w:hAnsi="Times New Roman" w:cs="Times New Roman"/>
          <w:sz w:val="28"/>
          <w:szCs w:val="28"/>
        </w:rPr>
        <w:t xml:space="preserve"> or Consultation Draft</w:t>
      </w:r>
      <w:r w:rsidR="00691DB4">
        <w:rPr>
          <w:rFonts w:ascii="Times New Roman" w:hAnsi="Times New Roman" w:cs="Times New Roman"/>
          <w:sz w:val="28"/>
          <w:szCs w:val="28"/>
        </w:rPr>
        <w:t xml:space="preserve"> be removed from the </w:t>
      </w:r>
      <w:r w:rsidR="00B675EC">
        <w:rPr>
          <w:rFonts w:ascii="Times New Roman" w:hAnsi="Times New Roman" w:cs="Times New Roman"/>
          <w:sz w:val="28"/>
          <w:szCs w:val="28"/>
        </w:rPr>
        <w:t>Defendants’</w:t>
      </w:r>
      <w:r w:rsidR="00E709D9">
        <w:rPr>
          <w:rFonts w:ascii="Times New Roman" w:hAnsi="Times New Roman" w:cs="Times New Roman"/>
          <w:sz w:val="28"/>
          <w:szCs w:val="28"/>
        </w:rPr>
        <w:t xml:space="preserve"> Conflict of Interest Response. </w:t>
      </w:r>
      <w:r w:rsidR="00F702FA">
        <w:rPr>
          <w:rFonts w:ascii="Times New Roman" w:hAnsi="Times New Roman" w:cs="Times New Roman"/>
          <w:sz w:val="28"/>
          <w:szCs w:val="28"/>
        </w:rPr>
        <w:t xml:space="preserve"> They do so on the basis </w:t>
      </w:r>
      <w:r w:rsidR="003866C7">
        <w:rPr>
          <w:rFonts w:ascii="Times New Roman" w:hAnsi="Times New Roman" w:cs="Times New Roman"/>
          <w:sz w:val="28"/>
          <w:szCs w:val="28"/>
        </w:rPr>
        <w:t>that it is a working document</w:t>
      </w:r>
      <w:r w:rsidR="00E92186">
        <w:rPr>
          <w:rFonts w:ascii="Times New Roman" w:hAnsi="Times New Roman" w:cs="Times New Roman"/>
          <w:sz w:val="28"/>
          <w:szCs w:val="28"/>
        </w:rPr>
        <w:t xml:space="preserve"> reflecting the current state of the tripartite treaty negotiations </w:t>
      </w:r>
      <w:r w:rsidR="00007445">
        <w:rPr>
          <w:rFonts w:ascii="Times New Roman" w:hAnsi="Times New Roman" w:cs="Times New Roman"/>
          <w:sz w:val="28"/>
          <w:szCs w:val="28"/>
        </w:rPr>
        <w:t>and is not</w:t>
      </w:r>
      <w:r w:rsidR="003866C7">
        <w:rPr>
          <w:rFonts w:ascii="Times New Roman" w:hAnsi="Times New Roman" w:cs="Times New Roman"/>
          <w:sz w:val="28"/>
          <w:szCs w:val="28"/>
        </w:rPr>
        <w:t xml:space="preserve"> a final document</w:t>
      </w:r>
      <w:r w:rsidR="00007445">
        <w:rPr>
          <w:rFonts w:ascii="Times New Roman" w:hAnsi="Times New Roman" w:cs="Times New Roman"/>
          <w:sz w:val="28"/>
          <w:szCs w:val="28"/>
        </w:rPr>
        <w:t xml:space="preserve">.  As such, </w:t>
      </w:r>
      <w:r w:rsidR="002E2169">
        <w:rPr>
          <w:rFonts w:ascii="Times New Roman" w:hAnsi="Times New Roman" w:cs="Times New Roman"/>
          <w:sz w:val="28"/>
          <w:szCs w:val="28"/>
        </w:rPr>
        <w:t>Canada asserts that it is</w:t>
      </w:r>
      <w:r w:rsidR="003866C7">
        <w:rPr>
          <w:rFonts w:ascii="Times New Roman" w:hAnsi="Times New Roman" w:cs="Times New Roman"/>
          <w:sz w:val="28"/>
          <w:szCs w:val="28"/>
        </w:rPr>
        <w:t xml:space="preserve"> covered by settlement privilege </w:t>
      </w:r>
      <w:r w:rsidR="006E4F50">
        <w:rPr>
          <w:rFonts w:ascii="Times New Roman" w:hAnsi="Times New Roman" w:cs="Times New Roman"/>
          <w:sz w:val="28"/>
          <w:szCs w:val="28"/>
        </w:rPr>
        <w:t xml:space="preserve">as well as confidentiality provisions </w:t>
      </w:r>
      <w:r w:rsidR="00865E42">
        <w:rPr>
          <w:rFonts w:ascii="Times New Roman" w:hAnsi="Times New Roman" w:cs="Times New Roman"/>
          <w:sz w:val="28"/>
          <w:szCs w:val="28"/>
        </w:rPr>
        <w:t xml:space="preserve">contained in the Framework Agreement </w:t>
      </w:r>
      <w:r w:rsidR="006E4F50">
        <w:rPr>
          <w:rFonts w:ascii="Times New Roman" w:hAnsi="Times New Roman" w:cs="Times New Roman"/>
          <w:sz w:val="28"/>
          <w:szCs w:val="28"/>
        </w:rPr>
        <w:t xml:space="preserve">relating to the settlement negotiations.  </w:t>
      </w:r>
    </w:p>
    <w:p w14:paraId="148E57B5" w14:textId="266F3D32" w:rsidR="00CC7D3E" w:rsidRDefault="00F8746B" w:rsidP="00BE5519">
      <w:pPr>
        <w:pStyle w:val="ListParagraph"/>
        <w:numPr>
          <w:ilvl w:val="0"/>
          <w:numId w:val="9"/>
        </w:numPr>
        <w:spacing w:after="240" w:line="240" w:lineRule="auto"/>
        <w:ind w:left="0" w:firstLine="0"/>
        <w:contextualSpacing w:val="0"/>
        <w:jc w:val="both"/>
        <w:rPr>
          <w:rFonts w:ascii="Times New Roman" w:hAnsi="Times New Roman" w:cs="Times New Roman"/>
          <w:sz w:val="28"/>
          <w:szCs w:val="28"/>
        </w:rPr>
      </w:pPr>
      <w:r>
        <w:rPr>
          <w:rFonts w:ascii="Times New Roman" w:hAnsi="Times New Roman" w:cs="Times New Roman"/>
          <w:sz w:val="28"/>
          <w:szCs w:val="28"/>
        </w:rPr>
        <w:t xml:space="preserve">Settlement privilege </w:t>
      </w:r>
      <w:r w:rsidR="00D72076" w:rsidRPr="00D72076">
        <w:rPr>
          <w:rFonts w:ascii="Times New Roman" w:hAnsi="Times New Roman" w:cs="Times New Roman"/>
          <w:sz w:val="28"/>
          <w:szCs w:val="28"/>
        </w:rPr>
        <w:t>is a common law rule of evidence that protects communications between parties as they attempt to settle a dispute</w:t>
      </w:r>
      <w:r w:rsidR="00F92082">
        <w:rPr>
          <w:rFonts w:ascii="Times New Roman" w:hAnsi="Times New Roman" w:cs="Times New Roman"/>
          <w:sz w:val="28"/>
          <w:szCs w:val="28"/>
        </w:rPr>
        <w:t xml:space="preserve">.  </w:t>
      </w:r>
      <w:r w:rsidR="00384335">
        <w:rPr>
          <w:rFonts w:ascii="Times New Roman" w:hAnsi="Times New Roman" w:cs="Times New Roman"/>
          <w:sz w:val="28"/>
          <w:szCs w:val="28"/>
        </w:rPr>
        <w:t xml:space="preserve">It allows parties to </w:t>
      </w:r>
      <w:r w:rsidR="00CD512A">
        <w:rPr>
          <w:rFonts w:ascii="Times New Roman" w:hAnsi="Times New Roman" w:cs="Times New Roman"/>
          <w:sz w:val="28"/>
          <w:szCs w:val="28"/>
        </w:rPr>
        <w:t>attempt to settle disputes and to negotiate can</w:t>
      </w:r>
      <w:r w:rsidR="004B401A">
        <w:rPr>
          <w:rFonts w:ascii="Times New Roman" w:hAnsi="Times New Roman" w:cs="Times New Roman"/>
          <w:sz w:val="28"/>
          <w:szCs w:val="28"/>
        </w:rPr>
        <w:t xml:space="preserve">didly without worry that positions </w:t>
      </w:r>
      <w:r w:rsidR="004B401A">
        <w:rPr>
          <w:rFonts w:ascii="Times New Roman" w:hAnsi="Times New Roman" w:cs="Times New Roman"/>
          <w:sz w:val="28"/>
          <w:szCs w:val="28"/>
        </w:rPr>
        <w:lastRenderedPageBreak/>
        <w:t>that they take will subsequently be used against them if they are unable to resolve disputes.</w:t>
      </w:r>
      <w:r w:rsidR="00E22AB9">
        <w:rPr>
          <w:rFonts w:ascii="Times New Roman" w:hAnsi="Times New Roman" w:cs="Times New Roman"/>
          <w:sz w:val="28"/>
          <w:szCs w:val="28"/>
        </w:rPr>
        <w:t xml:space="preserve">  Its </w:t>
      </w:r>
      <w:r w:rsidR="00B318B4" w:rsidRPr="00E22AB9">
        <w:rPr>
          <w:rFonts w:ascii="Times New Roman" w:hAnsi="Times New Roman" w:cs="Times New Roman"/>
          <w:sz w:val="28"/>
          <w:szCs w:val="28"/>
        </w:rPr>
        <w:t xml:space="preserve">value lies in fostering an environment where parties can negotiate freely and frankly, without fear that their statements, concessions, or draft agreements will be used against them should the negotiations fail. </w:t>
      </w:r>
      <w:r w:rsidR="0022447D">
        <w:rPr>
          <w:rFonts w:ascii="Times New Roman" w:hAnsi="Times New Roman" w:cs="Times New Roman"/>
          <w:sz w:val="28"/>
          <w:szCs w:val="28"/>
        </w:rPr>
        <w:t xml:space="preserve"> </w:t>
      </w:r>
      <w:r w:rsidR="00B318B4" w:rsidRPr="00E22AB9">
        <w:rPr>
          <w:rFonts w:ascii="Times New Roman" w:hAnsi="Times New Roman" w:cs="Times New Roman"/>
          <w:sz w:val="28"/>
          <w:szCs w:val="28"/>
        </w:rPr>
        <w:t xml:space="preserve">This privilege, sometimes referred to as the "without prejudice" rule, serves a vital public policy function: </w:t>
      </w:r>
      <w:r w:rsidR="0022447D">
        <w:rPr>
          <w:rFonts w:ascii="Times New Roman" w:hAnsi="Times New Roman" w:cs="Times New Roman"/>
          <w:sz w:val="28"/>
          <w:szCs w:val="28"/>
        </w:rPr>
        <w:t xml:space="preserve"> I</w:t>
      </w:r>
      <w:r w:rsidR="00B318B4" w:rsidRPr="00E22AB9">
        <w:rPr>
          <w:rFonts w:ascii="Times New Roman" w:hAnsi="Times New Roman" w:cs="Times New Roman"/>
          <w:sz w:val="28"/>
          <w:szCs w:val="28"/>
        </w:rPr>
        <w:t xml:space="preserve">t promotes the settlement of disputes, reduces the expense and strain of litigation, and improves access to justice. </w:t>
      </w:r>
      <w:r w:rsidR="0022447D">
        <w:rPr>
          <w:rFonts w:ascii="Times New Roman" w:hAnsi="Times New Roman" w:cs="Times New Roman"/>
          <w:sz w:val="28"/>
          <w:szCs w:val="28"/>
        </w:rPr>
        <w:t xml:space="preserve"> </w:t>
      </w:r>
      <w:r w:rsidR="00B318B4" w:rsidRPr="00E22AB9">
        <w:rPr>
          <w:rFonts w:ascii="Times New Roman" w:hAnsi="Times New Roman" w:cs="Times New Roman"/>
          <w:sz w:val="28"/>
          <w:szCs w:val="28"/>
        </w:rPr>
        <w:t xml:space="preserve">The Supreme Court </w:t>
      </w:r>
      <w:r w:rsidR="00A3583C">
        <w:rPr>
          <w:rFonts w:ascii="Times New Roman" w:hAnsi="Times New Roman" w:cs="Times New Roman"/>
          <w:sz w:val="28"/>
          <w:szCs w:val="28"/>
        </w:rPr>
        <w:t xml:space="preserve">of Canada </w:t>
      </w:r>
      <w:r w:rsidR="00B318B4" w:rsidRPr="00E22AB9">
        <w:rPr>
          <w:rFonts w:ascii="Times New Roman" w:hAnsi="Times New Roman" w:cs="Times New Roman"/>
          <w:sz w:val="28"/>
          <w:szCs w:val="28"/>
        </w:rPr>
        <w:t>has emphasized that, without such protection, parties would be reluctant to engage in settlement discussions for fear that their admissions or offers could later be used to their detriment in court, thereby undermining the effectiveness of alternative dispute resolution mechanisms such as mediation</w:t>
      </w:r>
      <w:r w:rsidR="00C52BC6">
        <w:rPr>
          <w:rFonts w:ascii="Times New Roman" w:hAnsi="Times New Roman" w:cs="Times New Roman"/>
          <w:sz w:val="28"/>
          <w:szCs w:val="28"/>
        </w:rPr>
        <w:t xml:space="preserve">: </w:t>
      </w:r>
      <w:r w:rsidR="00357BE4">
        <w:rPr>
          <w:rFonts w:ascii="Times New Roman" w:hAnsi="Times New Roman" w:cs="Times New Roman"/>
          <w:sz w:val="28"/>
          <w:szCs w:val="28"/>
        </w:rPr>
        <w:t xml:space="preserve"> </w:t>
      </w:r>
      <w:r w:rsidR="00371E14" w:rsidRPr="00371E14">
        <w:rPr>
          <w:rFonts w:ascii="Times New Roman" w:hAnsi="Times New Roman" w:cs="Times New Roman"/>
          <w:i/>
          <w:iCs/>
          <w:sz w:val="28"/>
          <w:szCs w:val="28"/>
        </w:rPr>
        <w:t>Union Carbide Canada Inc v Bombardier Inc,</w:t>
      </w:r>
      <w:r w:rsidR="00371E14" w:rsidRPr="00371E14">
        <w:rPr>
          <w:rFonts w:ascii="Times New Roman" w:hAnsi="Times New Roman" w:cs="Times New Roman"/>
          <w:sz w:val="28"/>
          <w:szCs w:val="28"/>
        </w:rPr>
        <w:t xml:space="preserve"> 2014 SCC 35</w:t>
      </w:r>
      <w:r w:rsidR="003A07F3">
        <w:rPr>
          <w:rFonts w:ascii="Times New Roman" w:hAnsi="Times New Roman" w:cs="Times New Roman"/>
          <w:sz w:val="28"/>
          <w:szCs w:val="28"/>
        </w:rPr>
        <w:t xml:space="preserve">. </w:t>
      </w:r>
    </w:p>
    <w:p w14:paraId="66AC8DEE" w14:textId="77777777" w:rsidR="000167DE" w:rsidRDefault="00C52BC6" w:rsidP="00BE5519">
      <w:pPr>
        <w:pStyle w:val="ListParagraph"/>
        <w:numPr>
          <w:ilvl w:val="0"/>
          <w:numId w:val="9"/>
        </w:numPr>
        <w:spacing w:after="240" w:line="240" w:lineRule="auto"/>
        <w:ind w:left="0" w:firstLine="0"/>
        <w:contextualSpacing w:val="0"/>
        <w:jc w:val="both"/>
        <w:rPr>
          <w:rFonts w:ascii="Times New Roman" w:hAnsi="Times New Roman" w:cs="Times New Roman"/>
          <w:sz w:val="28"/>
          <w:szCs w:val="28"/>
        </w:rPr>
      </w:pPr>
      <w:r w:rsidRPr="00CC7D3E">
        <w:rPr>
          <w:rFonts w:ascii="Times New Roman" w:hAnsi="Times New Roman" w:cs="Times New Roman"/>
          <w:sz w:val="28"/>
          <w:szCs w:val="28"/>
        </w:rPr>
        <w:t xml:space="preserve">In order for settlement privilege </w:t>
      </w:r>
      <w:r w:rsidR="00331628" w:rsidRPr="00CC7D3E">
        <w:rPr>
          <w:rFonts w:ascii="Times New Roman" w:hAnsi="Times New Roman" w:cs="Times New Roman"/>
          <w:sz w:val="28"/>
          <w:szCs w:val="28"/>
        </w:rPr>
        <w:t xml:space="preserve">to apply, </w:t>
      </w:r>
      <w:r w:rsidR="000306FA" w:rsidRPr="00CC7D3E">
        <w:rPr>
          <w:rFonts w:ascii="Times New Roman" w:hAnsi="Times New Roman" w:cs="Times New Roman"/>
          <w:sz w:val="28"/>
          <w:szCs w:val="28"/>
        </w:rPr>
        <w:t>three criteria must be met:</w:t>
      </w:r>
    </w:p>
    <w:p w14:paraId="7762B940" w14:textId="77777777" w:rsidR="000167DE" w:rsidRDefault="00E77F57" w:rsidP="000167DE">
      <w:pPr>
        <w:pStyle w:val="ListParagraph"/>
        <w:numPr>
          <w:ilvl w:val="2"/>
          <w:numId w:val="9"/>
        </w:numPr>
        <w:spacing w:after="240" w:line="240" w:lineRule="auto"/>
        <w:contextualSpacing w:val="0"/>
        <w:jc w:val="both"/>
        <w:rPr>
          <w:rFonts w:ascii="Times New Roman" w:hAnsi="Times New Roman" w:cs="Times New Roman"/>
          <w:sz w:val="28"/>
          <w:szCs w:val="28"/>
        </w:rPr>
      </w:pPr>
      <w:r w:rsidRPr="000167DE">
        <w:rPr>
          <w:rFonts w:ascii="Times New Roman" w:hAnsi="Times New Roman" w:cs="Times New Roman"/>
          <w:sz w:val="28"/>
          <w:szCs w:val="28"/>
        </w:rPr>
        <w:t xml:space="preserve">A litigious dispute mut be in existence or within </w:t>
      </w:r>
      <w:r w:rsidR="0025131E" w:rsidRPr="000167DE">
        <w:rPr>
          <w:rFonts w:ascii="Times New Roman" w:hAnsi="Times New Roman" w:cs="Times New Roman"/>
          <w:sz w:val="28"/>
          <w:szCs w:val="28"/>
        </w:rPr>
        <w:t xml:space="preserve">contemplation; </w:t>
      </w:r>
    </w:p>
    <w:p w14:paraId="6260E4D7" w14:textId="77777777" w:rsidR="000167DE" w:rsidRDefault="00E77F57" w:rsidP="000167DE">
      <w:pPr>
        <w:pStyle w:val="ListParagraph"/>
        <w:numPr>
          <w:ilvl w:val="2"/>
          <w:numId w:val="9"/>
        </w:numPr>
        <w:spacing w:after="240" w:line="240" w:lineRule="auto"/>
        <w:contextualSpacing w:val="0"/>
        <w:jc w:val="both"/>
        <w:rPr>
          <w:rFonts w:ascii="Times New Roman" w:hAnsi="Times New Roman" w:cs="Times New Roman"/>
          <w:sz w:val="28"/>
          <w:szCs w:val="28"/>
        </w:rPr>
      </w:pPr>
      <w:r w:rsidRPr="000167DE">
        <w:rPr>
          <w:rFonts w:ascii="Times New Roman" w:hAnsi="Times New Roman" w:cs="Times New Roman"/>
          <w:sz w:val="28"/>
          <w:szCs w:val="28"/>
        </w:rPr>
        <w:t xml:space="preserve">The communication must be made with the express or implied intention that it would not be disclosed to third parties; and </w:t>
      </w:r>
    </w:p>
    <w:p w14:paraId="7C8A1D19" w14:textId="5F5BDE02" w:rsidR="00E77F57" w:rsidRPr="000167DE" w:rsidRDefault="00E77F57" w:rsidP="000167DE">
      <w:pPr>
        <w:pStyle w:val="ListParagraph"/>
        <w:numPr>
          <w:ilvl w:val="2"/>
          <w:numId w:val="9"/>
        </w:numPr>
        <w:spacing w:after="240" w:line="240" w:lineRule="auto"/>
        <w:contextualSpacing w:val="0"/>
        <w:jc w:val="both"/>
        <w:rPr>
          <w:rFonts w:ascii="Times New Roman" w:hAnsi="Times New Roman" w:cs="Times New Roman"/>
          <w:sz w:val="28"/>
          <w:szCs w:val="28"/>
        </w:rPr>
      </w:pPr>
      <w:r w:rsidRPr="000167DE">
        <w:rPr>
          <w:rFonts w:ascii="Times New Roman" w:hAnsi="Times New Roman" w:cs="Times New Roman"/>
          <w:sz w:val="28"/>
          <w:szCs w:val="28"/>
        </w:rPr>
        <w:t xml:space="preserve">The purpose of the communication must be to </w:t>
      </w:r>
      <w:r w:rsidR="00FE7E3A" w:rsidRPr="000167DE">
        <w:rPr>
          <w:rFonts w:ascii="Times New Roman" w:hAnsi="Times New Roman" w:cs="Times New Roman"/>
          <w:sz w:val="28"/>
          <w:szCs w:val="28"/>
        </w:rPr>
        <w:t xml:space="preserve">attempt to </w:t>
      </w:r>
      <w:r w:rsidR="00FE7E3A" w:rsidRPr="00995A67">
        <w:rPr>
          <w:rFonts w:ascii="Times New Roman" w:hAnsi="Times New Roman" w:cs="Times New Roman"/>
          <w:sz w:val="28"/>
          <w:szCs w:val="28"/>
        </w:rPr>
        <w:t>effect</w:t>
      </w:r>
      <w:r w:rsidR="00FE7E3A" w:rsidRPr="000167DE">
        <w:rPr>
          <w:rFonts w:ascii="Times New Roman" w:hAnsi="Times New Roman" w:cs="Times New Roman"/>
          <w:sz w:val="28"/>
          <w:szCs w:val="28"/>
        </w:rPr>
        <w:t xml:space="preserve"> a settlement. </w:t>
      </w:r>
    </w:p>
    <w:p w14:paraId="3922E156" w14:textId="30F00D02" w:rsidR="00FE7E3A" w:rsidRDefault="00FE7E3A" w:rsidP="00841D44">
      <w:pPr>
        <w:spacing w:line="240" w:lineRule="auto"/>
        <w:rPr>
          <w:rFonts w:ascii="Times New Roman" w:hAnsi="Times New Roman" w:cs="Times New Roman"/>
          <w:sz w:val="28"/>
          <w:szCs w:val="28"/>
        </w:rPr>
      </w:pPr>
      <w:r w:rsidRPr="004F6D70">
        <w:rPr>
          <w:rFonts w:ascii="Times New Roman" w:hAnsi="Times New Roman" w:cs="Times New Roman"/>
          <w:i/>
          <w:iCs/>
          <w:sz w:val="28"/>
          <w:szCs w:val="28"/>
        </w:rPr>
        <w:t>Cowichan Tribes v Canada (Attorney General</w:t>
      </w:r>
      <w:r>
        <w:rPr>
          <w:rFonts w:ascii="Times New Roman" w:hAnsi="Times New Roman" w:cs="Times New Roman"/>
          <w:sz w:val="28"/>
          <w:szCs w:val="28"/>
        </w:rPr>
        <w:t>)</w:t>
      </w:r>
      <w:r w:rsidR="004F6D70">
        <w:rPr>
          <w:rFonts w:ascii="Times New Roman" w:hAnsi="Times New Roman" w:cs="Times New Roman"/>
          <w:sz w:val="28"/>
          <w:szCs w:val="28"/>
        </w:rPr>
        <w:t xml:space="preserve"> 2020 BCSC 1507 </w:t>
      </w:r>
      <w:r w:rsidR="00DB3BE8" w:rsidRPr="00DB3BE8">
        <w:rPr>
          <w:rFonts w:ascii="Times New Roman" w:hAnsi="Times New Roman" w:cs="Times New Roman"/>
          <w:sz w:val="28"/>
          <w:szCs w:val="28"/>
        </w:rPr>
        <w:t>[</w:t>
      </w:r>
      <w:r w:rsidR="00DB3BE8" w:rsidRPr="00DB3BE8">
        <w:rPr>
          <w:rFonts w:ascii="Times New Roman" w:hAnsi="Times New Roman" w:cs="Times New Roman"/>
          <w:i/>
          <w:iCs/>
          <w:sz w:val="28"/>
          <w:szCs w:val="28"/>
        </w:rPr>
        <w:t>Cowichan</w:t>
      </w:r>
      <w:r w:rsidR="00DB3BE8" w:rsidRPr="00DB3BE8">
        <w:rPr>
          <w:rFonts w:ascii="Times New Roman" w:hAnsi="Times New Roman" w:cs="Times New Roman"/>
          <w:sz w:val="28"/>
          <w:szCs w:val="28"/>
        </w:rPr>
        <w:t xml:space="preserve">] </w:t>
      </w:r>
      <w:r w:rsidR="004F6D70">
        <w:rPr>
          <w:rFonts w:ascii="Times New Roman" w:hAnsi="Times New Roman" w:cs="Times New Roman"/>
          <w:sz w:val="28"/>
          <w:szCs w:val="28"/>
        </w:rPr>
        <w:t xml:space="preserve">at para 74. </w:t>
      </w:r>
      <w:r w:rsidR="00D43629">
        <w:rPr>
          <w:rFonts w:ascii="Times New Roman" w:hAnsi="Times New Roman" w:cs="Times New Roman"/>
          <w:sz w:val="28"/>
          <w:szCs w:val="28"/>
        </w:rPr>
        <w:t xml:space="preserve"> See also </w:t>
      </w:r>
      <w:r w:rsidR="00D43629" w:rsidRPr="00291531">
        <w:rPr>
          <w:rFonts w:ascii="Times New Roman" w:hAnsi="Times New Roman" w:cs="Times New Roman"/>
          <w:i/>
          <w:iCs/>
          <w:sz w:val="28"/>
          <w:szCs w:val="28"/>
        </w:rPr>
        <w:t>Phoa v Ley</w:t>
      </w:r>
      <w:r w:rsidR="00D43629" w:rsidRPr="00D43629">
        <w:rPr>
          <w:rFonts w:ascii="Times New Roman" w:hAnsi="Times New Roman" w:cs="Times New Roman"/>
          <w:sz w:val="28"/>
          <w:szCs w:val="28"/>
        </w:rPr>
        <w:t>, 2020 ABCA 195 at para 15</w:t>
      </w:r>
      <w:r w:rsidR="003E5F2C">
        <w:rPr>
          <w:rFonts w:ascii="Times New Roman" w:hAnsi="Times New Roman" w:cs="Times New Roman"/>
          <w:sz w:val="28"/>
          <w:szCs w:val="28"/>
        </w:rPr>
        <w:t>.</w:t>
      </w:r>
    </w:p>
    <w:p w14:paraId="218E738A" w14:textId="4662509F" w:rsidR="00917703" w:rsidRDefault="000B0A08" w:rsidP="00BE5519">
      <w:pPr>
        <w:pStyle w:val="ListParagraph"/>
        <w:numPr>
          <w:ilvl w:val="0"/>
          <w:numId w:val="9"/>
        </w:numPr>
        <w:spacing w:after="240" w:line="240" w:lineRule="auto"/>
        <w:ind w:left="0" w:firstLine="0"/>
        <w:contextualSpacing w:val="0"/>
        <w:jc w:val="both"/>
        <w:rPr>
          <w:rFonts w:ascii="Times New Roman" w:hAnsi="Times New Roman" w:cs="Times New Roman"/>
          <w:sz w:val="28"/>
          <w:szCs w:val="28"/>
        </w:rPr>
      </w:pPr>
      <w:r>
        <w:rPr>
          <w:rFonts w:ascii="Times New Roman" w:hAnsi="Times New Roman" w:cs="Times New Roman"/>
          <w:sz w:val="28"/>
          <w:szCs w:val="28"/>
        </w:rPr>
        <w:t>Th</w:t>
      </w:r>
      <w:r w:rsidR="0025131E">
        <w:rPr>
          <w:rFonts w:ascii="Times New Roman" w:hAnsi="Times New Roman" w:cs="Times New Roman"/>
          <w:sz w:val="28"/>
          <w:szCs w:val="28"/>
        </w:rPr>
        <w:t xml:space="preserve">e Defendants assert </w:t>
      </w:r>
      <w:r w:rsidR="00B55AA6">
        <w:rPr>
          <w:rFonts w:ascii="Times New Roman" w:hAnsi="Times New Roman" w:cs="Times New Roman"/>
          <w:sz w:val="28"/>
          <w:szCs w:val="28"/>
        </w:rPr>
        <w:t>that Canada has not established that a litigious dispute is in existence or within co</w:t>
      </w:r>
      <w:r w:rsidR="00EE5390">
        <w:rPr>
          <w:rFonts w:ascii="Times New Roman" w:hAnsi="Times New Roman" w:cs="Times New Roman"/>
          <w:sz w:val="28"/>
          <w:szCs w:val="28"/>
        </w:rPr>
        <w:t xml:space="preserve">ntemplation </w:t>
      </w:r>
      <w:r w:rsidR="00257C0B">
        <w:rPr>
          <w:rFonts w:ascii="Times New Roman" w:hAnsi="Times New Roman" w:cs="Times New Roman"/>
          <w:sz w:val="28"/>
          <w:szCs w:val="28"/>
        </w:rPr>
        <w:t xml:space="preserve">or </w:t>
      </w:r>
      <w:r w:rsidR="00EE5390">
        <w:rPr>
          <w:rFonts w:ascii="Times New Roman" w:hAnsi="Times New Roman" w:cs="Times New Roman"/>
          <w:sz w:val="28"/>
          <w:szCs w:val="28"/>
        </w:rPr>
        <w:t>that the communication in question was for th</w:t>
      </w:r>
      <w:r w:rsidR="00257C0B">
        <w:rPr>
          <w:rFonts w:ascii="Times New Roman" w:hAnsi="Times New Roman" w:cs="Times New Roman"/>
          <w:sz w:val="28"/>
          <w:szCs w:val="28"/>
        </w:rPr>
        <w:t xml:space="preserve">e purpose of attempting to </w:t>
      </w:r>
      <w:r w:rsidR="00257C0B" w:rsidRPr="00995A67">
        <w:rPr>
          <w:rFonts w:ascii="Times New Roman" w:hAnsi="Times New Roman" w:cs="Times New Roman"/>
          <w:sz w:val="28"/>
          <w:szCs w:val="28"/>
        </w:rPr>
        <w:t>effect</w:t>
      </w:r>
      <w:r w:rsidR="00257C0B">
        <w:rPr>
          <w:rFonts w:ascii="Times New Roman" w:hAnsi="Times New Roman" w:cs="Times New Roman"/>
          <w:sz w:val="28"/>
          <w:szCs w:val="28"/>
        </w:rPr>
        <w:t xml:space="preserve"> a settlement. </w:t>
      </w:r>
      <w:r w:rsidR="005A4019">
        <w:rPr>
          <w:rFonts w:ascii="Times New Roman" w:hAnsi="Times New Roman" w:cs="Times New Roman"/>
          <w:sz w:val="28"/>
          <w:szCs w:val="28"/>
        </w:rPr>
        <w:t xml:space="preserve"> They point to the fact that no litigation ha</w:t>
      </w:r>
      <w:r w:rsidR="006827AE">
        <w:rPr>
          <w:rFonts w:ascii="Times New Roman" w:hAnsi="Times New Roman" w:cs="Times New Roman"/>
          <w:sz w:val="28"/>
          <w:szCs w:val="28"/>
        </w:rPr>
        <w:t xml:space="preserve">d </w:t>
      </w:r>
      <w:r w:rsidR="005A4019">
        <w:rPr>
          <w:rFonts w:ascii="Times New Roman" w:hAnsi="Times New Roman" w:cs="Times New Roman"/>
          <w:sz w:val="28"/>
          <w:szCs w:val="28"/>
        </w:rPr>
        <w:t xml:space="preserve">been commenced </w:t>
      </w:r>
      <w:r w:rsidR="00C00A43">
        <w:rPr>
          <w:rFonts w:ascii="Times New Roman" w:hAnsi="Times New Roman" w:cs="Times New Roman"/>
          <w:sz w:val="28"/>
          <w:szCs w:val="28"/>
        </w:rPr>
        <w:t xml:space="preserve">or contemplated </w:t>
      </w:r>
      <w:r w:rsidR="006827AE">
        <w:rPr>
          <w:rFonts w:ascii="Times New Roman" w:hAnsi="Times New Roman" w:cs="Times New Roman"/>
          <w:sz w:val="28"/>
          <w:szCs w:val="28"/>
        </w:rPr>
        <w:t xml:space="preserve">when the negotiations were commenced. </w:t>
      </w:r>
      <w:r w:rsidR="00762714">
        <w:rPr>
          <w:rFonts w:ascii="Times New Roman" w:hAnsi="Times New Roman" w:cs="Times New Roman"/>
          <w:sz w:val="28"/>
          <w:szCs w:val="28"/>
        </w:rPr>
        <w:t xml:space="preserve"> They note that Canada’s affiant, Ms. E</w:t>
      </w:r>
      <w:r w:rsidR="00C9414E">
        <w:rPr>
          <w:rFonts w:ascii="Times New Roman" w:hAnsi="Times New Roman" w:cs="Times New Roman"/>
          <w:sz w:val="28"/>
          <w:szCs w:val="28"/>
        </w:rPr>
        <w:t>eles</w:t>
      </w:r>
      <w:r w:rsidR="00762714">
        <w:rPr>
          <w:rFonts w:ascii="Times New Roman" w:hAnsi="Times New Roman" w:cs="Times New Roman"/>
          <w:sz w:val="28"/>
          <w:szCs w:val="28"/>
        </w:rPr>
        <w:t xml:space="preserve">, </w:t>
      </w:r>
      <w:r w:rsidR="00BA3060">
        <w:rPr>
          <w:rFonts w:ascii="Times New Roman" w:hAnsi="Times New Roman" w:cs="Times New Roman"/>
          <w:sz w:val="28"/>
          <w:szCs w:val="28"/>
        </w:rPr>
        <w:t xml:space="preserve">indicated that the intention of the negotiations was to </w:t>
      </w:r>
      <w:r w:rsidR="008B734D">
        <w:rPr>
          <w:rFonts w:ascii="Times New Roman" w:hAnsi="Times New Roman" w:cs="Times New Roman"/>
          <w:sz w:val="28"/>
          <w:szCs w:val="28"/>
        </w:rPr>
        <w:t xml:space="preserve">clarify treaty and aboriginal rights in the region, </w:t>
      </w:r>
      <w:r w:rsidR="00D81C73">
        <w:rPr>
          <w:rFonts w:ascii="Times New Roman" w:hAnsi="Times New Roman" w:cs="Times New Roman"/>
          <w:sz w:val="28"/>
          <w:szCs w:val="28"/>
        </w:rPr>
        <w:t xml:space="preserve">however, that </w:t>
      </w:r>
      <w:r w:rsidR="007806D1">
        <w:rPr>
          <w:rFonts w:ascii="Times New Roman" w:hAnsi="Times New Roman" w:cs="Times New Roman"/>
          <w:sz w:val="28"/>
          <w:szCs w:val="28"/>
        </w:rPr>
        <w:t>she could</w:t>
      </w:r>
      <w:r w:rsidR="008B734D">
        <w:rPr>
          <w:rFonts w:ascii="Times New Roman" w:hAnsi="Times New Roman" w:cs="Times New Roman"/>
          <w:sz w:val="28"/>
          <w:szCs w:val="28"/>
        </w:rPr>
        <w:t xml:space="preserve"> not identify any disputes</w:t>
      </w:r>
      <w:r w:rsidR="00D81C73">
        <w:rPr>
          <w:rFonts w:ascii="Times New Roman" w:hAnsi="Times New Roman" w:cs="Times New Roman"/>
          <w:sz w:val="28"/>
          <w:szCs w:val="28"/>
        </w:rPr>
        <w:t xml:space="preserve"> between Canada and ADFN or the GNWT. </w:t>
      </w:r>
      <w:r w:rsidR="00712737">
        <w:rPr>
          <w:rFonts w:ascii="Times New Roman" w:hAnsi="Times New Roman" w:cs="Times New Roman"/>
          <w:sz w:val="28"/>
          <w:szCs w:val="28"/>
        </w:rPr>
        <w:t xml:space="preserve"> </w:t>
      </w:r>
    </w:p>
    <w:p w14:paraId="6AA1A975" w14:textId="3F639183" w:rsidR="00712737" w:rsidRDefault="00712737" w:rsidP="00BE5519">
      <w:pPr>
        <w:pStyle w:val="ListParagraph"/>
        <w:numPr>
          <w:ilvl w:val="0"/>
          <w:numId w:val="9"/>
        </w:numPr>
        <w:spacing w:after="240" w:line="240" w:lineRule="auto"/>
        <w:ind w:left="0" w:firstLine="0"/>
        <w:contextualSpacing w:val="0"/>
        <w:jc w:val="both"/>
        <w:rPr>
          <w:rFonts w:ascii="Times New Roman" w:hAnsi="Times New Roman" w:cs="Times New Roman"/>
          <w:sz w:val="28"/>
          <w:szCs w:val="28"/>
        </w:rPr>
      </w:pPr>
      <w:r>
        <w:rPr>
          <w:rFonts w:ascii="Times New Roman" w:hAnsi="Times New Roman" w:cs="Times New Roman"/>
          <w:sz w:val="28"/>
          <w:szCs w:val="28"/>
        </w:rPr>
        <w:t xml:space="preserve">The Defendants </w:t>
      </w:r>
      <w:r w:rsidR="00312F1A">
        <w:rPr>
          <w:rFonts w:ascii="Times New Roman" w:hAnsi="Times New Roman" w:cs="Times New Roman"/>
          <w:sz w:val="28"/>
          <w:szCs w:val="28"/>
        </w:rPr>
        <w:t xml:space="preserve">assert </w:t>
      </w:r>
      <w:r w:rsidR="001A139F">
        <w:rPr>
          <w:rFonts w:ascii="Times New Roman" w:hAnsi="Times New Roman" w:cs="Times New Roman"/>
          <w:sz w:val="28"/>
          <w:szCs w:val="28"/>
        </w:rPr>
        <w:t xml:space="preserve">that the mere existence of a potential dispute is insufficient to meet the criteria </w:t>
      </w:r>
      <w:r w:rsidR="002C42AA">
        <w:rPr>
          <w:rFonts w:ascii="Times New Roman" w:hAnsi="Times New Roman" w:cs="Times New Roman"/>
          <w:sz w:val="28"/>
          <w:szCs w:val="28"/>
        </w:rPr>
        <w:t xml:space="preserve">for settlement privilege.  They rely on </w:t>
      </w:r>
      <w:r w:rsidR="002C42AA" w:rsidRPr="00C9414E">
        <w:rPr>
          <w:rFonts w:ascii="Times New Roman" w:hAnsi="Times New Roman" w:cs="Times New Roman"/>
          <w:i/>
          <w:iCs/>
          <w:sz w:val="28"/>
          <w:szCs w:val="28"/>
        </w:rPr>
        <w:t>Ross River Dena Council v The Attorney General of Canada</w:t>
      </w:r>
      <w:r w:rsidR="002C42AA">
        <w:rPr>
          <w:rFonts w:ascii="Times New Roman" w:hAnsi="Times New Roman" w:cs="Times New Roman"/>
          <w:sz w:val="28"/>
          <w:szCs w:val="28"/>
        </w:rPr>
        <w:t xml:space="preserve">, 2009 YKSC 4 </w:t>
      </w:r>
      <w:r w:rsidR="00093E6A">
        <w:rPr>
          <w:rFonts w:ascii="Times New Roman" w:hAnsi="Times New Roman" w:cs="Times New Roman"/>
          <w:sz w:val="28"/>
          <w:szCs w:val="28"/>
        </w:rPr>
        <w:t>[</w:t>
      </w:r>
      <w:r w:rsidR="00093E6A" w:rsidRPr="00093E6A">
        <w:rPr>
          <w:rFonts w:ascii="Times New Roman" w:hAnsi="Times New Roman" w:cs="Times New Roman"/>
          <w:i/>
          <w:iCs/>
          <w:sz w:val="28"/>
          <w:szCs w:val="28"/>
        </w:rPr>
        <w:t>Ross River</w:t>
      </w:r>
      <w:r w:rsidR="00093E6A">
        <w:rPr>
          <w:rFonts w:ascii="Times New Roman" w:hAnsi="Times New Roman" w:cs="Times New Roman"/>
          <w:sz w:val="28"/>
          <w:szCs w:val="28"/>
        </w:rPr>
        <w:t xml:space="preserve">] </w:t>
      </w:r>
      <w:r w:rsidR="0077725C">
        <w:rPr>
          <w:rFonts w:ascii="Times New Roman" w:hAnsi="Times New Roman" w:cs="Times New Roman"/>
          <w:sz w:val="28"/>
          <w:szCs w:val="28"/>
        </w:rPr>
        <w:t xml:space="preserve">at </w:t>
      </w:r>
      <w:r w:rsidR="00827C9B">
        <w:rPr>
          <w:rFonts w:ascii="Times New Roman" w:hAnsi="Times New Roman" w:cs="Times New Roman"/>
          <w:sz w:val="28"/>
          <w:szCs w:val="28"/>
        </w:rPr>
        <w:t>para 41</w:t>
      </w:r>
      <w:r w:rsidR="0077725C">
        <w:rPr>
          <w:rFonts w:ascii="Times New Roman" w:hAnsi="Times New Roman" w:cs="Times New Roman"/>
          <w:sz w:val="28"/>
          <w:szCs w:val="28"/>
        </w:rPr>
        <w:t xml:space="preserve"> where </w:t>
      </w:r>
      <w:r w:rsidR="001E7E18">
        <w:rPr>
          <w:rFonts w:ascii="Times New Roman" w:hAnsi="Times New Roman" w:cs="Times New Roman"/>
          <w:sz w:val="28"/>
          <w:szCs w:val="28"/>
        </w:rPr>
        <w:t xml:space="preserve">Gower J </w:t>
      </w:r>
      <w:r w:rsidR="00D43629">
        <w:rPr>
          <w:rFonts w:ascii="Times New Roman" w:hAnsi="Times New Roman" w:cs="Times New Roman"/>
          <w:sz w:val="28"/>
          <w:szCs w:val="28"/>
        </w:rPr>
        <w:t xml:space="preserve">cited with approval the comment of Wedge J in </w:t>
      </w:r>
      <w:r w:rsidR="00D43629" w:rsidRPr="00291531">
        <w:rPr>
          <w:rFonts w:ascii="Times New Roman" w:hAnsi="Times New Roman" w:cs="Times New Roman"/>
          <w:i/>
          <w:iCs/>
          <w:sz w:val="28"/>
          <w:szCs w:val="28"/>
        </w:rPr>
        <w:t>Hockey Acquisition Co v Orca Bay Hockey Ltd</w:t>
      </w:r>
      <w:r w:rsidR="00D43629" w:rsidRPr="00D43629">
        <w:rPr>
          <w:rFonts w:ascii="Times New Roman" w:hAnsi="Times New Roman" w:cs="Times New Roman"/>
          <w:sz w:val="28"/>
          <w:szCs w:val="28"/>
        </w:rPr>
        <w:t>., 2007 BCSC 143 at para 104</w:t>
      </w:r>
      <w:r w:rsidR="00C27F39">
        <w:rPr>
          <w:rFonts w:ascii="Times New Roman" w:hAnsi="Times New Roman" w:cs="Times New Roman"/>
          <w:sz w:val="28"/>
          <w:szCs w:val="28"/>
        </w:rPr>
        <w:t>:</w:t>
      </w:r>
    </w:p>
    <w:p w14:paraId="6ADAB31A" w14:textId="69D2292D" w:rsidR="0077725C" w:rsidRPr="007A4938" w:rsidRDefault="00DE74E1" w:rsidP="007A4938">
      <w:pPr>
        <w:pStyle w:val="ListParagraph"/>
        <w:spacing w:after="240" w:line="240" w:lineRule="auto"/>
        <w:ind w:left="567" w:right="571"/>
        <w:contextualSpacing w:val="0"/>
        <w:jc w:val="both"/>
        <w:rPr>
          <w:rFonts w:ascii="Times New Roman" w:hAnsi="Times New Roman" w:cs="Times New Roman"/>
          <w:sz w:val="24"/>
          <w:szCs w:val="24"/>
        </w:rPr>
      </w:pPr>
      <w:r w:rsidRPr="007A4938">
        <w:rPr>
          <w:rFonts w:ascii="Times New Roman" w:hAnsi="Times New Roman" w:cs="Times New Roman"/>
          <w:sz w:val="24"/>
          <w:szCs w:val="24"/>
        </w:rPr>
        <w:t>…[T]he mere existence of a dis</w:t>
      </w:r>
      <w:r w:rsidR="00261C52" w:rsidRPr="007A4938">
        <w:rPr>
          <w:rFonts w:ascii="Times New Roman" w:hAnsi="Times New Roman" w:cs="Times New Roman"/>
          <w:sz w:val="24"/>
          <w:szCs w:val="24"/>
        </w:rPr>
        <w:t xml:space="preserve">pute or potential dispute does not give rise to the privilege.  Only where the dispute has become “litigious” does the privilege arise.  A dispute is “litigious” where litigation is commenced or contemplated. </w:t>
      </w:r>
    </w:p>
    <w:p w14:paraId="59300AB4" w14:textId="6704D021" w:rsidR="00276924" w:rsidRPr="00276924" w:rsidRDefault="00E82DB1" w:rsidP="00BE5519">
      <w:pPr>
        <w:pStyle w:val="ListParagraph"/>
        <w:numPr>
          <w:ilvl w:val="0"/>
          <w:numId w:val="9"/>
        </w:numPr>
        <w:spacing w:after="240" w:line="240" w:lineRule="auto"/>
        <w:ind w:left="0" w:firstLine="0"/>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 xml:space="preserve">In terms of evaluating whether litigation is commenced or contemplated, </w:t>
      </w:r>
      <w:r w:rsidR="002D5038">
        <w:rPr>
          <w:rFonts w:ascii="Times New Roman" w:hAnsi="Times New Roman" w:cs="Times New Roman"/>
          <w:sz w:val="28"/>
          <w:szCs w:val="28"/>
        </w:rPr>
        <w:t xml:space="preserve">Gower J </w:t>
      </w:r>
      <w:r>
        <w:rPr>
          <w:rFonts w:ascii="Times New Roman" w:hAnsi="Times New Roman" w:cs="Times New Roman"/>
          <w:sz w:val="28"/>
          <w:szCs w:val="28"/>
        </w:rPr>
        <w:t xml:space="preserve">adopted the test set out in </w:t>
      </w:r>
      <w:r w:rsidR="00276924" w:rsidRPr="00276924">
        <w:rPr>
          <w:rFonts w:ascii="Times New Roman" w:hAnsi="Times New Roman" w:cs="Times New Roman"/>
          <w:i/>
          <w:iCs/>
          <w:sz w:val="28"/>
          <w:szCs w:val="28"/>
        </w:rPr>
        <w:t>Keefer Laundry</w:t>
      </w:r>
      <w:r w:rsidR="006872B7">
        <w:rPr>
          <w:rFonts w:ascii="Times New Roman" w:hAnsi="Times New Roman" w:cs="Times New Roman"/>
          <w:sz w:val="28"/>
          <w:szCs w:val="28"/>
        </w:rPr>
        <w:t xml:space="preserve"> </w:t>
      </w:r>
      <w:r w:rsidR="00B0509D" w:rsidRPr="002E7E84">
        <w:rPr>
          <w:rFonts w:ascii="Times New Roman" w:hAnsi="Times New Roman" w:cs="Times New Roman"/>
          <w:i/>
          <w:iCs/>
          <w:sz w:val="28"/>
          <w:szCs w:val="28"/>
        </w:rPr>
        <w:t xml:space="preserve">Ltd </w:t>
      </w:r>
      <w:r w:rsidR="002E7E84" w:rsidRPr="002E7E84">
        <w:rPr>
          <w:rFonts w:ascii="Times New Roman" w:hAnsi="Times New Roman" w:cs="Times New Roman"/>
          <w:i/>
          <w:iCs/>
          <w:sz w:val="28"/>
          <w:szCs w:val="28"/>
        </w:rPr>
        <w:t xml:space="preserve">v </w:t>
      </w:r>
      <w:r w:rsidR="00B0509D" w:rsidRPr="002E7E84">
        <w:rPr>
          <w:rFonts w:ascii="Times New Roman" w:hAnsi="Times New Roman" w:cs="Times New Roman"/>
          <w:i/>
          <w:iCs/>
          <w:sz w:val="28"/>
          <w:szCs w:val="28"/>
        </w:rPr>
        <w:t>Pellerin Milnor Corp,</w:t>
      </w:r>
      <w:r w:rsidR="00B0509D">
        <w:rPr>
          <w:rFonts w:ascii="Times New Roman" w:hAnsi="Times New Roman" w:cs="Times New Roman"/>
          <w:sz w:val="28"/>
          <w:szCs w:val="28"/>
        </w:rPr>
        <w:t xml:space="preserve"> 2006 BCSC 1180</w:t>
      </w:r>
      <w:r w:rsidR="00276924" w:rsidRPr="00276924">
        <w:rPr>
          <w:rFonts w:ascii="Times New Roman" w:hAnsi="Times New Roman" w:cs="Times New Roman"/>
          <w:sz w:val="28"/>
          <w:szCs w:val="28"/>
        </w:rPr>
        <w:t xml:space="preserve"> at para 97:</w:t>
      </w:r>
    </w:p>
    <w:p w14:paraId="34F79F33" w14:textId="7959A1F0" w:rsidR="00257C0B" w:rsidRPr="0036347F" w:rsidRDefault="00276924" w:rsidP="0036347F">
      <w:pPr>
        <w:pStyle w:val="ListParagraph"/>
        <w:spacing w:after="240" w:line="240" w:lineRule="auto"/>
        <w:ind w:left="567" w:right="571"/>
        <w:contextualSpacing w:val="0"/>
        <w:jc w:val="both"/>
        <w:rPr>
          <w:rFonts w:ascii="Times New Roman" w:hAnsi="Times New Roman" w:cs="Times New Roman"/>
          <w:sz w:val="24"/>
          <w:szCs w:val="24"/>
        </w:rPr>
      </w:pPr>
      <w:r w:rsidRPr="0036347F">
        <w:rPr>
          <w:rFonts w:ascii="Times New Roman" w:hAnsi="Times New Roman" w:cs="Times New Roman"/>
          <w:sz w:val="24"/>
          <w:szCs w:val="24"/>
        </w:rPr>
        <w:t>…Litigation can be said to be reasonably contemplated when a reasonable person, with the same knowledge of the situation as one or both of the parties, would find it unlikely that the dispute will be resolved without it.</w:t>
      </w:r>
    </w:p>
    <w:p w14:paraId="2804BFED" w14:textId="35CAD5A9" w:rsidR="007D6B96" w:rsidRDefault="00184EB0" w:rsidP="00BE5519">
      <w:pPr>
        <w:pStyle w:val="ListParagraph"/>
        <w:numPr>
          <w:ilvl w:val="0"/>
          <w:numId w:val="9"/>
        </w:numPr>
        <w:spacing w:after="240" w:line="240" w:lineRule="auto"/>
        <w:ind w:left="0" w:firstLine="0"/>
        <w:contextualSpacing w:val="0"/>
        <w:jc w:val="both"/>
        <w:rPr>
          <w:rFonts w:ascii="Times New Roman" w:hAnsi="Times New Roman" w:cs="Times New Roman"/>
          <w:sz w:val="28"/>
          <w:szCs w:val="28"/>
        </w:rPr>
      </w:pPr>
      <w:r>
        <w:rPr>
          <w:rFonts w:ascii="Times New Roman" w:hAnsi="Times New Roman" w:cs="Times New Roman"/>
          <w:sz w:val="28"/>
          <w:szCs w:val="28"/>
        </w:rPr>
        <w:t>The</w:t>
      </w:r>
      <w:r w:rsidR="00083785">
        <w:rPr>
          <w:rFonts w:ascii="Times New Roman" w:hAnsi="Times New Roman" w:cs="Times New Roman"/>
          <w:sz w:val="28"/>
          <w:szCs w:val="28"/>
        </w:rPr>
        <w:t xml:space="preserve"> </w:t>
      </w:r>
      <w:r w:rsidR="00416633">
        <w:rPr>
          <w:rFonts w:ascii="Times New Roman" w:hAnsi="Times New Roman" w:cs="Times New Roman"/>
          <w:sz w:val="28"/>
          <w:szCs w:val="28"/>
        </w:rPr>
        <w:t xml:space="preserve">evidence is that </w:t>
      </w:r>
      <w:r w:rsidR="004630A1">
        <w:rPr>
          <w:rFonts w:ascii="Times New Roman" w:hAnsi="Times New Roman" w:cs="Times New Roman"/>
          <w:sz w:val="28"/>
          <w:szCs w:val="28"/>
        </w:rPr>
        <w:t>Canada accepted the Akaitcho land claim submission for negotiation</w:t>
      </w:r>
      <w:r w:rsidR="00083785">
        <w:rPr>
          <w:rFonts w:ascii="Times New Roman" w:hAnsi="Times New Roman" w:cs="Times New Roman"/>
          <w:sz w:val="28"/>
          <w:szCs w:val="28"/>
        </w:rPr>
        <w:t xml:space="preserve"> </w:t>
      </w:r>
      <w:r w:rsidR="004630A1">
        <w:rPr>
          <w:rFonts w:ascii="Times New Roman" w:hAnsi="Times New Roman" w:cs="Times New Roman"/>
          <w:sz w:val="28"/>
          <w:szCs w:val="28"/>
        </w:rPr>
        <w:t>in 1997</w:t>
      </w:r>
      <w:r w:rsidR="006531B7">
        <w:rPr>
          <w:rFonts w:ascii="Times New Roman" w:hAnsi="Times New Roman" w:cs="Times New Roman"/>
          <w:sz w:val="28"/>
          <w:szCs w:val="28"/>
        </w:rPr>
        <w:t xml:space="preserve"> and a Chief Federal Negotiator was appointed.  </w:t>
      </w:r>
      <w:r w:rsidR="00103A0F">
        <w:rPr>
          <w:rFonts w:ascii="Times New Roman" w:hAnsi="Times New Roman" w:cs="Times New Roman"/>
          <w:sz w:val="28"/>
          <w:szCs w:val="28"/>
        </w:rPr>
        <w:t>That led to</w:t>
      </w:r>
      <w:r w:rsidR="004630A1">
        <w:rPr>
          <w:rFonts w:ascii="Times New Roman" w:hAnsi="Times New Roman" w:cs="Times New Roman"/>
          <w:sz w:val="28"/>
          <w:szCs w:val="28"/>
        </w:rPr>
        <w:t xml:space="preserve"> the completion of the Framework Agreement in </w:t>
      </w:r>
      <w:r w:rsidR="009933BA">
        <w:rPr>
          <w:rFonts w:ascii="Times New Roman" w:hAnsi="Times New Roman" w:cs="Times New Roman"/>
          <w:sz w:val="28"/>
          <w:szCs w:val="28"/>
        </w:rPr>
        <w:t xml:space="preserve">2000. </w:t>
      </w:r>
      <w:r w:rsidR="000D4E5D">
        <w:rPr>
          <w:rFonts w:ascii="Times New Roman" w:hAnsi="Times New Roman" w:cs="Times New Roman"/>
          <w:sz w:val="28"/>
          <w:szCs w:val="28"/>
        </w:rPr>
        <w:t xml:space="preserve"> The Framework Agreement references, in clause </w:t>
      </w:r>
      <w:r w:rsidR="00331229">
        <w:rPr>
          <w:rFonts w:ascii="Times New Roman" w:hAnsi="Times New Roman" w:cs="Times New Roman"/>
          <w:sz w:val="28"/>
          <w:szCs w:val="28"/>
        </w:rPr>
        <w:t>3.1(b)(</w:t>
      </w:r>
      <w:r w:rsidR="004B668B">
        <w:rPr>
          <w:rFonts w:ascii="Times New Roman" w:hAnsi="Times New Roman" w:cs="Times New Roman"/>
          <w:sz w:val="28"/>
          <w:szCs w:val="28"/>
        </w:rPr>
        <w:t xml:space="preserve">i) that one of the objectives of negotiations is to “provide for clarity of rights and resources”.  </w:t>
      </w:r>
      <w:r w:rsidR="00C910BC">
        <w:rPr>
          <w:rFonts w:ascii="Times New Roman" w:hAnsi="Times New Roman" w:cs="Times New Roman"/>
          <w:sz w:val="28"/>
          <w:szCs w:val="28"/>
        </w:rPr>
        <w:t xml:space="preserve">Case law has made it evident that </w:t>
      </w:r>
      <w:r w:rsidR="003E6EB1">
        <w:rPr>
          <w:rFonts w:ascii="Times New Roman" w:hAnsi="Times New Roman" w:cs="Times New Roman"/>
          <w:sz w:val="28"/>
          <w:szCs w:val="28"/>
        </w:rPr>
        <w:t xml:space="preserve">absent a settlement of indigenous or treaty rights, </w:t>
      </w:r>
      <w:r w:rsidR="00EE6676">
        <w:rPr>
          <w:rFonts w:ascii="Times New Roman" w:hAnsi="Times New Roman" w:cs="Times New Roman"/>
          <w:sz w:val="28"/>
          <w:szCs w:val="28"/>
        </w:rPr>
        <w:t xml:space="preserve">there is a great deal of uncertainty over taking any action in relation to lands </w:t>
      </w:r>
      <w:r w:rsidR="002F5C47">
        <w:rPr>
          <w:rFonts w:ascii="Times New Roman" w:hAnsi="Times New Roman" w:cs="Times New Roman"/>
          <w:sz w:val="28"/>
          <w:szCs w:val="28"/>
        </w:rPr>
        <w:t>where there may be questions with respect to title.</w:t>
      </w:r>
      <w:r w:rsidR="00EE6676">
        <w:rPr>
          <w:rFonts w:ascii="Times New Roman" w:hAnsi="Times New Roman" w:cs="Times New Roman"/>
          <w:sz w:val="28"/>
          <w:szCs w:val="28"/>
        </w:rPr>
        <w:t xml:space="preserve">  </w:t>
      </w:r>
      <w:r w:rsidR="00CE7053">
        <w:rPr>
          <w:rFonts w:ascii="Times New Roman" w:hAnsi="Times New Roman" w:cs="Times New Roman"/>
          <w:sz w:val="28"/>
          <w:szCs w:val="28"/>
        </w:rPr>
        <w:t xml:space="preserve">Most people recognize the desirability of resolving </w:t>
      </w:r>
      <w:r w:rsidR="00FB34B0">
        <w:rPr>
          <w:rFonts w:ascii="Times New Roman" w:hAnsi="Times New Roman" w:cs="Times New Roman"/>
          <w:sz w:val="28"/>
          <w:szCs w:val="28"/>
        </w:rPr>
        <w:t xml:space="preserve">issues in relation to indigenous or treaty rights through negotiation.  </w:t>
      </w:r>
    </w:p>
    <w:p w14:paraId="6C319286" w14:textId="5943A9EF" w:rsidR="003C7F71" w:rsidRDefault="00EE6676" w:rsidP="00BE5519">
      <w:pPr>
        <w:pStyle w:val="ListParagraph"/>
        <w:numPr>
          <w:ilvl w:val="0"/>
          <w:numId w:val="9"/>
        </w:numPr>
        <w:spacing w:after="240" w:line="240" w:lineRule="auto"/>
        <w:ind w:left="0" w:firstLine="0"/>
        <w:contextualSpacing w:val="0"/>
        <w:jc w:val="both"/>
        <w:rPr>
          <w:rFonts w:ascii="Times New Roman" w:hAnsi="Times New Roman" w:cs="Times New Roman"/>
          <w:sz w:val="28"/>
          <w:szCs w:val="28"/>
        </w:rPr>
      </w:pPr>
      <w:r>
        <w:rPr>
          <w:rFonts w:ascii="Times New Roman" w:hAnsi="Times New Roman" w:cs="Times New Roman"/>
          <w:sz w:val="28"/>
          <w:szCs w:val="28"/>
        </w:rPr>
        <w:t xml:space="preserve">As noted by the BCSC in </w:t>
      </w:r>
      <w:r w:rsidRPr="00CB0A28">
        <w:rPr>
          <w:rFonts w:ascii="Times New Roman" w:hAnsi="Times New Roman" w:cs="Times New Roman"/>
          <w:i/>
          <w:iCs/>
          <w:sz w:val="28"/>
          <w:szCs w:val="28"/>
        </w:rPr>
        <w:t>Cowichan</w:t>
      </w:r>
      <w:r w:rsidR="00677265">
        <w:rPr>
          <w:rFonts w:ascii="Times New Roman" w:hAnsi="Times New Roman" w:cs="Times New Roman"/>
          <w:sz w:val="28"/>
          <w:szCs w:val="28"/>
        </w:rPr>
        <w:t xml:space="preserve"> at para </w:t>
      </w:r>
      <w:r w:rsidR="003C7F71">
        <w:rPr>
          <w:rFonts w:ascii="Times New Roman" w:hAnsi="Times New Roman" w:cs="Times New Roman"/>
          <w:sz w:val="28"/>
          <w:szCs w:val="28"/>
        </w:rPr>
        <w:t xml:space="preserve">76: </w:t>
      </w:r>
    </w:p>
    <w:p w14:paraId="07FBFF5E" w14:textId="7C5F3999" w:rsidR="00917703" w:rsidRPr="002147A3" w:rsidRDefault="003C7F71" w:rsidP="002147A3">
      <w:pPr>
        <w:pStyle w:val="ListParagraph"/>
        <w:spacing w:after="240" w:line="240" w:lineRule="auto"/>
        <w:ind w:left="567" w:right="571"/>
        <w:contextualSpacing w:val="0"/>
        <w:jc w:val="both"/>
        <w:rPr>
          <w:rFonts w:ascii="Times New Roman" w:hAnsi="Times New Roman" w:cs="Times New Roman"/>
          <w:sz w:val="24"/>
          <w:szCs w:val="24"/>
        </w:rPr>
      </w:pPr>
      <w:r w:rsidRPr="002147A3">
        <w:rPr>
          <w:rFonts w:ascii="Times New Roman" w:hAnsi="Times New Roman" w:cs="Times New Roman"/>
          <w:sz w:val="24"/>
          <w:szCs w:val="24"/>
        </w:rPr>
        <w:t>The affidavit evidence states that treaty negotiations arise in order to avoid future litigation. The litigious dispute in contemplation is the question of Cowichan Tribes’ claims to land. If the negotiations are unsuccessful, a reasonable person, with the same knowledge as Cowichan Tribes, would find it unlikely that the dispute regarding land would be resolved without litigation. I find that the first element of the settlement privilege test has been established.</w:t>
      </w:r>
    </w:p>
    <w:p w14:paraId="7EE9362D" w14:textId="41361662" w:rsidR="00993D4F" w:rsidRDefault="005E0236" w:rsidP="00BE5519">
      <w:pPr>
        <w:pStyle w:val="ListParagraph"/>
        <w:numPr>
          <w:ilvl w:val="0"/>
          <w:numId w:val="9"/>
        </w:numPr>
        <w:spacing w:after="240" w:line="240" w:lineRule="auto"/>
        <w:ind w:left="0" w:firstLine="0"/>
        <w:contextualSpacing w:val="0"/>
        <w:jc w:val="both"/>
        <w:rPr>
          <w:rFonts w:ascii="Times New Roman" w:hAnsi="Times New Roman" w:cs="Times New Roman"/>
          <w:sz w:val="28"/>
          <w:szCs w:val="28"/>
        </w:rPr>
      </w:pPr>
      <w:r w:rsidRPr="005E0236">
        <w:rPr>
          <w:rFonts w:ascii="Times New Roman" w:hAnsi="Times New Roman" w:cs="Times New Roman"/>
          <w:sz w:val="28"/>
          <w:szCs w:val="28"/>
        </w:rPr>
        <w:t xml:space="preserve">The facts of this case are distinguishable from the </w:t>
      </w:r>
      <w:r w:rsidRPr="005E0236">
        <w:rPr>
          <w:rFonts w:ascii="Times New Roman" w:hAnsi="Times New Roman" w:cs="Times New Roman"/>
          <w:i/>
          <w:iCs/>
          <w:sz w:val="28"/>
          <w:szCs w:val="28"/>
        </w:rPr>
        <w:t>Ross River</w:t>
      </w:r>
      <w:r w:rsidRPr="005E0236">
        <w:rPr>
          <w:rFonts w:ascii="Times New Roman" w:hAnsi="Times New Roman" w:cs="Times New Roman"/>
          <w:sz w:val="28"/>
          <w:szCs w:val="28"/>
        </w:rPr>
        <w:t xml:space="preserve"> case</w:t>
      </w:r>
      <w:r w:rsidR="00B41B2F">
        <w:rPr>
          <w:rFonts w:ascii="Times New Roman" w:hAnsi="Times New Roman" w:cs="Times New Roman"/>
          <w:sz w:val="28"/>
          <w:szCs w:val="28"/>
        </w:rPr>
        <w:t>,</w:t>
      </w:r>
      <w:r w:rsidRPr="005E0236">
        <w:rPr>
          <w:rFonts w:ascii="Times New Roman" w:hAnsi="Times New Roman" w:cs="Times New Roman"/>
          <w:sz w:val="28"/>
          <w:szCs w:val="28"/>
        </w:rPr>
        <w:t xml:space="preserve"> where production of an anthropological report was resisted on the basis of settlement privilege.</w:t>
      </w:r>
      <w:r w:rsidR="005F5463">
        <w:rPr>
          <w:rFonts w:ascii="Times New Roman" w:hAnsi="Times New Roman" w:cs="Times New Roman"/>
          <w:sz w:val="28"/>
          <w:szCs w:val="28"/>
        </w:rPr>
        <w:t xml:space="preserve"> </w:t>
      </w:r>
      <w:r w:rsidR="002147A3">
        <w:rPr>
          <w:rFonts w:ascii="Times New Roman" w:hAnsi="Times New Roman" w:cs="Times New Roman"/>
          <w:sz w:val="28"/>
          <w:szCs w:val="28"/>
        </w:rPr>
        <w:t xml:space="preserve"> </w:t>
      </w:r>
      <w:r w:rsidR="005F5463">
        <w:rPr>
          <w:rFonts w:ascii="Times New Roman" w:hAnsi="Times New Roman" w:cs="Times New Roman"/>
          <w:sz w:val="28"/>
          <w:szCs w:val="28"/>
        </w:rPr>
        <w:t xml:space="preserve">The </w:t>
      </w:r>
      <w:r w:rsidR="00766D5C">
        <w:rPr>
          <w:rFonts w:ascii="Times New Roman" w:hAnsi="Times New Roman" w:cs="Times New Roman"/>
          <w:sz w:val="28"/>
          <w:szCs w:val="28"/>
        </w:rPr>
        <w:t xml:space="preserve">anthropological </w:t>
      </w:r>
      <w:r w:rsidR="005F5463">
        <w:rPr>
          <w:rFonts w:ascii="Times New Roman" w:hAnsi="Times New Roman" w:cs="Times New Roman"/>
          <w:sz w:val="28"/>
          <w:szCs w:val="28"/>
        </w:rPr>
        <w:t>repor</w:t>
      </w:r>
      <w:r w:rsidR="001D3C73">
        <w:rPr>
          <w:rFonts w:ascii="Times New Roman" w:hAnsi="Times New Roman" w:cs="Times New Roman"/>
          <w:sz w:val="28"/>
          <w:szCs w:val="28"/>
        </w:rPr>
        <w:t>t was</w:t>
      </w:r>
      <w:r w:rsidR="00483EB4">
        <w:rPr>
          <w:rFonts w:ascii="Times New Roman" w:hAnsi="Times New Roman" w:cs="Times New Roman"/>
          <w:sz w:val="28"/>
          <w:szCs w:val="28"/>
        </w:rPr>
        <w:t xml:space="preserve"> </w:t>
      </w:r>
      <w:r w:rsidR="0020608E">
        <w:rPr>
          <w:rFonts w:ascii="Times New Roman" w:hAnsi="Times New Roman" w:cs="Times New Roman"/>
          <w:sz w:val="28"/>
          <w:szCs w:val="28"/>
        </w:rPr>
        <w:t>commissio</w:t>
      </w:r>
      <w:r w:rsidR="00483EB4">
        <w:rPr>
          <w:rFonts w:ascii="Times New Roman" w:hAnsi="Times New Roman" w:cs="Times New Roman"/>
          <w:sz w:val="28"/>
          <w:szCs w:val="28"/>
        </w:rPr>
        <w:t>ned by Canada</w:t>
      </w:r>
      <w:r w:rsidR="00643040">
        <w:rPr>
          <w:rFonts w:ascii="Times New Roman" w:hAnsi="Times New Roman" w:cs="Times New Roman"/>
          <w:sz w:val="28"/>
          <w:szCs w:val="28"/>
        </w:rPr>
        <w:t xml:space="preserve"> in 1982 </w:t>
      </w:r>
      <w:r w:rsidR="00B17B88">
        <w:rPr>
          <w:rFonts w:ascii="Times New Roman" w:hAnsi="Times New Roman" w:cs="Times New Roman"/>
          <w:sz w:val="28"/>
          <w:szCs w:val="28"/>
        </w:rPr>
        <w:t xml:space="preserve">to review </w:t>
      </w:r>
      <w:r w:rsidR="00766D5C" w:rsidRPr="00766D5C">
        <w:rPr>
          <w:rFonts w:ascii="Times New Roman" w:hAnsi="Times New Roman" w:cs="Times New Roman"/>
          <w:sz w:val="28"/>
          <w:szCs w:val="28"/>
        </w:rPr>
        <w:t xml:space="preserve">the submission of the Kaska Dena Council for recognition of their comprehensive land claim in northern British </w:t>
      </w:r>
      <w:r w:rsidR="00B17B88" w:rsidRPr="00766D5C">
        <w:rPr>
          <w:rFonts w:ascii="Times New Roman" w:hAnsi="Times New Roman" w:cs="Times New Roman"/>
          <w:sz w:val="28"/>
          <w:szCs w:val="28"/>
        </w:rPr>
        <w:t>Columbia.</w:t>
      </w:r>
      <w:r w:rsidR="00643040">
        <w:rPr>
          <w:rFonts w:ascii="Times New Roman" w:hAnsi="Times New Roman" w:cs="Times New Roman"/>
          <w:sz w:val="28"/>
          <w:szCs w:val="28"/>
        </w:rPr>
        <w:t xml:space="preserve">  The plaintiff,</w:t>
      </w:r>
      <w:r w:rsidR="00643040" w:rsidRPr="00643040">
        <w:t xml:space="preserve"> </w:t>
      </w:r>
      <w:r w:rsidR="00643040" w:rsidRPr="00643040">
        <w:rPr>
          <w:rFonts w:ascii="Times New Roman" w:hAnsi="Times New Roman" w:cs="Times New Roman"/>
          <w:sz w:val="28"/>
          <w:szCs w:val="28"/>
        </w:rPr>
        <w:t>Ross River Dena Council</w:t>
      </w:r>
      <w:r w:rsidR="00643040">
        <w:rPr>
          <w:rFonts w:ascii="Times New Roman" w:hAnsi="Times New Roman" w:cs="Times New Roman"/>
          <w:sz w:val="28"/>
          <w:szCs w:val="28"/>
        </w:rPr>
        <w:t xml:space="preserve">, sought the report in relation to their claim in Yukon, filed in 2005. </w:t>
      </w:r>
      <w:r w:rsidR="00B17B88">
        <w:rPr>
          <w:rFonts w:ascii="Times New Roman" w:hAnsi="Times New Roman" w:cs="Times New Roman"/>
          <w:sz w:val="28"/>
          <w:szCs w:val="28"/>
        </w:rPr>
        <w:t xml:space="preserve"> </w:t>
      </w:r>
      <w:r w:rsidRPr="005E0236">
        <w:rPr>
          <w:rFonts w:ascii="Times New Roman" w:hAnsi="Times New Roman" w:cs="Times New Roman"/>
          <w:sz w:val="28"/>
          <w:szCs w:val="28"/>
        </w:rPr>
        <w:t>In that case, while Gower J held</w:t>
      </w:r>
      <w:r w:rsidR="00CF5DFF">
        <w:rPr>
          <w:rFonts w:ascii="Times New Roman" w:hAnsi="Times New Roman" w:cs="Times New Roman"/>
          <w:sz w:val="28"/>
          <w:szCs w:val="28"/>
        </w:rPr>
        <w:t xml:space="preserve"> at para 40 </w:t>
      </w:r>
      <w:r w:rsidRPr="005E0236">
        <w:rPr>
          <w:rFonts w:ascii="Times New Roman" w:hAnsi="Times New Roman" w:cs="Times New Roman"/>
          <w:sz w:val="28"/>
          <w:szCs w:val="28"/>
        </w:rPr>
        <w:t xml:space="preserve">that </w:t>
      </w:r>
      <w:r w:rsidR="00603624">
        <w:rPr>
          <w:rFonts w:ascii="Times New Roman" w:hAnsi="Times New Roman" w:cs="Times New Roman"/>
          <w:sz w:val="28"/>
          <w:szCs w:val="28"/>
        </w:rPr>
        <w:t>“</w:t>
      </w:r>
      <w:r w:rsidR="00603624" w:rsidRPr="00603624">
        <w:rPr>
          <w:rFonts w:ascii="Times New Roman" w:hAnsi="Times New Roman" w:cs="Times New Roman"/>
          <w:sz w:val="28"/>
          <w:szCs w:val="28"/>
        </w:rPr>
        <w:t>it would be somewhat naïve to suggest that the potential for litigation as an alternative to negotiation of the comprehensive land claims was not within the contemplation of the parties in 1982</w:t>
      </w:r>
      <w:r w:rsidR="005D132F">
        <w:rPr>
          <w:rFonts w:ascii="Times New Roman" w:hAnsi="Times New Roman" w:cs="Times New Roman"/>
          <w:sz w:val="28"/>
          <w:szCs w:val="28"/>
        </w:rPr>
        <w:t>”</w:t>
      </w:r>
      <w:r w:rsidR="00CF5DFF">
        <w:rPr>
          <w:rFonts w:ascii="Times New Roman" w:hAnsi="Times New Roman" w:cs="Times New Roman"/>
          <w:sz w:val="28"/>
          <w:szCs w:val="28"/>
        </w:rPr>
        <w:t xml:space="preserve">, </w:t>
      </w:r>
      <w:r w:rsidR="005D132F">
        <w:rPr>
          <w:rFonts w:ascii="Times New Roman" w:hAnsi="Times New Roman" w:cs="Times New Roman"/>
          <w:sz w:val="28"/>
          <w:szCs w:val="28"/>
        </w:rPr>
        <w:t xml:space="preserve">there </w:t>
      </w:r>
      <w:r w:rsidRPr="005E0236">
        <w:rPr>
          <w:rFonts w:ascii="Times New Roman" w:hAnsi="Times New Roman" w:cs="Times New Roman"/>
          <w:sz w:val="28"/>
          <w:szCs w:val="28"/>
        </w:rPr>
        <w:t xml:space="preserve">was insufficient evidence </w:t>
      </w:r>
      <w:r w:rsidR="0090190B">
        <w:rPr>
          <w:rFonts w:ascii="Times New Roman" w:hAnsi="Times New Roman" w:cs="Times New Roman"/>
          <w:sz w:val="28"/>
          <w:szCs w:val="28"/>
        </w:rPr>
        <w:t>to establish</w:t>
      </w:r>
      <w:r w:rsidR="00B253A7">
        <w:rPr>
          <w:rFonts w:ascii="Times New Roman" w:hAnsi="Times New Roman" w:cs="Times New Roman"/>
          <w:sz w:val="28"/>
          <w:szCs w:val="28"/>
        </w:rPr>
        <w:t xml:space="preserve"> </w:t>
      </w:r>
      <w:r w:rsidR="005D132F">
        <w:rPr>
          <w:rFonts w:ascii="Times New Roman" w:hAnsi="Times New Roman" w:cs="Times New Roman"/>
          <w:sz w:val="28"/>
          <w:szCs w:val="28"/>
        </w:rPr>
        <w:t xml:space="preserve">that the </w:t>
      </w:r>
      <w:r w:rsidR="00B253A7">
        <w:rPr>
          <w:rFonts w:ascii="Times New Roman" w:hAnsi="Times New Roman" w:cs="Times New Roman"/>
          <w:sz w:val="28"/>
          <w:szCs w:val="28"/>
        </w:rPr>
        <w:t xml:space="preserve">report was prepared at a time when </w:t>
      </w:r>
      <w:r w:rsidRPr="005E0236">
        <w:rPr>
          <w:rFonts w:ascii="Times New Roman" w:hAnsi="Times New Roman" w:cs="Times New Roman"/>
          <w:sz w:val="28"/>
          <w:szCs w:val="28"/>
        </w:rPr>
        <w:t xml:space="preserve">the </w:t>
      </w:r>
      <w:r w:rsidR="00B253A7">
        <w:rPr>
          <w:rFonts w:ascii="Times New Roman" w:hAnsi="Times New Roman" w:cs="Times New Roman"/>
          <w:sz w:val="28"/>
          <w:szCs w:val="28"/>
        </w:rPr>
        <w:t xml:space="preserve">dispute with the Kaska Dena Council </w:t>
      </w:r>
      <w:r w:rsidRPr="005E0236">
        <w:rPr>
          <w:rFonts w:ascii="Times New Roman" w:hAnsi="Times New Roman" w:cs="Times New Roman"/>
          <w:sz w:val="28"/>
          <w:szCs w:val="28"/>
        </w:rPr>
        <w:t>was truly “litigious</w:t>
      </w:r>
      <w:r w:rsidR="00CF5DFF">
        <w:rPr>
          <w:rFonts w:ascii="Times New Roman" w:hAnsi="Times New Roman" w:cs="Times New Roman"/>
          <w:sz w:val="28"/>
          <w:szCs w:val="28"/>
        </w:rPr>
        <w:t xml:space="preserve">”.  </w:t>
      </w:r>
      <w:r w:rsidR="0090190B">
        <w:rPr>
          <w:rFonts w:ascii="Times New Roman" w:hAnsi="Times New Roman" w:cs="Times New Roman"/>
          <w:sz w:val="28"/>
          <w:szCs w:val="28"/>
        </w:rPr>
        <w:t xml:space="preserve">A careful </w:t>
      </w:r>
      <w:r w:rsidRPr="005E0236">
        <w:rPr>
          <w:rFonts w:ascii="Times New Roman" w:hAnsi="Times New Roman" w:cs="Times New Roman"/>
          <w:sz w:val="28"/>
          <w:szCs w:val="28"/>
        </w:rPr>
        <w:t xml:space="preserve">review of his reasons indicates that the main reason for a refusal to apply settlement privilege was the inability of Canada to link the preparation and use of the report to the negotiation process:  See </w:t>
      </w:r>
      <w:r w:rsidRPr="005E0236">
        <w:rPr>
          <w:rFonts w:ascii="Times New Roman" w:hAnsi="Times New Roman" w:cs="Times New Roman"/>
          <w:i/>
          <w:iCs/>
          <w:sz w:val="28"/>
          <w:szCs w:val="28"/>
        </w:rPr>
        <w:t>Ross River</w:t>
      </w:r>
      <w:r w:rsidRPr="005E0236">
        <w:rPr>
          <w:rFonts w:ascii="Times New Roman" w:hAnsi="Times New Roman" w:cs="Times New Roman"/>
          <w:sz w:val="28"/>
          <w:szCs w:val="28"/>
        </w:rPr>
        <w:t xml:space="preserve"> at para 44.  </w:t>
      </w:r>
    </w:p>
    <w:p w14:paraId="29C94CA8" w14:textId="77777777" w:rsidR="00A23C5E" w:rsidRDefault="00A23C5E" w:rsidP="00545F4A">
      <w:pPr>
        <w:pStyle w:val="ListParagraph"/>
        <w:ind w:left="360"/>
        <w:rPr>
          <w:rFonts w:ascii="Times New Roman" w:hAnsi="Times New Roman" w:cs="Times New Roman"/>
          <w:sz w:val="28"/>
          <w:szCs w:val="28"/>
        </w:rPr>
      </w:pPr>
    </w:p>
    <w:p w14:paraId="17440273" w14:textId="5C251621" w:rsidR="00993D4F" w:rsidRPr="00993D4F" w:rsidRDefault="00A23C5E" w:rsidP="00BE5519">
      <w:pPr>
        <w:pStyle w:val="ListParagraph"/>
        <w:numPr>
          <w:ilvl w:val="0"/>
          <w:numId w:val="9"/>
        </w:numPr>
        <w:spacing w:after="240" w:line="240" w:lineRule="auto"/>
        <w:ind w:left="0" w:firstLine="0"/>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 xml:space="preserve">In contrast, the Consultation Draft </w:t>
      </w:r>
      <w:r w:rsidR="000F1248">
        <w:rPr>
          <w:rFonts w:ascii="Times New Roman" w:hAnsi="Times New Roman" w:cs="Times New Roman"/>
          <w:sz w:val="28"/>
          <w:szCs w:val="28"/>
        </w:rPr>
        <w:t>sought to be produced was developed in 2023 and arose out of a process expressly designed to address rights.  To adopt the terminology of Gower J it would be “somewhat naïve” to suggest that the</w:t>
      </w:r>
      <w:r w:rsidR="00545F4A">
        <w:rPr>
          <w:rFonts w:ascii="Times New Roman" w:hAnsi="Times New Roman" w:cs="Times New Roman"/>
          <w:sz w:val="28"/>
          <w:szCs w:val="28"/>
        </w:rPr>
        <w:t xml:space="preserve"> Consultation Draft </w:t>
      </w:r>
      <w:r w:rsidR="009F1F06">
        <w:rPr>
          <w:rFonts w:ascii="Times New Roman" w:hAnsi="Times New Roman" w:cs="Times New Roman"/>
          <w:sz w:val="28"/>
          <w:szCs w:val="28"/>
        </w:rPr>
        <w:t>did not arise</w:t>
      </w:r>
      <w:r w:rsidR="00545F4A">
        <w:rPr>
          <w:rFonts w:ascii="Times New Roman" w:hAnsi="Times New Roman" w:cs="Times New Roman"/>
          <w:sz w:val="28"/>
          <w:szCs w:val="28"/>
        </w:rPr>
        <w:t xml:space="preserve"> out of a process designed as an alternative to litigation. </w:t>
      </w:r>
    </w:p>
    <w:p w14:paraId="4F59FC25" w14:textId="43626572" w:rsidR="00D52D50" w:rsidRDefault="00332D2D" w:rsidP="00BE5519">
      <w:pPr>
        <w:pStyle w:val="ListParagraph"/>
        <w:numPr>
          <w:ilvl w:val="0"/>
          <w:numId w:val="9"/>
        </w:numPr>
        <w:spacing w:after="240" w:line="240" w:lineRule="auto"/>
        <w:ind w:left="0" w:firstLine="0"/>
        <w:contextualSpacing w:val="0"/>
        <w:jc w:val="both"/>
        <w:rPr>
          <w:rFonts w:ascii="Times New Roman" w:hAnsi="Times New Roman" w:cs="Times New Roman"/>
          <w:sz w:val="28"/>
          <w:szCs w:val="28"/>
        </w:rPr>
      </w:pPr>
      <w:r>
        <w:rPr>
          <w:rFonts w:ascii="Times New Roman" w:hAnsi="Times New Roman" w:cs="Times New Roman"/>
          <w:sz w:val="28"/>
          <w:szCs w:val="28"/>
        </w:rPr>
        <w:t>T</w:t>
      </w:r>
      <w:r w:rsidR="00691D59">
        <w:rPr>
          <w:rFonts w:ascii="Times New Roman" w:hAnsi="Times New Roman" w:cs="Times New Roman"/>
          <w:sz w:val="28"/>
          <w:szCs w:val="28"/>
        </w:rPr>
        <w:t xml:space="preserve">he second element of the test for settlement </w:t>
      </w:r>
      <w:r>
        <w:rPr>
          <w:rFonts w:ascii="Times New Roman" w:hAnsi="Times New Roman" w:cs="Times New Roman"/>
          <w:sz w:val="28"/>
          <w:szCs w:val="28"/>
        </w:rPr>
        <w:t xml:space="preserve">privilege is </w:t>
      </w:r>
      <w:r w:rsidR="00691D59">
        <w:rPr>
          <w:rFonts w:ascii="Times New Roman" w:hAnsi="Times New Roman" w:cs="Times New Roman"/>
          <w:sz w:val="28"/>
          <w:szCs w:val="28"/>
        </w:rPr>
        <w:t xml:space="preserve">that the communications </w:t>
      </w:r>
      <w:r w:rsidR="00EC34B4">
        <w:rPr>
          <w:rFonts w:ascii="Times New Roman" w:hAnsi="Times New Roman" w:cs="Times New Roman"/>
          <w:sz w:val="28"/>
          <w:szCs w:val="28"/>
        </w:rPr>
        <w:t xml:space="preserve">must be made </w:t>
      </w:r>
      <w:r>
        <w:rPr>
          <w:rFonts w:ascii="Times New Roman" w:hAnsi="Times New Roman" w:cs="Times New Roman"/>
          <w:sz w:val="28"/>
          <w:szCs w:val="28"/>
        </w:rPr>
        <w:t>with the express or implied intention that it would not be disclosed to third parties.</w:t>
      </w:r>
      <w:r w:rsidR="00D65F06">
        <w:rPr>
          <w:rFonts w:ascii="Times New Roman" w:hAnsi="Times New Roman" w:cs="Times New Roman"/>
          <w:sz w:val="28"/>
          <w:szCs w:val="28"/>
        </w:rPr>
        <w:t xml:space="preserve"> </w:t>
      </w:r>
      <w:r>
        <w:rPr>
          <w:rFonts w:ascii="Times New Roman" w:hAnsi="Times New Roman" w:cs="Times New Roman"/>
          <w:sz w:val="28"/>
          <w:szCs w:val="28"/>
        </w:rPr>
        <w:t xml:space="preserve"> </w:t>
      </w:r>
      <w:r w:rsidR="0048602D">
        <w:rPr>
          <w:rFonts w:ascii="Times New Roman" w:hAnsi="Times New Roman" w:cs="Times New Roman"/>
          <w:sz w:val="28"/>
          <w:szCs w:val="28"/>
        </w:rPr>
        <w:t>On the facts here, the parties to the negotiation have expressly agreed that the negotiations remain confidentia</w:t>
      </w:r>
      <w:r w:rsidR="003F68D1">
        <w:rPr>
          <w:rFonts w:ascii="Times New Roman" w:hAnsi="Times New Roman" w:cs="Times New Roman"/>
          <w:sz w:val="28"/>
          <w:szCs w:val="28"/>
        </w:rPr>
        <w:t xml:space="preserve">l:  </w:t>
      </w:r>
      <w:r w:rsidR="000405B3">
        <w:rPr>
          <w:rFonts w:ascii="Times New Roman" w:hAnsi="Times New Roman" w:cs="Times New Roman"/>
          <w:sz w:val="28"/>
          <w:szCs w:val="28"/>
        </w:rPr>
        <w:t>Cl</w:t>
      </w:r>
      <w:r w:rsidR="00146F27">
        <w:rPr>
          <w:rFonts w:ascii="Times New Roman" w:hAnsi="Times New Roman" w:cs="Times New Roman"/>
          <w:sz w:val="28"/>
          <w:szCs w:val="28"/>
        </w:rPr>
        <w:t xml:space="preserve">ause </w:t>
      </w:r>
      <w:r w:rsidR="003F68D1">
        <w:rPr>
          <w:rFonts w:ascii="Times New Roman" w:hAnsi="Times New Roman" w:cs="Times New Roman"/>
          <w:sz w:val="28"/>
          <w:szCs w:val="28"/>
        </w:rPr>
        <w:t xml:space="preserve">9.2 of the Framework Agreement. </w:t>
      </w:r>
    </w:p>
    <w:p w14:paraId="2572CA36" w14:textId="328317C7" w:rsidR="0098023D" w:rsidRDefault="0098023D" w:rsidP="00BE5519">
      <w:pPr>
        <w:pStyle w:val="ListParagraph"/>
        <w:numPr>
          <w:ilvl w:val="0"/>
          <w:numId w:val="9"/>
        </w:numPr>
        <w:spacing w:after="240" w:line="240" w:lineRule="auto"/>
        <w:ind w:left="0" w:firstLine="0"/>
        <w:contextualSpacing w:val="0"/>
        <w:jc w:val="both"/>
        <w:rPr>
          <w:rFonts w:ascii="Times New Roman" w:hAnsi="Times New Roman" w:cs="Times New Roman"/>
          <w:sz w:val="28"/>
          <w:szCs w:val="28"/>
        </w:rPr>
      </w:pPr>
      <w:r>
        <w:rPr>
          <w:rFonts w:ascii="Times New Roman" w:hAnsi="Times New Roman" w:cs="Times New Roman"/>
          <w:sz w:val="28"/>
          <w:szCs w:val="28"/>
        </w:rPr>
        <w:t xml:space="preserve">The Defendants argue that </w:t>
      </w:r>
      <w:r w:rsidR="00084789">
        <w:rPr>
          <w:rFonts w:ascii="Times New Roman" w:hAnsi="Times New Roman" w:cs="Times New Roman"/>
          <w:sz w:val="28"/>
          <w:szCs w:val="28"/>
        </w:rPr>
        <w:t xml:space="preserve">clause </w:t>
      </w:r>
      <w:r>
        <w:rPr>
          <w:rFonts w:ascii="Times New Roman" w:hAnsi="Times New Roman" w:cs="Times New Roman"/>
          <w:sz w:val="28"/>
          <w:szCs w:val="28"/>
        </w:rPr>
        <w:t xml:space="preserve">9.2 is not a complete bar is that </w:t>
      </w:r>
      <w:r w:rsidR="00084789">
        <w:rPr>
          <w:rFonts w:ascii="Times New Roman" w:hAnsi="Times New Roman" w:cs="Times New Roman"/>
          <w:sz w:val="28"/>
          <w:szCs w:val="28"/>
        </w:rPr>
        <w:t>it</w:t>
      </w:r>
      <w:r>
        <w:rPr>
          <w:rFonts w:ascii="Times New Roman" w:hAnsi="Times New Roman" w:cs="Times New Roman"/>
          <w:sz w:val="28"/>
          <w:szCs w:val="28"/>
        </w:rPr>
        <w:t xml:space="preserve"> allows the parties </w:t>
      </w:r>
      <w:r w:rsidR="00084789">
        <w:rPr>
          <w:rFonts w:ascii="Times New Roman" w:hAnsi="Times New Roman" w:cs="Times New Roman"/>
          <w:sz w:val="28"/>
          <w:szCs w:val="28"/>
        </w:rPr>
        <w:t xml:space="preserve">to </w:t>
      </w:r>
      <w:r w:rsidR="001C5291">
        <w:rPr>
          <w:rFonts w:ascii="Times New Roman" w:hAnsi="Times New Roman" w:cs="Times New Roman"/>
          <w:sz w:val="28"/>
          <w:szCs w:val="28"/>
        </w:rPr>
        <w:t>agree to waive confidentiality</w:t>
      </w:r>
      <w:r w:rsidR="00AC60CC">
        <w:rPr>
          <w:rFonts w:ascii="Times New Roman" w:hAnsi="Times New Roman" w:cs="Times New Roman"/>
          <w:sz w:val="28"/>
          <w:szCs w:val="28"/>
        </w:rPr>
        <w:t>,</w:t>
      </w:r>
      <w:r w:rsidR="001C5291">
        <w:rPr>
          <w:rFonts w:ascii="Times New Roman" w:hAnsi="Times New Roman" w:cs="Times New Roman"/>
          <w:sz w:val="28"/>
          <w:szCs w:val="28"/>
        </w:rPr>
        <w:t xml:space="preserve"> </w:t>
      </w:r>
      <w:r w:rsidR="00AC60CC">
        <w:rPr>
          <w:rFonts w:ascii="Times New Roman" w:hAnsi="Times New Roman" w:cs="Times New Roman"/>
          <w:sz w:val="28"/>
          <w:szCs w:val="28"/>
        </w:rPr>
        <w:t>and that</w:t>
      </w:r>
      <w:r w:rsidR="001C5291">
        <w:rPr>
          <w:rFonts w:ascii="Times New Roman" w:hAnsi="Times New Roman" w:cs="Times New Roman"/>
          <w:sz w:val="28"/>
          <w:szCs w:val="28"/>
        </w:rPr>
        <w:t xml:space="preserve"> disclosure may be ordered “as required by law”. </w:t>
      </w:r>
      <w:r w:rsidR="0030018C">
        <w:rPr>
          <w:rFonts w:ascii="Times New Roman" w:hAnsi="Times New Roman" w:cs="Times New Roman"/>
          <w:sz w:val="28"/>
          <w:szCs w:val="28"/>
        </w:rPr>
        <w:t xml:space="preserve"> Even with this provision, I am still bound to apply the law </w:t>
      </w:r>
      <w:r w:rsidR="00205185">
        <w:rPr>
          <w:rFonts w:ascii="Times New Roman" w:hAnsi="Times New Roman" w:cs="Times New Roman"/>
          <w:sz w:val="28"/>
          <w:szCs w:val="28"/>
        </w:rPr>
        <w:t xml:space="preserve">as it relates to </w:t>
      </w:r>
      <w:r w:rsidR="009D2B19">
        <w:rPr>
          <w:rFonts w:ascii="Times New Roman" w:hAnsi="Times New Roman" w:cs="Times New Roman"/>
          <w:sz w:val="28"/>
          <w:szCs w:val="28"/>
        </w:rPr>
        <w:t>settlement privilege</w:t>
      </w:r>
      <w:r w:rsidR="00220303">
        <w:rPr>
          <w:rFonts w:ascii="Times New Roman" w:hAnsi="Times New Roman" w:cs="Times New Roman"/>
          <w:sz w:val="28"/>
          <w:szCs w:val="28"/>
        </w:rPr>
        <w:t xml:space="preserve"> in considering </w:t>
      </w:r>
      <w:r w:rsidR="005F5215">
        <w:rPr>
          <w:rFonts w:ascii="Times New Roman" w:hAnsi="Times New Roman" w:cs="Times New Roman"/>
          <w:sz w:val="28"/>
          <w:szCs w:val="28"/>
        </w:rPr>
        <w:t xml:space="preserve">whether the document is cloaked with privilege. </w:t>
      </w:r>
    </w:p>
    <w:p w14:paraId="232EA522" w14:textId="5926C064" w:rsidR="00300B0A" w:rsidRDefault="00332D2D" w:rsidP="00BE5519">
      <w:pPr>
        <w:pStyle w:val="ListParagraph"/>
        <w:numPr>
          <w:ilvl w:val="0"/>
          <w:numId w:val="9"/>
        </w:numPr>
        <w:spacing w:after="240" w:line="240" w:lineRule="auto"/>
        <w:ind w:left="0" w:firstLine="0"/>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7D6B96">
        <w:rPr>
          <w:rFonts w:ascii="Times New Roman" w:hAnsi="Times New Roman" w:cs="Times New Roman"/>
          <w:sz w:val="28"/>
          <w:szCs w:val="28"/>
        </w:rPr>
        <w:t>I also find</w:t>
      </w:r>
      <w:r w:rsidR="00CA6926">
        <w:rPr>
          <w:rFonts w:ascii="Times New Roman" w:hAnsi="Times New Roman" w:cs="Times New Roman"/>
          <w:sz w:val="28"/>
          <w:szCs w:val="28"/>
        </w:rPr>
        <w:t xml:space="preserve"> </w:t>
      </w:r>
      <w:r w:rsidR="007D6B96">
        <w:rPr>
          <w:rFonts w:ascii="Times New Roman" w:hAnsi="Times New Roman" w:cs="Times New Roman"/>
          <w:sz w:val="28"/>
          <w:szCs w:val="28"/>
        </w:rPr>
        <w:t>that the third branch of the test has been met</w:t>
      </w:r>
      <w:r w:rsidR="00AE0E59">
        <w:rPr>
          <w:rFonts w:ascii="Times New Roman" w:hAnsi="Times New Roman" w:cs="Times New Roman"/>
          <w:sz w:val="28"/>
          <w:szCs w:val="28"/>
        </w:rPr>
        <w:t xml:space="preserve">, namely, that the purpose of the communication was to </w:t>
      </w:r>
      <w:r w:rsidR="00AE0E59" w:rsidRPr="00995A67">
        <w:rPr>
          <w:rFonts w:ascii="Times New Roman" w:hAnsi="Times New Roman" w:cs="Times New Roman"/>
          <w:sz w:val="28"/>
          <w:szCs w:val="28"/>
        </w:rPr>
        <w:t>effect</w:t>
      </w:r>
      <w:r w:rsidR="00AE0E59">
        <w:rPr>
          <w:rFonts w:ascii="Times New Roman" w:hAnsi="Times New Roman" w:cs="Times New Roman"/>
          <w:sz w:val="28"/>
          <w:szCs w:val="28"/>
        </w:rPr>
        <w:t xml:space="preserve"> a settlement.  </w:t>
      </w:r>
      <w:r w:rsidR="00CB7691">
        <w:rPr>
          <w:rFonts w:ascii="Times New Roman" w:hAnsi="Times New Roman" w:cs="Times New Roman"/>
          <w:sz w:val="28"/>
          <w:szCs w:val="28"/>
        </w:rPr>
        <w:t xml:space="preserve">As was noted in </w:t>
      </w:r>
      <w:r w:rsidR="00CB7691" w:rsidRPr="00074125">
        <w:rPr>
          <w:rFonts w:ascii="Times New Roman" w:hAnsi="Times New Roman" w:cs="Times New Roman"/>
          <w:i/>
          <w:iCs/>
          <w:sz w:val="28"/>
          <w:szCs w:val="28"/>
        </w:rPr>
        <w:t>Ross River</w:t>
      </w:r>
      <w:r w:rsidR="00CB7691">
        <w:rPr>
          <w:rFonts w:ascii="Times New Roman" w:hAnsi="Times New Roman" w:cs="Times New Roman"/>
          <w:sz w:val="28"/>
          <w:szCs w:val="28"/>
        </w:rPr>
        <w:t xml:space="preserve">, the document sought to be cloaked with settlement privilege in that case was not created to </w:t>
      </w:r>
      <w:r w:rsidR="00062BBD">
        <w:rPr>
          <w:rFonts w:ascii="Times New Roman" w:hAnsi="Times New Roman" w:cs="Times New Roman"/>
          <w:sz w:val="28"/>
          <w:szCs w:val="28"/>
        </w:rPr>
        <w:t xml:space="preserve">address the dispute.  Here, the communication in question, </w:t>
      </w:r>
      <w:r w:rsidR="00291531">
        <w:rPr>
          <w:rFonts w:ascii="Times New Roman" w:hAnsi="Times New Roman" w:cs="Times New Roman"/>
          <w:sz w:val="28"/>
          <w:szCs w:val="28"/>
        </w:rPr>
        <w:t>the Consultation Draft</w:t>
      </w:r>
      <w:r w:rsidR="00CD7814">
        <w:rPr>
          <w:rFonts w:ascii="Times New Roman" w:hAnsi="Times New Roman" w:cs="Times New Roman"/>
          <w:sz w:val="28"/>
          <w:szCs w:val="28"/>
        </w:rPr>
        <w:t>,</w:t>
      </w:r>
      <w:r w:rsidR="00062BBD">
        <w:rPr>
          <w:rFonts w:ascii="Times New Roman" w:hAnsi="Times New Roman" w:cs="Times New Roman"/>
          <w:sz w:val="28"/>
          <w:szCs w:val="28"/>
        </w:rPr>
        <w:t xml:space="preserve"> </w:t>
      </w:r>
      <w:r w:rsidR="00CB408D">
        <w:rPr>
          <w:rFonts w:ascii="Times New Roman" w:hAnsi="Times New Roman" w:cs="Times New Roman"/>
          <w:sz w:val="28"/>
          <w:szCs w:val="28"/>
        </w:rPr>
        <w:t xml:space="preserve">is clearly </w:t>
      </w:r>
      <w:r w:rsidR="00EF5DB4">
        <w:rPr>
          <w:rFonts w:ascii="Times New Roman" w:hAnsi="Times New Roman" w:cs="Times New Roman"/>
          <w:sz w:val="28"/>
          <w:szCs w:val="28"/>
        </w:rPr>
        <w:t xml:space="preserve">meant </w:t>
      </w:r>
      <w:r w:rsidR="00CB408D">
        <w:rPr>
          <w:rFonts w:ascii="Times New Roman" w:hAnsi="Times New Roman" w:cs="Times New Roman"/>
          <w:sz w:val="28"/>
          <w:szCs w:val="28"/>
        </w:rPr>
        <w:t>to work towards an agreement on rights issues.</w:t>
      </w:r>
      <w:r w:rsidR="005D381C">
        <w:rPr>
          <w:rFonts w:ascii="Times New Roman" w:hAnsi="Times New Roman" w:cs="Times New Roman"/>
          <w:sz w:val="28"/>
          <w:szCs w:val="28"/>
        </w:rPr>
        <w:t xml:space="preserve"> </w:t>
      </w:r>
      <w:r w:rsidR="00CB408D">
        <w:rPr>
          <w:rFonts w:ascii="Times New Roman" w:hAnsi="Times New Roman" w:cs="Times New Roman"/>
          <w:sz w:val="28"/>
          <w:szCs w:val="28"/>
        </w:rPr>
        <w:t xml:space="preserve"> </w:t>
      </w:r>
      <w:r w:rsidR="001B1648">
        <w:rPr>
          <w:rFonts w:ascii="Times New Roman" w:hAnsi="Times New Roman" w:cs="Times New Roman"/>
          <w:sz w:val="28"/>
          <w:szCs w:val="28"/>
        </w:rPr>
        <w:t xml:space="preserve">The document is directly connected to the negotiation process.  </w:t>
      </w:r>
    </w:p>
    <w:p w14:paraId="3959CB0A" w14:textId="7D7867D2" w:rsidR="00A56F3D" w:rsidRPr="00A56F3D" w:rsidRDefault="00A56F3D" w:rsidP="00B13BB3">
      <w:pPr>
        <w:pStyle w:val="ListParagraph"/>
        <w:numPr>
          <w:ilvl w:val="0"/>
          <w:numId w:val="9"/>
        </w:numPr>
        <w:spacing w:after="0" w:line="240" w:lineRule="auto"/>
        <w:ind w:left="0" w:firstLine="0"/>
        <w:contextualSpacing w:val="0"/>
        <w:jc w:val="both"/>
        <w:rPr>
          <w:rFonts w:ascii="Times New Roman" w:hAnsi="Times New Roman" w:cs="Times New Roman"/>
          <w:sz w:val="28"/>
          <w:szCs w:val="28"/>
        </w:rPr>
      </w:pPr>
      <w:r w:rsidRPr="00A56F3D">
        <w:rPr>
          <w:rFonts w:ascii="Times New Roman" w:hAnsi="Times New Roman" w:cs="Times New Roman"/>
          <w:sz w:val="28"/>
          <w:szCs w:val="28"/>
        </w:rPr>
        <w:t xml:space="preserve">In addition to being cloaked with settlement privilege, the </w:t>
      </w:r>
      <w:r w:rsidR="00355D2A">
        <w:rPr>
          <w:rFonts w:ascii="Times New Roman" w:hAnsi="Times New Roman" w:cs="Times New Roman"/>
          <w:sz w:val="28"/>
          <w:szCs w:val="28"/>
        </w:rPr>
        <w:t>Consultation Draft</w:t>
      </w:r>
      <w:r w:rsidRPr="00A56F3D">
        <w:rPr>
          <w:rFonts w:ascii="Times New Roman" w:hAnsi="Times New Roman" w:cs="Times New Roman"/>
          <w:sz w:val="28"/>
          <w:szCs w:val="28"/>
        </w:rPr>
        <w:t xml:space="preserve"> was negotiated in the context of express confidentiality provisions contained within the Framework Agreement.  Even if the </w:t>
      </w:r>
      <w:r w:rsidR="00355D2A">
        <w:rPr>
          <w:rFonts w:ascii="Times New Roman" w:hAnsi="Times New Roman" w:cs="Times New Roman"/>
          <w:sz w:val="28"/>
          <w:szCs w:val="28"/>
        </w:rPr>
        <w:t xml:space="preserve">Consultation Draft </w:t>
      </w:r>
      <w:r w:rsidRPr="00A56F3D">
        <w:rPr>
          <w:rFonts w:ascii="Times New Roman" w:hAnsi="Times New Roman" w:cs="Times New Roman"/>
          <w:sz w:val="28"/>
          <w:szCs w:val="28"/>
        </w:rPr>
        <w:t xml:space="preserve">were </w:t>
      </w:r>
      <w:r w:rsidR="00391718" w:rsidRPr="00A56F3D">
        <w:rPr>
          <w:rFonts w:ascii="Times New Roman" w:hAnsi="Times New Roman" w:cs="Times New Roman"/>
          <w:sz w:val="28"/>
          <w:szCs w:val="28"/>
        </w:rPr>
        <w:t>relevant</w:t>
      </w:r>
      <w:r w:rsidR="00391718">
        <w:rPr>
          <w:rFonts w:ascii="Times New Roman" w:hAnsi="Times New Roman" w:cs="Times New Roman"/>
          <w:sz w:val="28"/>
          <w:szCs w:val="28"/>
        </w:rPr>
        <w:t xml:space="preserve">, </w:t>
      </w:r>
      <w:r w:rsidR="00391718" w:rsidRPr="00A56F3D">
        <w:rPr>
          <w:rFonts w:ascii="Times New Roman" w:hAnsi="Times New Roman" w:cs="Times New Roman"/>
          <w:sz w:val="28"/>
          <w:szCs w:val="28"/>
        </w:rPr>
        <w:t>the</w:t>
      </w:r>
      <w:r w:rsidRPr="00A56F3D">
        <w:rPr>
          <w:rFonts w:ascii="Times New Roman" w:hAnsi="Times New Roman" w:cs="Times New Roman"/>
          <w:sz w:val="28"/>
          <w:szCs w:val="28"/>
        </w:rPr>
        <w:t xml:space="preserve"> courts have generally upheld confidentiality provisions unless there are compelling reasons to do so.  </w:t>
      </w:r>
    </w:p>
    <w:p w14:paraId="44CF1E64" w14:textId="77777777" w:rsidR="00A56F3D" w:rsidRPr="00A56F3D" w:rsidRDefault="00A56F3D" w:rsidP="00D3200B">
      <w:pPr>
        <w:pStyle w:val="ListParagraph"/>
        <w:spacing w:after="240" w:line="240" w:lineRule="auto"/>
        <w:ind w:left="360"/>
        <w:jc w:val="both"/>
        <w:rPr>
          <w:rFonts w:ascii="Times New Roman" w:hAnsi="Times New Roman" w:cs="Times New Roman"/>
          <w:sz w:val="28"/>
          <w:szCs w:val="28"/>
        </w:rPr>
      </w:pPr>
    </w:p>
    <w:p w14:paraId="58CDC169" w14:textId="1AAD648B" w:rsidR="00A56F3D" w:rsidRPr="00A56F3D" w:rsidRDefault="00A56F3D" w:rsidP="00BE5519">
      <w:pPr>
        <w:pStyle w:val="ListParagraph"/>
        <w:numPr>
          <w:ilvl w:val="0"/>
          <w:numId w:val="9"/>
        </w:numPr>
        <w:spacing w:after="240" w:line="240" w:lineRule="auto"/>
        <w:ind w:left="0" w:firstLine="0"/>
        <w:contextualSpacing w:val="0"/>
        <w:jc w:val="both"/>
        <w:rPr>
          <w:rFonts w:ascii="Times New Roman" w:hAnsi="Times New Roman" w:cs="Times New Roman"/>
          <w:sz w:val="28"/>
          <w:szCs w:val="28"/>
        </w:rPr>
      </w:pPr>
      <w:r w:rsidRPr="00A56F3D">
        <w:rPr>
          <w:rFonts w:ascii="Times New Roman" w:hAnsi="Times New Roman" w:cs="Times New Roman"/>
          <w:sz w:val="28"/>
          <w:szCs w:val="28"/>
        </w:rPr>
        <w:t xml:space="preserve">In </w:t>
      </w:r>
      <w:r w:rsidRPr="00355D2A">
        <w:rPr>
          <w:rFonts w:ascii="Times New Roman" w:hAnsi="Times New Roman" w:cs="Times New Roman"/>
          <w:i/>
          <w:iCs/>
          <w:sz w:val="28"/>
          <w:szCs w:val="28"/>
        </w:rPr>
        <w:t>Reference re Legal Questions Act</w:t>
      </w:r>
      <w:r w:rsidRPr="00A56F3D">
        <w:rPr>
          <w:rFonts w:ascii="Times New Roman" w:hAnsi="Times New Roman" w:cs="Times New Roman"/>
          <w:sz w:val="28"/>
          <w:szCs w:val="28"/>
        </w:rPr>
        <w:t xml:space="preserve">, 2020 NUCJ 50, Cooper J </w:t>
      </w:r>
      <w:r w:rsidR="00355D2A">
        <w:rPr>
          <w:rFonts w:ascii="Times New Roman" w:hAnsi="Times New Roman" w:cs="Times New Roman"/>
          <w:sz w:val="28"/>
          <w:szCs w:val="28"/>
        </w:rPr>
        <w:t xml:space="preserve">(as she was then) </w:t>
      </w:r>
      <w:r w:rsidRPr="00A56F3D">
        <w:rPr>
          <w:rFonts w:ascii="Times New Roman" w:hAnsi="Times New Roman" w:cs="Times New Roman"/>
          <w:sz w:val="28"/>
          <w:szCs w:val="28"/>
        </w:rPr>
        <w:t xml:space="preserve">was faced with a request by the Government of Nunavut for limited production of a draft agreement between the Government of Canada and First Nations who assert rights in the Nunavut Settlement Area.  The Government of Nunavut was not a party to the negotiations but had been involved with the negotiations as a member of the Government of Canada’s team.  The Government of Nunavut sought production of portions of the draft agreement in the context of a larger reference dealing the effect of those amendments on the authority of the Government of Nunavut and/or the Legislative Assembly of Nunavut.  Justice Cooper held at para 33: </w:t>
      </w:r>
    </w:p>
    <w:p w14:paraId="6881C63D" w14:textId="3658EE35" w:rsidR="00A56F3D" w:rsidRPr="004408D8" w:rsidRDefault="00A56F3D" w:rsidP="004408D8">
      <w:pPr>
        <w:pStyle w:val="ListParagraph"/>
        <w:spacing w:after="240" w:line="240" w:lineRule="auto"/>
        <w:ind w:left="567" w:right="571"/>
        <w:jc w:val="both"/>
        <w:rPr>
          <w:rFonts w:ascii="Times New Roman" w:hAnsi="Times New Roman" w:cs="Times New Roman"/>
          <w:sz w:val="24"/>
          <w:szCs w:val="24"/>
        </w:rPr>
      </w:pPr>
      <w:r w:rsidRPr="004408D8">
        <w:rPr>
          <w:rFonts w:ascii="Times New Roman" w:hAnsi="Times New Roman" w:cs="Times New Roman"/>
          <w:sz w:val="24"/>
          <w:szCs w:val="24"/>
        </w:rPr>
        <w:lastRenderedPageBreak/>
        <w:t xml:space="preserve">The GN’s interest in seeking a Reference is laudable. It is intended to provide direction to all parties, in a non-adversarial setting, prior to the settlement of final agreements. As laudable as the intention may be, in my view it is not the prerogative of the GN to breach the provisions of the confidentiality agreements to achieve this goal. </w:t>
      </w:r>
    </w:p>
    <w:p w14:paraId="559EFDFB" w14:textId="77777777" w:rsidR="00A56F3D" w:rsidRPr="00A56F3D" w:rsidRDefault="00A56F3D" w:rsidP="00340241">
      <w:pPr>
        <w:pStyle w:val="ListParagraph"/>
        <w:spacing w:after="240" w:line="240" w:lineRule="auto"/>
        <w:ind w:left="360"/>
        <w:jc w:val="both"/>
        <w:rPr>
          <w:rFonts w:ascii="Times New Roman" w:hAnsi="Times New Roman" w:cs="Times New Roman"/>
          <w:sz w:val="28"/>
          <w:szCs w:val="28"/>
        </w:rPr>
      </w:pPr>
    </w:p>
    <w:p w14:paraId="4F826EA2" w14:textId="61E72C67" w:rsidR="00A56F3D" w:rsidRDefault="00A56F3D" w:rsidP="000D245C">
      <w:pPr>
        <w:pStyle w:val="ListParagraph"/>
        <w:numPr>
          <w:ilvl w:val="0"/>
          <w:numId w:val="9"/>
        </w:numPr>
        <w:spacing w:after="0" w:line="240" w:lineRule="auto"/>
        <w:ind w:left="0" w:firstLine="0"/>
        <w:contextualSpacing w:val="0"/>
        <w:jc w:val="both"/>
        <w:rPr>
          <w:rFonts w:ascii="Times New Roman" w:hAnsi="Times New Roman" w:cs="Times New Roman"/>
          <w:sz w:val="28"/>
          <w:szCs w:val="28"/>
        </w:rPr>
      </w:pPr>
      <w:r w:rsidRPr="00A56F3D">
        <w:rPr>
          <w:rFonts w:ascii="Times New Roman" w:hAnsi="Times New Roman" w:cs="Times New Roman"/>
          <w:sz w:val="28"/>
          <w:szCs w:val="28"/>
        </w:rPr>
        <w:t>The Defendants suggest that Canada has not provided any evidence to support the fact that the Chief of the DKFN, prior to signing the Framework Agreement, which includ</w:t>
      </w:r>
      <w:r w:rsidR="009A0FC0">
        <w:rPr>
          <w:rFonts w:ascii="Times New Roman" w:hAnsi="Times New Roman" w:cs="Times New Roman"/>
          <w:sz w:val="28"/>
          <w:szCs w:val="28"/>
        </w:rPr>
        <w:t>e</w:t>
      </w:r>
      <w:r w:rsidRPr="00A56F3D">
        <w:rPr>
          <w:rFonts w:ascii="Times New Roman" w:hAnsi="Times New Roman" w:cs="Times New Roman"/>
          <w:sz w:val="28"/>
          <w:szCs w:val="28"/>
        </w:rPr>
        <w:t xml:space="preserve"> its confidentiality provisions, consulted the DKFN membership, including the Defendants.  The Defendants rely on the Alberta Court of Appeal decision in </w:t>
      </w:r>
      <w:r w:rsidRPr="009A0FC0">
        <w:rPr>
          <w:rFonts w:ascii="Times New Roman" w:hAnsi="Times New Roman" w:cs="Times New Roman"/>
          <w:i/>
          <w:iCs/>
          <w:sz w:val="28"/>
          <w:szCs w:val="28"/>
        </w:rPr>
        <w:t>Waquan v Canada (Attorney General)</w:t>
      </w:r>
      <w:r w:rsidRPr="00A56F3D">
        <w:rPr>
          <w:rFonts w:ascii="Times New Roman" w:hAnsi="Times New Roman" w:cs="Times New Roman"/>
          <w:sz w:val="28"/>
          <w:szCs w:val="28"/>
        </w:rPr>
        <w:t xml:space="preserve">, 2017 ABCA 279 to suggest that there was an obligation to consult each member prior to signing the Framework Agreement.  With respect, their position overstates the conclusion in </w:t>
      </w:r>
      <w:r w:rsidRPr="009A0FC0">
        <w:rPr>
          <w:rFonts w:ascii="Times New Roman" w:hAnsi="Times New Roman" w:cs="Times New Roman"/>
          <w:i/>
          <w:iCs/>
          <w:sz w:val="28"/>
          <w:szCs w:val="28"/>
        </w:rPr>
        <w:t>Waquan</w:t>
      </w:r>
      <w:r w:rsidRPr="00A56F3D">
        <w:rPr>
          <w:rFonts w:ascii="Times New Roman" w:hAnsi="Times New Roman" w:cs="Times New Roman"/>
          <w:sz w:val="28"/>
          <w:szCs w:val="28"/>
        </w:rPr>
        <w:t xml:space="preserve">.  In </w:t>
      </w:r>
      <w:r w:rsidRPr="009A0FC0">
        <w:rPr>
          <w:rFonts w:ascii="Times New Roman" w:hAnsi="Times New Roman" w:cs="Times New Roman"/>
          <w:i/>
          <w:iCs/>
          <w:sz w:val="28"/>
          <w:szCs w:val="28"/>
        </w:rPr>
        <w:t>Waquan</w:t>
      </w:r>
      <w:r w:rsidRPr="00A56F3D">
        <w:rPr>
          <w:rFonts w:ascii="Times New Roman" w:hAnsi="Times New Roman" w:cs="Times New Roman"/>
          <w:sz w:val="28"/>
          <w:szCs w:val="28"/>
        </w:rPr>
        <w:t>, the Court reinstated an action for a right to select land in severalty, even in the face of a signed Settlement Agreement, holding that it was not plain and obvious that there was no cause of action.  In discussing the issue of who might be entitled to pursue a claim in severalty (</w:t>
      </w:r>
      <w:r w:rsidR="00F3583B" w:rsidRPr="00A56F3D">
        <w:rPr>
          <w:rFonts w:ascii="Times New Roman" w:hAnsi="Times New Roman" w:cs="Times New Roman"/>
          <w:sz w:val="28"/>
          <w:szCs w:val="28"/>
        </w:rPr>
        <w:t>e.g.</w:t>
      </w:r>
      <w:r w:rsidRPr="00A56F3D">
        <w:rPr>
          <w:rFonts w:ascii="Times New Roman" w:hAnsi="Times New Roman" w:cs="Times New Roman"/>
          <w:sz w:val="28"/>
          <w:szCs w:val="28"/>
        </w:rPr>
        <w:t xml:space="preserve"> who the potential defendants might be), the court noted that potential defendants might be those who were entitled to be consulted in the negotiations leading up to the Settlement Agreement and who were not consulted as they were not on the band membership list.  To extrapolate from that </w:t>
      </w:r>
      <w:r w:rsidRPr="0046683C">
        <w:rPr>
          <w:rFonts w:ascii="Times New Roman" w:hAnsi="Times New Roman" w:cs="Times New Roman"/>
          <w:i/>
          <w:iCs/>
          <w:sz w:val="28"/>
          <w:szCs w:val="28"/>
        </w:rPr>
        <w:t>di</w:t>
      </w:r>
      <w:r w:rsidR="005D256F">
        <w:rPr>
          <w:rFonts w:ascii="Times New Roman" w:hAnsi="Times New Roman" w:cs="Times New Roman"/>
          <w:i/>
          <w:iCs/>
          <w:sz w:val="28"/>
          <w:szCs w:val="28"/>
        </w:rPr>
        <w:t>ct</w:t>
      </w:r>
      <w:r w:rsidRPr="0046683C">
        <w:rPr>
          <w:rFonts w:ascii="Times New Roman" w:hAnsi="Times New Roman" w:cs="Times New Roman"/>
          <w:i/>
          <w:iCs/>
          <w:sz w:val="28"/>
          <w:szCs w:val="28"/>
        </w:rPr>
        <w:t>a</w:t>
      </w:r>
      <w:r w:rsidRPr="00A56F3D">
        <w:rPr>
          <w:rFonts w:ascii="Times New Roman" w:hAnsi="Times New Roman" w:cs="Times New Roman"/>
          <w:sz w:val="28"/>
          <w:szCs w:val="28"/>
        </w:rPr>
        <w:t xml:space="preserve"> a general requirement that an evidentiary foundation is required on the issue of authority to sign the Framework Agreement in my view overstates </w:t>
      </w:r>
      <w:r w:rsidRPr="009A0FC0">
        <w:rPr>
          <w:rFonts w:ascii="Times New Roman" w:hAnsi="Times New Roman" w:cs="Times New Roman"/>
          <w:i/>
          <w:iCs/>
          <w:sz w:val="28"/>
          <w:szCs w:val="28"/>
        </w:rPr>
        <w:t>Waquan.</w:t>
      </w:r>
      <w:r w:rsidRPr="00A56F3D">
        <w:rPr>
          <w:rFonts w:ascii="Times New Roman" w:hAnsi="Times New Roman" w:cs="Times New Roman"/>
          <w:sz w:val="28"/>
          <w:szCs w:val="28"/>
        </w:rPr>
        <w:t xml:space="preserve"> </w:t>
      </w:r>
    </w:p>
    <w:p w14:paraId="11E52D52" w14:textId="77777777" w:rsidR="009A0FC0" w:rsidRPr="00A56F3D" w:rsidRDefault="009A0FC0" w:rsidP="009A0FC0">
      <w:pPr>
        <w:pStyle w:val="ListParagraph"/>
        <w:spacing w:after="240" w:line="240" w:lineRule="auto"/>
        <w:ind w:left="360"/>
        <w:jc w:val="both"/>
        <w:rPr>
          <w:rFonts w:ascii="Times New Roman" w:hAnsi="Times New Roman" w:cs="Times New Roman"/>
          <w:sz w:val="28"/>
          <w:szCs w:val="28"/>
        </w:rPr>
      </w:pPr>
    </w:p>
    <w:p w14:paraId="59DB1EA2" w14:textId="2B88AD51" w:rsidR="00A56F3D" w:rsidRDefault="00A56F3D" w:rsidP="000D245C">
      <w:pPr>
        <w:pStyle w:val="ListParagraph"/>
        <w:numPr>
          <w:ilvl w:val="0"/>
          <w:numId w:val="9"/>
        </w:numPr>
        <w:spacing w:after="0" w:line="240" w:lineRule="auto"/>
        <w:ind w:left="0" w:firstLine="0"/>
        <w:contextualSpacing w:val="0"/>
        <w:jc w:val="both"/>
        <w:rPr>
          <w:rFonts w:ascii="Times New Roman" w:hAnsi="Times New Roman" w:cs="Times New Roman"/>
          <w:sz w:val="28"/>
          <w:szCs w:val="28"/>
        </w:rPr>
      </w:pPr>
      <w:r w:rsidRPr="00A56F3D">
        <w:rPr>
          <w:rFonts w:ascii="Times New Roman" w:hAnsi="Times New Roman" w:cs="Times New Roman"/>
          <w:sz w:val="28"/>
          <w:szCs w:val="28"/>
        </w:rPr>
        <w:t xml:space="preserve">I </w:t>
      </w:r>
      <w:r w:rsidR="00A37FA6">
        <w:rPr>
          <w:rFonts w:ascii="Times New Roman" w:hAnsi="Times New Roman" w:cs="Times New Roman"/>
          <w:sz w:val="28"/>
          <w:szCs w:val="28"/>
        </w:rPr>
        <w:t>also</w:t>
      </w:r>
      <w:r w:rsidRPr="00A56F3D">
        <w:rPr>
          <w:rFonts w:ascii="Times New Roman" w:hAnsi="Times New Roman" w:cs="Times New Roman"/>
          <w:sz w:val="28"/>
          <w:szCs w:val="28"/>
        </w:rPr>
        <w:t xml:space="preserve"> have no evidence before me to suggest that the signature of the Chief of the DKFN on the Framework Agreement was not properly authorized.  </w:t>
      </w:r>
    </w:p>
    <w:p w14:paraId="27798468" w14:textId="77777777" w:rsidR="009A0FC0" w:rsidRPr="009A0FC0" w:rsidRDefault="009A0FC0" w:rsidP="009A0FC0">
      <w:pPr>
        <w:pStyle w:val="ListParagraph"/>
        <w:rPr>
          <w:rFonts w:ascii="Times New Roman" w:hAnsi="Times New Roman" w:cs="Times New Roman"/>
          <w:sz w:val="28"/>
          <w:szCs w:val="28"/>
        </w:rPr>
      </w:pPr>
    </w:p>
    <w:p w14:paraId="46330844" w14:textId="2131FB96" w:rsidR="00A56F3D" w:rsidRPr="00A56F3D" w:rsidRDefault="00A56F3D" w:rsidP="00BE5519">
      <w:pPr>
        <w:pStyle w:val="ListParagraph"/>
        <w:numPr>
          <w:ilvl w:val="0"/>
          <w:numId w:val="9"/>
        </w:numPr>
        <w:spacing w:after="240" w:line="240" w:lineRule="auto"/>
        <w:ind w:left="0" w:firstLine="0"/>
        <w:contextualSpacing w:val="0"/>
        <w:jc w:val="both"/>
        <w:rPr>
          <w:rFonts w:ascii="Times New Roman" w:hAnsi="Times New Roman" w:cs="Times New Roman"/>
          <w:sz w:val="28"/>
          <w:szCs w:val="28"/>
        </w:rPr>
      </w:pPr>
      <w:r w:rsidRPr="00A56F3D">
        <w:rPr>
          <w:rFonts w:ascii="Times New Roman" w:hAnsi="Times New Roman" w:cs="Times New Roman"/>
          <w:sz w:val="28"/>
          <w:szCs w:val="28"/>
        </w:rPr>
        <w:t xml:space="preserve">I find that the confidentiality provisions, coupled with the fact that these negotiations are occurring with a view to addressing </w:t>
      </w:r>
      <w:r w:rsidR="00631A00">
        <w:rPr>
          <w:rFonts w:ascii="Times New Roman" w:hAnsi="Times New Roman" w:cs="Times New Roman"/>
          <w:sz w:val="28"/>
          <w:szCs w:val="28"/>
        </w:rPr>
        <w:t>I</w:t>
      </w:r>
      <w:r w:rsidRPr="00A56F3D">
        <w:rPr>
          <w:rFonts w:ascii="Times New Roman" w:hAnsi="Times New Roman" w:cs="Times New Roman"/>
          <w:sz w:val="28"/>
          <w:szCs w:val="28"/>
        </w:rPr>
        <w:t xml:space="preserve">ndigenous rights, shield the Consultation Draft from production.  </w:t>
      </w:r>
    </w:p>
    <w:p w14:paraId="78E5D39A" w14:textId="697375DB" w:rsidR="00D36023" w:rsidRPr="00D36023" w:rsidRDefault="00D36023" w:rsidP="00D36023">
      <w:pPr>
        <w:spacing w:after="240" w:line="240" w:lineRule="auto"/>
        <w:jc w:val="both"/>
        <w:rPr>
          <w:rFonts w:ascii="Times New Roman" w:hAnsi="Times New Roman" w:cs="Times New Roman"/>
          <w:b/>
          <w:bCs/>
          <w:i/>
          <w:iCs/>
          <w:sz w:val="28"/>
          <w:szCs w:val="28"/>
        </w:rPr>
      </w:pPr>
      <w:r w:rsidRPr="00D36023">
        <w:rPr>
          <w:rFonts w:ascii="Times New Roman" w:hAnsi="Times New Roman" w:cs="Times New Roman"/>
          <w:b/>
          <w:bCs/>
          <w:i/>
          <w:iCs/>
          <w:sz w:val="28"/>
          <w:szCs w:val="28"/>
        </w:rPr>
        <w:t>Notwithstanding Settlement Privilege</w:t>
      </w:r>
      <w:r w:rsidR="002D49F8">
        <w:rPr>
          <w:rFonts w:ascii="Times New Roman" w:hAnsi="Times New Roman" w:cs="Times New Roman"/>
          <w:b/>
          <w:bCs/>
          <w:i/>
          <w:iCs/>
          <w:sz w:val="28"/>
          <w:szCs w:val="28"/>
        </w:rPr>
        <w:t xml:space="preserve"> and Confidentiality,</w:t>
      </w:r>
      <w:r w:rsidRPr="00D36023">
        <w:rPr>
          <w:rFonts w:ascii="Times New Roman" w:hAnsi="Times New Roman" w:cs="Times New Roman"/>
          <w:b/>
          <w:bCs/>
          <w:i/>
          <w:iCs/>
          <w:sz w:val="28"/>
          <w:szCs w:val="28"/>
        </w:rPr>
        <w:t xml:space="preserve"> should I order production of the Consultation Draft?</w:t>
      </w:r>
    </w:p>
    <w:p w14:paraId="14749C60" w14:textId="4240455A" w:rsidR="009C781B" w:rsidRPr="009C781B" w:rsidRDefault="009C781B" w:rsidP="00BE5519">
      <w:pPr>
        <w:pStyle w:val="ListParagraph"/>
        <w:numPr>
          <w:ilvl w:val="0"/>
          <w:numId w:val="9"/>
        </w:numPr>
        <w:spacing w:after="240" w:line="240" w:lineRule="auto"/>
        <w:ind w:left="0" w:firstLine="0"/>
        <w:contextualSpacing w:val="0"/>
        <w:jc w:val="both"/>
        <w:rPr>
          <w:rFonts w:ascii="Times New Roman" w:hAnsi="Times New Roman" w:cs="Times New Roman"/>
          <w:sz w:val="28"/>
          <w:szCs w:val="28"/>
        </w:rPr>
      </w:pPr>
      <w:r w:rsidRPr="009C781B">
        <w:rPr>
          <w:rFonts w:ascii="Times New Roman" w:hAnsi="Times New Roman" w:cs="Times New Roman"/>
          <w:sz w:val="28"/>
          <w:szCs w:val="28"/>
        </w:rPr>
        <w:t xml:space="preserve">Having found the </w:t>
      </w:r>
      <w:r w:rsidR="00ED0DEF">
        <w:rPr>
          <w:rFonts w:ascii="Times New Roman" w:hAnsi="Times New Roman" w:cs="Times New Roman"/>
          <w:sz w:val="28"/>
          <w:szCs w:val="28"/>
        </w:rPr>
        <w:t xml:space="preserve">Consultation Draft </w:t>
      </w:r>
      <w:r w:rsidRPr="009C781B">
        <w:rPr>
          <w:rFonts w:ascii="Times New Roman" w:hAnsi="Times New Roman" w:cs="Times New Roman"/>
          <w:sz w:val="28"/>
          <w:szCs w:val="28"/>
        </w:rPr>
        <w:t>to be cloaked with settlement</w:t>
      </w:r>
      <w:r w:rsidR="00190A52">
        <w:rPr>
          <w:rFonts w:ascii="Times New Roman" w:hAnsi="Times New Roman" w:cs="Times New Roman"/>
          <w:sz w:val="28"/>
          <w:szCs w:val="28"/>
        </w:rPr>
        <w:t xml:space="preserve"> </w:t>
      </w:r>
      <w:r w:rsidRPr="009C781B">
        <w:rPr>
          <w:rFonts w:ascii="Times New Roman" w:hAnsi="Times New Roman" w:cs="Times New Roman"/>
          <w:sz w:val="28"/>
          <w:szCs w:val="28"/>
        </w:rPr>
        <w:t>privilege, I can</w:t>
      </w:r>
      <w:r w:rsidR="00B86B7B">
        <w:rPr>
          <w:rFonts w:ascii="Times New Roman" w:hAnsi="Times New Roman" w:cs="Times New Roman"/>
          <w:sz w:val="28"/>
          <w:szCs w:val="28"/>
        </w:rPr>
        <w:t xml:space="preserve"> </w:t>
      </w:r>
      <w:r w:rsidRPr="009C781B">
        <w:rPr>
          <w:rFonts w:ascii="Times New Roman" w:hAnsi="Times New Roman" w:cs="Times New Roman"/>
          <w:sz w:val="28"/>
          <w:szCs w:val="28"/>
        </w:rPr>
        <w:t xml:space="preserve">only order the production of the document if I find that it falls within a recognized exception. </w:t>
      </w:r>
      <w:r w:rsidR="000D245C">
        <w:rPr>
          <w:rFonts w:ascii="Times New Roman" w:hAnsi="Times New Roman" w:cs="Times New Roman"/>
          <w:sz w:val="28"/>
          <w:szCs w:val="28"/>
        </w:rPr>
        <w:t xml:space="preserve"> </w:t>
      </w:r>
      <w:r w:rsidR="00D52281" w:rsidRPr="00D52281">
        <w:rPr>
          <w:rFonts w:ascii="Times New Roman" w:hAnsi="Times New Roman" w:cs="Times New Roman"/>
          <w:sz w:val="28"/>
          <w:szCs w:val="28"/>
        </w:rPr>
        <w:t xml:space="preserve">The Defendants submit that I should order the </w:t>
      </w:r>
      <w:r w:rsidR="00D36023">
        <w:rPr>
          <w:rFonts w:ascii="Times New Roman" w:hAnsi="Times New Roman" w:cs="Times New Roman"/>
          <w:sz w:val="28"/>
          <w:szCs w:val="28"/>
        </w:rPr>
        <w:t>Consultat</w:t>
      </w:r>
      <w:r w:rsidR="00C819EF">
        <w:rPr>
          <w:rFonts w:ascii="Times New Roman" w:hAnsi="Times New Roman" w:cs="Times New Roman"/>
          <w:sz w:val="28"/>
          <w:szCs w:val="28"/>
        </w:rPr>
        <w:t xml:space="preserve">ion </w:t>
      </w:r>
      <w:r w:rsidR="002D49F8">
        <w:rPr>
          <w:rFonts w:ascii="Times New Roman" w:hAnsi="Times New Roman" w:cs="Times New Roman"/>
          <w:sz w:val="28"/>
          <w:szCs w:val="28"/>
        </w:rPr>
        <w:t xml:space="preserve">Draft </w:t>
      </w:r>
      <w:r w:rsidR="002D49F8" w:rsidRPr="00D52281">
        <w:rPr>
          <w:rFonts w:ascii="Times New Roman" w:hAnsi="Times New Roman" w:cs="Times New Roman"/>
          <w:sz w:val="28"/>
          <w:szCs w:val="28"/>
        </w:rPr>
        <w:t>produced</w:t>
      </w:r>
      <w:r w:rsidR="00D52281" w:rsidRPr="00D52281">
        <w:rPr>
          <w:rFonts w:ascii="Times New Roman" w:hAnsi="Times New Roman" w:cs="Times New Roman"/>
          <w:sz w:val="28"/>
          <w:szCs w:val="28"/>
        </w:rPr>
        <w:t xml:space="preserve"> on the basis of a public interest exception.  </w:t>
      </w:r>
    </w:p>
    <w:p w14:paraId="5B8E56F5" w14:textId="26BDD04F" w:rsidR="006E369C" w:rsidRDefault="00960B68" w:rsidP="00BE5519">
      <w:pPr>
        <w:pStyle w:val="ListParagraph"/>
        <w:numPr>
          <w:ilvl w:val="0"/>
          <w:numId w:val="9"/>
        </w:numPr>
        <w:spacing w:after="240" w:line="240" w:lineRule="auto"/>
        <w:ind w:left="0" w:firstLine="0"/>
        <w:contextualSpacing w:val="0"/>
        <w:jc w:val="both"/>
        <w:rPr>
          <w:rFonts w:ascii="Times New Roman" w:hAnsi="Times New Roman" w:cs="Times New Roman"/>
          <w:sz w:val="28"/>
          <w:szCs w:val="28"/>
        </w:rPr>
      </w:pPr>
      <w:r>
        <w:rPr>
          <w:rFonts w:ascii="Times New Roman" w:hAnsi="Times New Roman" w:cs="Times New Roman"/>
          <w:sz w:val="28"/>
          <w:szCs w:val="28"/>
        </w:rPr>
        <w:t xml:space="preserve">The Supreme Court of Canada in </w:t>
      </w:r>
      <w:r w:rsidRPr="004A2925">
        <w:rPr>
          <w:rFonts w:ascii="Times New Roman" w:hAnsi="Times New Roman" w:cs="Times New Roman"/>
          <w:i/>
          <w:iCs/>
          <w:sz w:val="28"/>
          <w:szCs w:val="28"/>
        </w:rPr>
        <w:t>Sable Offshore Energy Inc v Ameron International Corp</w:t>
      </w:r>
      <w:r w:rsidRPr="00960B68">
        <w:rPr>
          <w:rFonts w:ascii="Times New Roman" w:hAnsi="Times New Roman" w:cs="Times New Roman"/>
          <w:sz w:val="28"/>
          <w:szCs w:val="28"/>
        </w:rPr>
        <w:t>, 2013 SCC 37</w:t>
      </w:r>
      <w:r w:rsidR="00046E66">
        <w:rPr>
          <w:rFonts w:ascii="Times New Roman" w:hAnsi="Times New Roman" w:cs="Times New Roman"/>
          <w:sz w:val="28"/>
          <w:szCs w:val="28"/>
        </w:rPr>
        <w:t xml:space="preserve"> </w:t>
      </w:r>
      <w:r w:rsidR="00FA733A">
        <w:rPr>
          <w:rFonts w:ascii="Times New Roman" w:hAnsi="Times New Roman" w:cs="Times New Roman"/>
          <w:sz w:val="28"/>
          <w:szCs w:val="28"/>
        </w:rPr>
        <w:t>[</w:t>
      </w:r>
      <w:r w:rsidR="00FA733A" w:rsidRPr="00FA733A">
        <w:rPr>
          <w:rFonts w:ascii="Times New Roman" w:hAnsi="Times New Roman" w:cs="Times New Roman"/>
          <w:i/>
          <w:iCs/>
          <w:sz w:val="28"/>
          <w:szCs w:val="28"/>
        </w:rPr>
        <w:t>Sable Offshore</w:t>
      </w:r>
      <w:r w:rsidR="00FA733A">
        <w:rPr>
          <w:rFonts w:ascii="Times New Roman" w:hAnsi="Times New Roman" w:cs="Times New Roman"/>
          <w:sz w:val="28"/>
          <w:szCs w:val="28"/>
        </w:rPr>
        <w:t xml:space="preserve">] </w:t>
      </w:r>
      <w:r w:rsidR="00046E66">
        <w:rPr>
          <w:rFonts w:ascii="Times New Roman" w:hAnsi="Times New Roman" w:cs="Times New Roman"/>
          <w:sz w:val="28"/>
          <w:szCs w:val="28"/>
        </w:rPr>
        <w:t xml:space="preserve">at </w:t>
      </w:r>
      <w:r w:rsidR="007D6303">
        <w:rPr>
          <w:rFonts w:ascii="Times New Roman" w:hAnsi="Times New Roman" w:cs="Times New Roman"/>
          <w:sz w:val="28"/>
          <w:szCs w:val="28"/>
        </w:rPr>
        <w:t xml:space="preserve">para </w:t>
      </w:r>
      <w:r w:rsidR="00046E66">
        <w:rPr>
          <w:rFonts w:ascii="Times New Roman" w:hAnsi="Times New Roman" w:cs="Times New Roman"/>
          <w:sz w:val="28"/>
          <w:szCs w:val="28"/>
        </w:rPr>
        <w:t xml:space="preserve">19 held that to </w:t>
      </w:r>
      <w:r w:rsidR="00046E66" w:rsidRPr="00046E66">
        <w:rPr>
          <w:rFonts w:ascii="Times New Roman" w:hAnsi="Times New Roman" w:cs="Times New Roman"/>
          <w:sz w:val="28"/>
          <w:szCs w:val="28"/>
        </w:rPr>
        <w:t>come within those exceptions, a defendant must show that, on balance, “a competing public interest outweighs the public interest in encouraging settlement</w:t>
      </w:r>
      <w:r w:rsidR="00B508F4">
        <w:rPr>
          <w:rFonts w:ascii="Times New Roman" w:hAnsi="Times New Roman" w:cs="Times New Roman"/>
          <w:sz w:val="28"/>
          <w:szCs w:val="28"/>
        </w:rPr>
        <w:t xml:space="preserve">”.  Some examples of recognized </w:t>
      </w:r>
      <w:r w:rsidR="00DC4B5E">
        <w:rPr>
          <w:rFonts w:ascii="Times New Roman" w:hAnsi="Times New Roman" w:cs="Times New Roman"/>
          <w:sz w:val="28"/>
          <w:szCs w:val="28"/>
        </w:rPr>
        <w:t xml:space="preserve">exceptions include </w:t>
      </w:r>
      <w:r w:rsidR="00DC4B5E" w:rsidRPr="00DC4B5E">
        <w:rPr>
          <w:rFonts w:ascii="Times New Roman" w:hAnsi="Times New Roman" w:cs="Times New Roman"/>
          <w:sz w:val="28"/>
          <w:szCs w:val="28"/>
        </w:rPr>
        <w:t xml:space="preserve">allegations of misrepresentation, fraud </w:t>
      </w:r>
      <w:r w:rsidR="00DC4B5E" w:rsidRPr="00DC4B5E">
        <w:rPr>
          <w:rFonts w:ascii="Times New Roman" w:hAnsi="Times New Roman" w:cs="Times New Roman"/>
          <w:sz w:val="28"/>
          <w:szCs w:val="28"/>
        </w:rPr>
        <w:lastRenderedPageBreak/>
        <w:t>or undue influence and preventing a plaintiff from being overcompensated (</w:t>
      </w:r>
      <w:r w:rsidR="00DC4B5E" w:rsidRPr="0095379F">
        <w:rPr>
          <w:rFonts w:ascii="Times New Roman" w:hAnsi="Times New Roman" w:cs="Times New Roman"/>
          <w:i/>
          <w:iCs/>
          <w:sz w:val="28"/>
          <w:szCs w:val="28"/>
        </w:rPr>
        <w:t>Dos Santos</w:t>
      </w:r>
      <w:r w:rsidR="006865F3">
        <w:rPr>
          <w:rFonts w:ascii="Times New Roman" w:hAnsi="Times New Roman" w:cs="Times New Roman"/>
          <w:sz w:val="28"/>
          <w:szCs w:val="28"/>
        </w:rPr>
        <w:t xml:space="preserve"> </w:t>
      </w:r>
      <w:r w:rsidR="006865F3" w:rsidRPr="006865F3">
        <w:rPr>
          <w:rFonts w:ascii="Times New Roman" w:hAnsi="Times New Roman" w:cs="Times New Roman"/>
          <w:i/>
          <w:iCs/>
          <w:sz w:val="28"/>
          <w:szCs w:val="28"/>
        </w:rPr>
        <w:t>Estate v Sun Life Assurance Co. of Canada,</w:t>
      </w:r>
      <w:r w:rsidR="006865F3" w:rsidRPr="006865F3">
        <w:rPr>
          <w:rFonts w:ascii="Times New Roman" w:hAnsi="Times New Roman" w:cs="Times New Roman"/>
          <w:sz w:val="28"/>
          <w:szCs w:val="28"/>
        </w:rPr>
        <w:t xml:space="preserve"> 2005 BCCA 4</w:t>
      </w:r>
      <w:r w:rsidR="006865F3">
        <w:rPr>
          <w:rFonts w:ascii="Times New Roman" w:hAnsi="Times New Roman" w:cs="Times New Roman"/>
          <w:sz w:val="28"/>
          <w:szCs w:val="28"/>
        </w:rPr>
        <w:t xml:space="preserve">).  </w:t>
      </w:r>
    </w:p>
    <w:p w14:paraId="3D2FE2CC" w14:textId="6401ECD2" w:rsidR="00230CE6" w:rsidRDefault="00230CE6" w:rsidP="00BE5519">
      <w:pPr>
        <w:pStyle w:val="ListParagraph"/>
        <w:numPr>
          <w:ilvl w:val="0"/>
          <w:numId w:val="9"/>
        </w:numPr>
        <w:spacing w:after="240" w:line="240" w:lineRule="auto"/>
        <w:ind w:left="0" w:firstLine="0"/>
        <w:contextualSpacing w:val="0"/>
        <w:jc w:val="both"/>
        <w:rPr>
          <w:rFonts w:ascii="Times New Roman" w:hAnsi="Times New Roman" w:cs="Times New Roman"/>
          <w:sz w:val="28"/>
          <w:szCs w:val="28"/>
        </w:rPr>
      </w:pPr>
      <w:r>
        <w:rPr>
          <w:rFonts w:ascii="Times New Roman" w:hAnsi="Times New Roman" w:cs="Times New Roman"/>
          <w:sz w:val="28"/>
          <w:szCs w:val="28"/>
        </w:rPr>
        <w:t xml:space="preserve">The Defendants assert that it is inappropriate to </w:t>
      </w:r>
      <w:r w:rsidR="00C40A73">
        <w:rPr>
          <w:rFonts w:ascii="Times New Roman" w:hAnsi="Times New Roman" w:cs="Times New Roman"/>
          <w:sz w:val="28"/>
          <w:szCs w:val="28"/>
        </w:rPr>
        <w:t xml:space="preserve">confer settlement privilege on the Consultation Draft as their </w:t>
      </w:r>
      <w:r w:rsidR="000855BD">
        <w:rPr>
          <w:rFonts w:ascii="Times New Roman" w:hAnsi="Times New Roman" w:cs="Times New Roman"/>
          <w:sz w:val="28"/>
          <w:szCs w:val="28"/>
        </w:rPr>
        <w:t xml:space="preserve">Treaty No. 8 rights to select land </w:t>
      </w:r>
      <w:r w:rsidR="00C40A73">
        <w:rPr>
          <w:rFonts w:ascii="Times New Roman" w:hAnsi="Times New Roman" w:cs="Times New Roman"/>
          <w:sz w:val="28"/>
          <w:szCs w:val="28"/>
        </w:rPr>
        <w:t>are potentially being compromised by the settlement.</w:t>
      </w:r>
      <w:r w:rsidR="00DD2D0E">
        <w:rPr>
          <w:rFonts w:ascii="Times New Roman" w:hAnsi="Times New Roman" w:cs="Times New Roman"/>
          <w:sz w:val="28"/>
          <w:szCs w:val="28"/>
        </w:rPr>
        <w:t xml:space="preserve"> </w:t>
      </w:r>
      <w:r w:rsidR="00C40A73">
        <w:rPr>
          <w:rFonts w:ascii="Times New Roman" w:hAnsi="Times New Roman" w:cs="Times New Roman"/>
          <w:sz w:val="28"/>
          <w:szCs w:val="28"/>
        </w:rPr>
        <w:t xml:space="preserve"> </w:t>
      </w:r>
      <w:r w:rsidR="008A2089">
        <w:rPr>
          <w:rFonts w:ascii="Times New Roman" w:hAnsi="Times New Roman" w:cs="Times New Roman"/>
          <w:sz w:val="28"/>
          <w:szCs w:val="28"/>
        </w:rPr>
        <w:t xml:space="preserve">They assert that they require the Consultation Draft in order to properly argue the Conflict of Interest </w:t>
      </w:r>
      <w:r w:rsidR="00C46193">
        <w:rPr>
          <w:rFonts w:ascii="Times New Roman" w:hAnsi="Times New Roman" w:cs="Times New Roman"/>
          <w:sz w:val="28"/>
          <w:szCs w:val="28"/>
        </w:rPr>
        <w:t>Application</w:t>
      </w:r>
      <w:r w:rsidR="008A2089">
        <w:rPr>
          <w:rFonts w:ascii="Times New Roman" w:hAnsi="Times New Roman" w:cs="Times New Roman"/>
          <w:sz w:val="28"/>
          <w:szCs w:val="28"/>
        </w:rPr>
        <w:t xml:space="preserve"> </w:t>
      </w:r>
      <w:r w:rsidR="001A59AD">
        <w:rPr>
          <w:rFonts w:ascii="Times New Roman" w:hAnsi="Times New Roman" w:cs="Times New Roman"/>
          <w:sz w:val="28"/>
          <w:szCs w:val="28"/>
        </w:rPr>
        <w:t>in which the Commissioner asserts that Rath &amp; Company are in a conflict</w:t>
      </w:r>
      <w:r w:rsidR="006B1111">
        <w:rPr>
          <w:rFonts w:ascii="Times New Roman" w:hAnsi="Times New Roman" w:cs="Times New Roman"/>
          <w:sz w:val="28"/>
          <w:szCs w:val="28"/>
        </w:rPr>
        <w:t xml:space="preserve"> of interest in</w:t>
      </w:r>
      <w:r w:rsidR="001A59AD">
        <w:rPr>
          <w:rFonts w:ascii="Times New Roman" w:hAnsi="Times New Roman" w:cs="Times New Roman"/>
          <w:sz w:val="28"/>
          <w:szCs w:val="28"/>
        </w:rPr>
        <w:t xml:space="preserve"> representing the individual rights of the Defendants and the collective rights of the proposed class.</w:t>
      </w:r>
      <w:r w:rsidR="002F5823">
        <w:rPr>
          <w:rFonts w:ascii="Times New Roman" w:hAnsi="Times New Roman" w:cs="Times New Roman"/>
          <w:sz w:val="28"/>
          <w:szCs w:val="28"/>
        </w:rPr>
        <w:t xml:space="preserve">  The Defendants also state that the Consultation Draft </w:t>
      </w:r>
      <w:r w:rsidR="00540080">
        <w:rPr>
          <w:rFonts w:ascii="Times New Roman" w:hAnsi="Times New Roman" w:cs="Times New Roman"/>
          <w:sz w:val="28"/>
          <w:szCs w:val="28"/>
        </w:rPr>
        <w:t xml:space="preserve">could have </w:t>
      </w:r>
      <w:r w:rsidR="002F5823">
        <w:rPr>
          <w:rFonts w:ascii="Times New Roman" w:hAnsi="Times New Roman" w:cs="Times New Roman"/>
          <w:sz w:val="28"/>
          <w:szCs w:val="28"/>
        </w:rPr>
        <w:t xml:space="preserve">the effect of diminishing or eroding their rights to select land </w:t>
      </w:r>
      <w:r w:rsidR="005A501A">
        <w:rPr>
          <w:rFonts w:ascii="Times New Roman" w:hAnsi="Times New Roman" w:cs="Times New Roman"/>
          <w:sz w:val="28"/>
          <w:szCs w:val="28"/>
        </w:rPr>
        <w:t xml:space="preserve">and, as such, should be produced for a proper determination of the ultimate issue in the lawsuit. </w:t>
      </w:r>
    </w:p>
    <w:p w14:paraId="3FA1FBAC" w14:textId="20FF57B5" w:rsidR="002F03B8" w:rsidRDefault="00567709" w:rsidP="00BE5519">
      <w:pPr>
        <w:pStyle w:val="ListParagraph"/>
        <w:numPr>
          <w:ilvl w:val="0"/>
          <w:numId w:val="9"/>
        </w:numPr>
        <w:spacing w:after="240" w:line="240" w:lineRule="auto"/>
        <w:ind w:left="0" w:firstLine="0"/>
        <w:contextualSpacing w:val="0"/>
        <w:jc w:val="both"/>
        <w:rPr>
          <w:rFonts w:ascii="Times New Roman" w:hAnsi="Times New Roman" w:cs="Times New Roman"/>
          <w:sz w:val="28"/>
          <w:szCs w:val="28"/>
        </w:rPr>
      </w:pPr>
      <w:r>
        <w:rPr>
          <w:rFonts w:ascii="Times New Roman" w:hAnsi="Times New Roman" w:cs="Times New Roman"/>
          <w:sz w:val="28"/>
          <w:szCs w:val="28"/>
        </w:rPr>
        <w:t xml:space="preserve">It may well be </w:t>
      </w:r>
      <w:r w:rsidR="003E5F2C">
        <w:rPr>
          <w:rFonts w:ascii="Times New Roman" w:hAnsi="Times New Roman" w:cs="Times New Roman"/>
          <w:sz w:val="28"/>
          <w:szCs w:val="28"/>
        </w:rPr>
        <w:t>that whatever</w:t>
      </w:r>
      <w:r w:rsidR="006F767C">
        <w:rPr>
          <w:rFonts w:ascii="Times New Roman" w:hAnsi="Times New Roman" w:cs="Times New Roman"/>
          <w:sz w:val="28"/>
          <w:szCs w:val="28"/>
        </w:rPr>
        <w:t xml:space="preserve"> agreement is reached out of the negotiations process could </w:t>
      </w:r>
      <w:r w:rsidR="005A0C35">
        <w:rPr>
          <w:rFonts w:ascii="Times New Roman" w:hAnsi="Times New Roman" w:cs="Times New Roman"/>
          <w:sz w:val="28"/>
          <w:szCs w:val="28"/>
        </w:rPr>
        <w:t xml:space="preserve">affect the Defendants and their remedies in this litigation, however </w:t>
      </w:r>
      <w:r w:rsidR="003C3C43">
        <w:rPr>
          <w:rFonts w:ascii="Times New Roman" w:hAnsi="Times New Roman" w:cs="Times New Roman"/>
          <w:sz w:val="28"/>
          <w:szCs w:val="28"/>
        </w:rPr>
        <w:t xml:space="preserve">that is not the issue before me on this application.  The narrow issue I </w:t>
      </w:r>
      <w:r w:rsidR="00BF0353">
        <w:rPr>
          <w:rFonts w:ascii="Times New Roman" w:hAnsi="Times New Roman" w:cs="Times New Roman"/>
          <w:sz w:val="28"/>
          <w:szCs w:val="28"/>
        </w:rPr>
        <w:t>must</w:t>
      </w:r>
      <w:r w:rsidR="003C3C43">
        <w:rPr>
          <w:rFonts w:ascii="Times New Roman" w:hAnsi="Times New Roman" w:cs="Times New Roman"/>
          <w:sz w:val="28"/>
          <w:szCs w:val="28"/>
        </w:rPr>
        <w:t xml:space="preserve"> decide is whether there should be an exception to settlement privilege in order to direct production of portions of the Consultation Draft </w:t>
      </w:r>
      <w:r w:rsidR="00441D55">
        <w:rPr>
          <w:rFonts w:ascii="Times New Roman" w:hAnsi="Times New Roman" w:cs="Times New Roman"/>
          <w:sz w:val="28"/>
          <w:szCs w:val="28"/>
        </w:rPr>
        <w:t xml:space="preserve">to allow the Defendants to properly respond to the Conflict of Interest </w:t>
      </w:r>
      <w:r w:rsidR="00C46193">
        <w:rPr>
          <w:rFonts w:ascii="Times New Roman" w:hAnsi="Times New Roman" w:cs="Times New Roman"/>
          <w:sz w:val="28"/>
          <w:szCs w:val="28"/>
        </w:rPr>
        <w:t>Application</w:t>
      </w:r>
      <w:r w:rsidR="00441D55">
        <w:rPr>
          <w:rFonts w:ascii="Times New Roman" w:hAnsi="Times New Roman" w:cs="Times New Roman"/>
          <w:sz w:val="28"/>
          <w:szCs w:val="28"/>
        </w:rPr>
        <w:t xml:space="preserve">.  </w:t>
      </w:r>
      <w:r w:rsidR="00AF3DE4">
        <w:rPr>
          <w:rFonts w:ascii="Times New Roman" w:hAnsi="Times New Roman" w:cs="Times New Roman"/>
          <w:sz w:val="28"/>
          <w:szCs w:val="28"/>
        </w:rPr>
        <w:t xml:space="preserve">I am not persuaded that rationale provides a </w:t>
      </w:r>
      <w:r w:rsidR="00357654">
        <w:rPr>
          <w:rFonts w:ascii="Times New Roman" w:hAnsi="Times New Roman" w:cs="Times New Roman"/>
          <w:sz w:val="28"/>
          <w:szCs w:val="28"/>
        </w:rPr>
        <w:t xml:space="preserve">reasoned basis upon </w:t>
      </w:r>
      <w:r w:rsidR="003F7C3F">
        <w:rPr>
          <w:rFonts w:ascii="Times New Roman" w:hAnsi="Times New Roman" w:cs="Times New Roman"/>
          <w:sz w:val="28"/>
          <w:szCs w:val="28"/>
        </w:rPr>
        <w:t xml:space="preserve">which </w:t>
      </w:r>
      <w:r w:rsidR="00E470ED">
        <w:rPr>
          <w:rFonts w:ascii="Times New Roman" w:hAnsi="Times New Roman" w:cs="Times New Roman"/>
          <w:sz w:val="28"/>
          <w:szCs w:val="28"/>
        </w:rPr>
        <w:t>to set</w:t>
      </w:r>
      <w:r w:rsidR="00AF3DE4">
        <w:rPr>
          <w:rFonts w:ascii="Times New Roman" w:hAnsi="Times New Roman" w:cs="Times New Roman"/>
          <w:sz w:val="28"/>
          <w:szCs w:val="28"/>
        </w:rPr>
        <w:t xml:space="preserve"> aside settlement privilege and order production. </w:t>
      </w:r>
    </w:p>
    <w:p w14:paraId="2419D5C0" w14:textId="5CE91E7F" w:rsidR="00131C82" w:rsidRDefault="00131C82" w:rsidP="00BE5519">
      <w:pPr>
        <w:pStyle w:val="ListParagraph"/>
        <w:numPr>
          <w:ilvl w:val="0"/>
          <w:numId w:val="9"/>
        </w:numPr>
        <w:spacing w:after="240" w:line="240" w:lineRule="auto"/>
        <w:ind w:left="0" w:firstLine="0"/>
        <w:contextualSpacing w:val="0"/>
        <w:jc w:val="both"/>
        <w:rPr>
          <w:rFonts w:ascii="Times New Roman" w:hAnsi="Times New Roman" w:cs="Times New Roman"/>
          <w:sz w:val="28"/>
          <w:szCs w:val="28"/>
        </w:rPr>
      </w:pPr>
      <w:r>
        <w:rPr>
          <w:rFonts w:ascii="Times New Roman" w:hAnsi="Times New Roman" w:cs="Times New Roman"/>
          <w:sz w:val="28"/>
          <w:szCs w:val="28"/>
        </w:rPr>
        <w:t>Firstly, the immediate issue to determine i</w:t>
      </w:r>
      <w:r w:rsidR="002B54B0">
        <w:rPr>
          <w:rFonts w:ascii="Times New Roman" w:hAnsi="Times New Roman" w:cs="Times New Roman"/>
          <w:sz w:val="28"/>
          <w:szCs w:val="28"/>
        </w:rPr>
        <w:t>s</w:t>
      </w:r>
      <w:r>
        <w:rPr>
          <w:rFonts w:ascii="Times New Roman" w:hAnsi="Times New Roman" w:cs="Times New Roman"/>
          <w:sz w:val="28"/>
          <w:szCs w:val="28"/>
        </w:rPr>
        <w:t xml:space="preserve"> whether Rath &amp; Company can repres</w:t>
      </w:r>
      <w:r w:rsidR="001C737F">
        <w:rPr>
          <w:rFonts w:ascii="Times New Roman" w:hAnsi="Times New Roman" w:cs="Times New Roman"/>
          <w:sz w:val="28"/>
          <w:szCs w:val="28"/>
        </w:rPr>
        <w:t xml:space="preserve">ent both the individual interests of the Defendants and the interests of the proposed class as a whole. </w:t>
      </w:r>
      <w:r w:rsidR="00F4434B">
        <w:rPr>
          <w:rFonts w:ascii="Times New Roman" w:hAnsi="Times New Roman" w:cs="Times New Roman"/>
          <w:sz w:val="28"/>
          <w:szCs w:val="28"/>
        </w:rPr>
        <w:t xml:space="preserve"> A determination of that issue does not depend on negotiation</w:t>
      </w:r>
      <w:r w:rsidR="00D214F3">
        <w:rPr>
          <w:rFonts w:ascii="Times New Roman" w:hAnsi="Times New Roman" w:cs="Times New Roman"/>
          <w:sz w:val="28"/>
          <w:szCs w:val="28"/>
        </w:rPr>
        <w:t>s</w:t>
      </w:r>
      <w:r w:rsidR="00F4434B">
        <w:rPr>
          <w:rFonts w:ascii="Times New Roman" w:hAnsi="Times New Roman" w:cs="Times New Roman"/>
          <w:sz w:val="28"/>
          <w:szCs w:val="28"/>
        </w:rPr>
        <w:t xml:space="preserve"> which </w:t>
      </w:r>
      <w:r w:rsidR="00277C87">
        <w:rPr>
          <w:rFonts w:ascii="Times New Roman" w:hAnsi="Times New Roman" w:cs="Times New Roman"/>
          <w:sz w:val="28"/>
          <w:szCs w:val="28"/>
        </w:rPr>
        <w:t xml:space="preserve">are occurring outside this litigation.  </w:t>
      </w:r>
    </w:p>
    <w:p w14:paraId="2A19C278" w14:textId="5C61F0A5" w:rsidR="00277C87" w:rsidRDefault="00277C87" w:rsidP="00BE5519">
      <w:pPr>
        <w:pStyle w:val="ListParagraph"/>
        <w:numPr>
          <w:ilvl w:val="0"/>
          <w:numId w:val="9"/>
        </w:numPr>
        <w:spacing w:after="240" w:line="240" w:lineRule="auto"/>
        <w:ind w:left="0" w:firstLine="0"/>
        <w:contextualSpacing w:val="0"/>
        <w:jc w:val="both"/>
        <w:rPr>
          <w:rFonts w:ascii="Times New Roman" w:hAnsi="Times New Roman" w:cs="Times New Roman"/>
          <w:sz w:val="28"/>
          <w:szCs w:val="28"/>
        </w:rPr>
      </w:pPr>
      <w:r>
        <w:rPr>
          <w:rFonts w:ascii="Times New Roman" w:hAnsi="Times New Roman" w:cs="Times New Roman"/>
          <w:sz w:val="28"/>
          <w:szCs w:val="28"/>
        </w:rPr>
        <w:t xml:space="preserve">Secondly, the </w:t>
      </w:r>
      <w:r w:rsidR="00F74DBF">
        <w:rPr>
          <w:rFonts w:ascii="Times New Roman" w:hAnsi="Times New Roman" w:cs="Times New Roman"/>
          <w:sz w:val="28"/>
          <w:szCs w:val="28"/>
        </w:rPr>
        <w:t xml:space="preserve">Consultation Draft is just that – a consultation document.  </w:t>
      </w:r>
      <w:r w:rsidR="004B1F6D">
        <w:rPr>
          <w:rFonts w:ascii="Times New Roman" w:hAnsi="Times New Roman" w:cs="Times New Roman"/>
          <w:sz w:val="28"/>
          <w:szCs w:val="28"/>
        </w:rPr>
        <w:t>The provisions ma</w:t>
      </w:r>
      <w:r w:rsidR="00897FDF">
        <w:rPr>
          <w:rFonts w:ascii="Times New Roman" w:hAnsi="Times New Roman" w:cs="Times New Roman"/>
          <w:sz w:val="28"/>
          <w:szCs w:val="28"/>
        </w:rPr>
        <w:t xml:space="preserve">y change significantly as the process for resolving claims in the Akaitcho Region continues.  </w:t>
      </w:r>
      <w:r w:rsidR="00B12AD3">
        <w:rPr>
          <w:rFonts w:ascii="Times New Roman" w:hAnsi="Times New Roman" w:cs="Times New Roman"/>
          <w:sz w:val="28"/>
          <w:szCs w:val="28"/>
        </w:rPr>
        <w:t xml:space="preserve">As a draft document, without legal effect, </w:t>
      </w:r>
      <w:r w:rsidR="00C907D4">
        <w:rPr>
          <w:rFonts w:ascii="Times New Roman" w:hAnsi="Times New Roman" w:cs="Times New Roman"/>
          <w:sz w:val="28"/>
          <w:szCs w:val="28"/>
        </w:rPr>
        <w:t xml:space="preserve">it has little probative value to the litigation as a whole. </w:t>
      </w:r>
    </w:p>
    <w:p w14:paraId="62C29B95" w14:textId="31C94962" w:rsidR="00225F2C" w:rsidRDefault="00225F2C" w:rsidP="00BE5519">
      <w:pPr>
        <w:pStyle w:val="ListParagraph"/>
        <w:numPr>
          <w:ilvl w:val="0"/>
          <w:numId w:val="9"/>
        </w:numPr>
        <w:spacing w:after="240" w:line="240" w:lineRule="auto"/>
        <w:ind w:left="0" w:firstLine="0"/>
        <w:contextualSpacing w:val="0"/>
        <w:jc w:val="both"/>
        <w:rPr>
          <w:rFonts w:ascii="Times New Roman" w:hAnsi="Times New Roman" w:cs="Times New Roman"/>
          <w:sz w:val="28"/>
          <w:szCs w:val="28"/>
        </w:rPr>
      </w:pPr>
      <w:r>
        <w:rPr>
          <w:rFonts w:ascii="Times New Roman" w:hAnsi="Times New Roman" w:cs="Times New Roman"/>
          <w:sz w:val="28"/>
          <w:szCs w:val="28"/>
        </w:rPr>
        <w:t xml:space="preserve">The Defendants also assert that </w:t>
      </w:r>
      <w:r w:rsidR="00A3693F">
        <w:rPr>
          <w:rFonts w:ascii="Times New Roman" w:hAnsi="Times New Roman" w:cs="Times New Roman"/>
          <w:sz w:val="28"/>
          <w:szCs w:val="28"/>
        </w:rPr>
        <w:t>where there is a partial settlement in multi</w:t>
      </w:r>
      <w:r w:rsidR="002164CC">
        <w:rPr>
          <w:rFonts w:ascii="Times New Roman" w:hAnsi="Times New Roman" w:cs="Times New Roman"/>
          <w:sz w:val="28"/>
          <w:szCs w:val="28"/>
        </w:rPr>
        <w:t>-</w:t>
      </w:r>
      <w:r w:rsidR="00A3693F">
        <w:rPr>
          <w:rFonts w:ascii="Times New Roman" w:hAnsi="Times New Roman" w:cs="Times New Roman"/>
          <w:sz w:val="28"/>
          <w:szCs w:val="28"/>
        </w:rPr>
        <w:t>party litigation, which may change entirely the landscape of the litigation, the settling party has an obligation to disclose</w:t>
      </w:r>
      <w:r w:rsidR="006C4A40">
        <w:rPr>
          <w:rFonts w:ascii="Times New Roman" w:hAnsi="Times New Roman" w:cs="Times New Roman"/>
          <w:sz w:val="28"/>
          <w:szCs w:val="28"/>
        </w:rPr>
        <w:t xml:space="preserve">:  </w:t>
      </w:r>
      <w:r w:rsidR="00933DB5" w:rsidRPr="00933DB5">
        <w:rPr>
          <w:rFonts w:ascii="Times New Roman" w:hAnsi="Times New Roman" w:cs="Times New Roman"/>
          <w:i/>
          <w:iCs/>
          <w:sz w:val="28"/>
          <w:szCs w:val="28"/>
        </w:rPr>
        <w:t xml:space="preserve">Sable Offshore </w:t>
      </w:r>
      <w:r w:rsidR="00933DB5">
        <w:rPr>
          <w:rFonts w:ascii="Times New Roman" w:hAnsi="Times New Roman" w:cs="Times New Roman"/>
          <w:sz w:val="28"/>
          <w:szCs w:val="28"/>
        </w:rPr>
        <w:t xml:space="preserve">at para 17.  The challenge with this position is </w:t>
      </w:r>
      <w:r w:rsidR="002B531C">
        <w:rPr>
          <w:rFonts w:ascii="Times New Roman" w:hAnsi="Times New Roman" w:cs="Times New Roman"/>
          <w:sz w:val="28"/>
          <w:szCs w:val="28"/>
        </w:rPr>
        <w:t xml:space="preserve">that no settlement has yet been reached.  </w:t>
      </w:r>
      <w:r w:rsidR="00BC04C4">
        <w:rPr>
          <w:rFonts w:ascii="Times New Roman" w:hAnsi="Times New Roman" w:cs="Times New Roman"/>
          <w:sz w:val="28"/>
          <w:szCs w:val="28"/>
        </w:rPr>
        <w:t xml:space="preserve">Negotiations are ongoing.  It would be premature to speculate on future agreements and on their impact in this litigation. </w:t>
      </w:r>
    </w:p>
    <w:p w14:paraId="75193F54" w14:textId="7B67F01D" w:rsidR="00BC04C4" w:rsidRPr="00611F1C" w:rsidRDefault="001741F4" w:rsidP="00BE5519">
      <w:pPr>
        <w:pStyle w:val="ListParagraph"/>
        <w:numPr>
          <w:ilvl w:val="0"/>
          <w:numId w:val="9"/>
        </w:numPr>
        <w:spacing w:after="240" w:line="240" w:lineRule="auto"/>
        <w:ind w:left="0" w:firstLine="0"/>
        <w:contextualSpacing w:val="0"/>
        <w:jc w:val="both"/>
        <w:rPr>
          <w:rFonts w:ascii="Times New Roman" w:hAnsi="Times New Roman" w:cs="Times New Roman"/>
          <w:sz w:val="28"/>
          <w:szCs w:val="28"/>
        </w:rPr>
      </w:pPr>
      <w:r w:rsidRPr="00611F1C">
        <w:rPr>
          <w:rFonts w:ascii="Times New Roman" w:hAnsi="Times New Roman" w:cs="Times New Roman"/>
          <w:sz w:val="28"/>
          <w:szCs w:val="28"/>
        </w:rPr>
        <w:t>The Defendants also raise the exception that disclosure will be ordered whe</w:t>
      </w:r>
      <w:r w:rsidR="00095C22" w:rsidRPr="00611F1C">
        <w:rPr>
          <w:rFonts w:ascii="Times New Roman" w:hAnsi="Times New Roman" w:cs="Times New Roman"/>
          <w:sz w:val="28"/>
          <w:szCs w:val="28"/>
        </w:rPr>
        <w:t xml:space="preserve">re there is a risk that a litigant may be overcompensated </w:t>
      </w:r>
      <w:r w:rsidR="0021042C" w:rsidRPr="00611F1C">
        <w:rPr>
          <w:rFonts w:ascii="Times New Roman" w:hAnsi="Times New Roman" w:cs="Times New Roman"/>
          <w:sz w:val="28"/>
          <w:szCs w:val="28"/>
        </w:rPr>
        <w:t xml:space="preserve">as a result of a settlement.  They point </w:t>
      </w:r>
      <w:r w:rsidR="00546254" w:rsidRPr="00611F1C">
        <w:rPr>
          <w:rFonts w:ascii="Times New Roman" w:hAnsi="Times New Roman" w:cs="Times New Roman"/>
          <w:sz w:val="28"/>
          <w:szCs w:val="28"/>
        </w:rPr>
        <w:t>to potential</w:t>
      </w:r>
      <w:r w:rsidR="0021042C" w:rsidRPr="00611F1C">
        <w:rPr>
          <w:rFonts w:ascii="Times New Roman" w:hAnsi="Times New Roman" w:cs="Times New Roman"/>
          <w:sz w:val="28"/>
          <w:szCs w:val="28"/>
        </w:rPr>
        <w:t xml:space="preserve"> land rights that may be addressed in a settlement </w:t>
      </w:r>
      <w:r w:rsidR="00BC4968" w:rsidRPr="00611F1C">
        <w:rPr>
          <w:rFonts w:ascii="Times New Roman" w:hAnsi="Times New Roman" w:cs="Times New Roman"/>
          <w:sz w:val="28"/>
          <w:szCs w:val="28"/>
        </w:rPr>
        <w:t xml:space="preserve">and the fact </w:t>
      </w:r>
      <w:r w:rsidR="00BC4968" w:rsidRPr="00611F1C">
        <w:rPr>
          <w:rFonts w:ascii="Times New Roman" w:hAnsi="Times New Roman" w:cs="Times New Roman"/>
          <w:sz w:val="28"/>
          <w:szCs w:val="28"/>
        </w:rPr>
        <w:lastRenderedPageBreak/>
        <w:t xml:space="preserve">that the Defendants do not know </w:t>
      </w:r>
      <w:r w:rsidR="00611F1C" w:rsidRPr="00611F1C">
        <w:rPr>
          <w:rFonts w:ascii="Times New Roman" w:hAnsi="Times New Roman" w:cs="Times New Roman"/>
          <w:sz w:val="28"/>
          <w:szCs w:val="28"/>
        </w:rPr>
        <w:t xml:space="preserve">what their entitlement may be. </w:t>
      </w:r>
      <w:r w:rsidR="00BC4968" w:rsidRPr="00611F1C">
        <w:rPr>
          <w:rFonts w:ascii="Times New Roman" w:hAnsi="Times New Roman" w:cs="Times New Roman"/>
          <w:sz w:val="28"/>
          <w:szCs w:val="28"/>
        </w:rPr>
        <w:t xml:space="preserve"> </w:t>
      </w:r>
      <w:r w:rsidR="00611F1C">
        <w:rPr>
          <w:rFonts w:ascii="Times New Roman" w:hAnsi="Times New Roman" w:cs="Times New Roman"/>
          <w:sz w:val="28"/>
          <w:szCs w:val="28"/>
        </w:rPr>
        <w:t>With respect, this is a separate issue</w:t>
      </w:r>
      <w:r w:rsidR="00880848">
        <w:rPr>
          <w:rFonts w:ascii="Times New Roman" w:hAnsi="Times New Roman" w:cs="Times New Roman"/>
          <w:sz w:val="28"/>
          <w:szCs w:val="28"/>
        </w:rPr>
        <w:t>.  Issues relating to any conflict between Treaty</w:t>
      </w:r>
      <w:r w:rsidR="00402E56">
        <w:rPr>
          <w:rFonts w:ascii="Times New Roman" w:hAnsi="Times New Roman" w:cs="Times New Roman"/>
          <w:sz w:val="28"/>
          <w:szCs w:val="28"/>
        </w:rPr>
        <w:t xml:space="preserve"> No.</w:t>
      </w:r>
      <w:r w:rsidR="00880848">
        <w:rPr>
          <w:rFonts w:ascii="Times New Roman" w:hAnsi="Times New Roman" w:cs="Times New Roman"/>
          <w:sz w:val="28"/>
          <w:szCs w:val="28"/>
        </w:rPr>
        <w:t xml:space="preserve">8 entitlements, and the terms of any future settlement in the Akaitcho Region, including </w:t>
      </w:r>
      <w:r w:rsidR="00DA1C89">
        <w:rPr>
          <w:rFonts w:ascii="Times New Roman" w:hAnsi="Times New Roman" w:cs="Times New Roman"/>
          <w:sz w:val="28"/>
          <w:szCs w:val="28"/>
        </w:rPr>
        <w:t xml:space="preserve">the risk of overcompensation, can be addressed at the appropriate time </w:t>
      </w:r>
      <w:r w:rsidR="00BA13B7">
        <w:rPr>
          <w:rFonts w:ascii="Times New Roman" w:hAnsi="Times New Roman" w:cs="Times New Roman"/>
          <w:sz w:val="28"/>
          <w:szCs w:val="28"/>
        </w:rPr>
        <w:t xml:space="preserve">when agreements are reached.  </w:t>
      </w:r>
      <w:r w:rsidR="001A3D36">
        <w:rPr>
          <w:rFonts w:ascii="Times New Roman" w:hAnsi="Times New Roman" w:cs="Times New Roman"/>
          <w:sz w:val="28"/>
          <w:szCs w:val="28"/>
        </w:rPr>
        <w:t xml:space="preserve">The risk of overcompensation is speculation at this time. </w:t>
      </w:r>
    </w:p>
    <w:p w14:paraId="2F2AB175" w14:textId="0DBF352E" w:rsidR="00546254" w:rsidRDefault="0023092B" w:rsidP="003D7142">
      <w:pPr>
        <w:pStyle w:val="ListParagraph"/>
        <w:numPr>
          <w:ilvl w:val="0"/>
          <w:numId w:val="9"/>
        </w:numPr>
        <w:spacing w:after="0" w:line="240" w:lineRule="auto"/>
        <w:ind w:left="0" w:firstLine="0"/>
        <w:contextualSpacing w:val="0"/>
        <w:jc w:val="both"/>
        <w:rPr>
          <w:rFonts w:ascii="Times New Roman" w:hAnsi="Times New Roman" w:cs="Times New Roman"/>
          <w:sz w:val="28"/>
          <w:szCs w:val="28"/>
        </w:rPr>
      </w:pPr>
      <w:r>
        <w:rPr>
          <w:rFonts w:ascii="Times New Roman" w:hAnsi="Times New Roman" w:cs="Times New Roman"/>
          <w:sz w:val="28"/>
          <w:szCs w:val="28"/>
        </w:rPr>
        <w:t>I also find that the</w:t>
      </w:r>
      <w:r w:rsidR="00546254" w:rsidRPr="00546254">
        <w:rPr>
          <w:rFonts w:ascii="Times New Roman" w:hAnsi="Times New Roman" w:cs="Times New Roman"/>
          <w:sz w:val="28"/>
          <w:szCs w:val="28"/>
        </w:rPr>
        <w:t xml:space="preserve"> Consultation Draft is not relevant to the immediate issue before the Court.  It may well be that a final agreement will speak to the issue of land selection, and those who may be affected by the final agreement’s terms might wish to seek clarification as to the relationship between Treaty</w:t>
      </w:r>
      <w:r w:rsidR="00402E56">
        <w:rPr>
          <w:rFonts w:ascii="Times New Roman" w:hAnsi="Times New Roman" w:cs="Times New Roman"/>
          <w:sz w:val="28"/>
          <w:szCs w:val="28"/>
        </w:rPr>
        <w:t xml:space="preserve"> No.</w:t>
      </w:r>
      <w:r w:rsidR="00546254" w:rsidRPr="00546254">
        <w:rPr>
          <w:rFonts w:ascii="Times New Roman" w:hAnsi="Times New Roman" w:cs="Times New Roman"/>
          <w:sz w:val="28"/>
          <w:szCs w:val="28"/>
        </w:rPr>
        <w:t>8 rights and a final agreement, however, at this stage, that is all speculation.  It is difficult to see how the information sought is relevant to the issue before the cour</w:t>
      </w:r>
      <w:r>
        <w:rPr>
          <w:rFonts w:ascii="Times New Roman" w:hAnsi="Times New Roman" w:cs="Times New Roman"/>
          <w:sz w:val="28"/>
          <w:szCs w:val="28"/>
        </w:rPr>
        <w:t>t which is the specific issue raised by the Commissioner in its Conflict of Interest Application</w:t>
      </w:r>
      <w:r w:rsidR="00546254" w:rsidRPr="00546254">
        <w:rPr>
          <w:rFonts w:ascii="Times New Roman" w:hAnsi="Times New Roman" w:cs="Times New Roman"/>
          <w:sz w:val="28"/>
          <w:szCs w:val="28"/>
        </w:rPr>
        <w:t xml:space="preserve">. </w:t>
      </w:r>
    </w:p>
    <w:p w14:paraId="54500898" w14:textId="77777777" w:rsidR="00800F2C" w:rsidRDefault="00800F2C" w:rsidP="00800F2C">
      <w:pPr>
        <w:pStyle w:val="ListParagraph"/>
        <w:spacing w:after="0" w:line="240" w:lineRule="auto"/>
        <w:ind w:left="0"/>
        <w:contextualSpacing w:val="0"/>
        <w:jc w:val="both"/>
        <w:rPr>
          <w:rFonts w:ascii="Times New Roman" w:hAnsi="Times New Roman" w:cs="Times New Roman"/>
          <w:sz w:val="28"/>
          <w:szCs w:val="28"/>
        </w:rPr>
      </w:pPr>
    </w:p>
    <w:p w14:paraId="57E1D775" w14:textId="44643B9E" w:rsidR="00800F2C" w:rsidRPr="00800F2C" w:rsidRDefault="00800F2C" w:rsidP="00800F2C">
      <w:pPr>
        <w:pStyle w:val="ListParagraph"/>
        <w:spacing w:after="0" w:line="240" w:lineRule="auto"/>
        <w:ind w:left="0"/>
        <w:contextualSpacing w:val="0"/>
        <w:jc w:val="both"/>
        <w:rPr>
          <w:rFonts w:ascii="Times New Roman" w:hAnsi="Times New Roman" w:cs="Times New Roman"/>
          <w:b/>
          <w:bCs/>
          <w:sz w:val="28"/>
          <w:szCs w:val="28"/>
        </w:rPr>
      </w:pPr>
      <w:r w:rsidRPr="00800F2C">
        <w:rPr>
          <w:rFonts w:ascii="Times New Roman" w:hAnsi="Times New Roman" w:cs="Times New Roman"/>
          <w:b/>
          <w:bCs/>
          <w:sz w:val="28"/>
          <w:szCs w:val="28"/>
        </w:rPr>
        <w:t>CONCLUSION</w:t>
      </w:r>
    </w:p>
    <w:p w14:paraId="1EDB0303" w14:textId="77777777" w:rsidR="003014CB" w:rsidRPr="00546254" w:rsidRDefault="003014CB" w:rsidP="0046683C">
      <w:pPr>
        <w:pStyle w:val="ListParagraph"/>
        <w:spacing w:line="240" w:lineRule="auto"/>
        <w:ind w:left="357"/>
        <w:rPr>
          <w:rFonts w:ascii="Times New Roman" w:hAnsi="Times New Roman" w:cs="Times New Roman"/>
          <w:sz w:val="28"/>
          <w:szCs w:val="28"/>
        </w:rPr>
      </w:pPr>
    </w:p>
    <w:p w14:paraId="1DA16783" w14:textId="18802183" w:rsidR="00917703" w:rsidRDefault="00F66AAF" w:rsidP="00BE5519">
      <w:pPr>
        <w:pStyle w:val="ListParagraph"/>
        <w:numPr>
          <w:ilvl w:val="0"/>
          <w:numId w:val="9"/>
        </w:numPr>
        <w:spacing w:after="240" w:line="240" w:lineRule="auto"/>
        <w:ind w:left="0" w:firstLine="0"/>
        <w:contextualSpacing w:val="0"/>
        <w:jc w:val="both"/>
        <w:rPr>
          <w:rFonts w:ascii="Times New Roman" w:hAnsi="Times New Roman" w:cs="Times New Roman"/>
          <w:sz w:val="28"/>
          <w:szCs w:val="28"/>
        </w:rPr>
      </w:pPr>
      <w:r>
        <w:rPr>
          <w:rFonts w:ascii="Times New Roman" w:hAnsi="Times New Roman" w:cs="Times New Roman"/>
          <w:sz w:val="28"/>
          <w:szCs w:val="28"/>
        </w:rPr>
        <w:t xml:space="preserve">I direct that the Defendants re-file their </w:t>
      </w:r>
      <w:r w:rsidR="00BE1B60">
        <w:rPr>
          <w:rFonts w:ascii="Times New Roman" w:hAnsi="Times New Roman" w:cs="Times New Roman"/>
          <w:sz w:val="28"/>
          <w:szCs w:val="28"/>
        </w:rPr>
        <w:t xml:space="preserve">Response </w:t>
      </w:r>
      <w:r w:rsidR="00043034">
        <w:rPr>
          <w:rFonts w:ascii="Times New Roman" w:hAnsi="Times New Roman" w:cs="Times New Roman"/>
          <w:sz w:val="28"/>
          <w:szCs w:val="28"/>
        </w:rPr>
        <w:t>to Conflict</w:t>
      </w:r>
      <w:r w:rsidR="003440D5">
        <w:rPr>
          <w:rFonts w:ascii="Times New Roman" w:hAnsi="Times New Roman" w:cs="Times New Roman"/>
          <w:sz w:val="28"/>
          <w:szCs w:val="28"/>
        </w:rPr>
        <w:t xml:space="preserve"> of Interest</w:t>
      </w:r>
      <w:r w:rsidR="00043034">
        <w:rPr>
          <w:rFonts w:ascii="Times New Roman" w:hAnsi="Times New Roman" w:cs="Times New Roman"/>
          <w:sz w:val="28"/>
          <w:szCs w:val="28"/>
        </w:rPr>
        <w:t xml:space="preserve"> </w:t>
      </w:r>
      <w:r w:rsidR="005916DE">
        <w:rPr>
          <w:rFonts w:ascii="Times New Roman" w:hAnsi="Times New Roman" w:cs="Times New Roman"/>
          <w:sz w:val="28"/>
          <w:szCs w:val="28"/>
        </w:rPr>
        <w:t>Application</w:t>
      </w:r>
      <w:r w:rsidR="00043034">
        <w:rPr>
          <w:rFonts w:ascii="Times New Roman" w:hAnsi="Times New Roman" w:cs="Times New Roman"/>
          <w:sz w:val="28"/>
          <w:szCs w:val="28"/>
        </w:rPr>
        <w:t xml:space="preserve"> </w:t>
      </w:r>
      <w:r w:rsidR="00BE1B60">
        <w:rPr>
          <w:rFonts w:ascii="Times New Roman" w:hAnsi="Times New Roman" w:cs="Times New Roman"/>
          <w:sz w:val="28"/>
          <w:szCs w:val="28"/>
        </w:rPr>
        <w:t xml:space="preserve">without reference to the Draft </w:t>
      </w:r>
      <w:r w:rsidR="000130A1">
        <w:rPr>
          <w:rFonts w:ascii="Times New Roman" w:hAnsi="Times New Roman" w:cs="Times New Roman"/>
          <w:sz w:val="28"/>
          <w:szCs w:val="28"/>
        </w:rPr>
        <w:t xml:space="preserve">AIP </w:t>
      </w:r>
      <w:r w:rsidR="00043034">
        <w:rPr>
          <w:rFonts w:ascii="Times New Roman" w:hAnsi="Times New Roman" w:cs="Times New Roman"/>
          <w:sz w:val="28"/>
          <w:szCs w:val="28"/>
        </w:rPr>
        <w:t xml:space="preserve">or Consultation Draft. </w:t>
      </w:r>
      <w:r w:rsidR="00A43B7E">
        <w:rPr>
          <w:rFonts w:ascii="Times New Roman" w:hAnsi="Times New Roman" w:cs="Times New Roman"/>
          <w:sz w:val="28"/>
          <w:szCs w:val="28"/>
        </w:rPr>
        <w:t xml:space="preserve"> I further deny the application by the Defendants for production of the Consultation Draft. </w:t>
      </w:r>
    </w:p>
    <w:p w14:paraId="254166FD" w14:textId="529EE279" w:rsidR="00784254" w:rsidRPr="00784254" w:rsidRDefault="00C10CE8" w:rsidP="00BE5519">
      <w:pPr>
        <w:pStyle w:val="ListParagraph"/>
        <w:numPr>
          <w:ilvl w:val="0"/>
          <w:numId w:val="9"/>
        </w:numPr>
        <w:spacing w:after="240" w:line="240" w:lineRule="auto"/>
        <w:ind w:left="0" w:firstLine="0"/>
        <w:contextualSpacing w:val="0"/>
        <w:jc w:val="both"/>
        <w:rPr>
          <w:rFonts w:ascii="Times New Roman" w:hAnsi="Times New Roman" w:cs="Times New Roman"/>
          <w:sz w:val="28"/>
          <w:szCs w:val="28"/>
        </w:rPr>
      </w:pPr>
      <w:r>
        <w:rPr>
          <w:rFonts w:ascii="Times New Roman" w:hAnsi="Times New Roman" w:cs="Times New Roman"/>
          <w:sz w:val="28"/>
          <w:szCs w:val="28"/>
        </w:rPr>
        <w:t xml:space="preserve">Canada is entitled to its costs </w:t>
      </w:r>
      <w:r w:rsidR="00297423">
        <w:rPr>
          <w:rFonts w:ascii="Times New Roman" w:hAnsi="Times New Roman" w:cs="Times New Roman"/>
          <w:sz w:val="28"/>
          <w:szCs w:val="28"/>
        </w:rPr>
        <w:t xml:space="preserve">of </w:t>
      </w:r>
      <w:r w:rsidR="00B169FC">
        <w:rPr>
          <w:rFonts w:ascii="Times New Roman" w:hAnsi="Times New Roman" w:cs="Times New Roman"/>
          <w:sz w:val="28"/>
          <w:szCs w:val="28"/>
        </w:rPr>
        <w:t xml:space="preserve">the motion to strike.  </w:t>
      </w:r>
      <w:r w:rsidR="00F8346A">
        <w:rPr>
          <w:rFonts w:ascii="Times New Roman" w:hAnsi="Times New Roman" w:cs="Times New Roman"/>
          <w:sz w:val="28"/>
          <w:szCs w:val="28"/>
        </w:rPr>
        <w:t xml:space="preserve">Canada did not seek costs in relation to the motion for production, therefore, no costs are ordered for Canada in relation to that motion.  </w:t>
      </w:r>
      <w:r w:rsidR="009E3269">
        <w:rPr>
          <w:rFonts w:ascii="Times New Roman" w:hAnsi="Times New Roman" w:cs="Times New Roman"/>
          <w:sz w:val="28"/>
          <w:szCs w:val="28"/>
        </w:rPr>
        <w:t>The Commissioner is entitled to</w:t>
      </w:r>
      <w:r w:rsidR="00C30142">
        <w:rPr>
          <w:rFonts w:ascii="Times New Roman" w:hAnsi="Times New Roman" w:cs="Times New Roman"/>
          <w:sz w:val="28"/>
          <w:szCs w:val="28"/>
        </w:rPr>
        <w:t xml:space="preserve"> its</w:t>
      </w:r>
      <w:r w:rsidR="009E3269">
        <w:rPr>
          <w:rFonts w:ascii="Times New Roman" w:hAnsi="Times New Roman" w:cs="Times New Roman"/>
          <w:sz w:val="28"/>
          <w:szCs w:val="28"/>
        </w:rPr>
        <w:t xml:space="preserve"> </w:t>
      </w:r>
      <w:r w:rsidR="00375011">
        <w:rPr>
          <w:rFonts w:ascii="Times New Roman" w:hAnsi="Times New Roman" w:cs="Times New Roman"/>
          <w:sz w:val="28"/>
          <w:szCs w:val="28"/>
        </w:rPr>
        <w:t xml:space="preserve">costs in relation to the </w:t>
      </w:r>
      <w:r w:rsidR="00C30142">
        <w:rPr>
          <w:rFonts w:ascii="Times New Roman" w:hAnsi="Times New Roman" w:cs="Times New Roman"/>
          <w:sz w:val="28"/>
          <w:szCs w:val="28"/>
        </w:rPr>
        <w:t>motion for production</w:t>
      </w:r>
      <w:r w:rsidR="0015334A">
        <w:rPr>
          <w:rFonts w:ascii="Times New Roman" w:hAnsi="Times New Roman" w:cs="Times New Roman"/>
          <w:sz w:val="28"/>
          <w:szCs w:val="28"/>
        </w:rPr>
        <w:t xml:space="preserve"> but, as the Commissioner</w:t>
      </w:r>
      <w:r w:rsidR="001007EE">
        <w:rPr>
          <w:rFonts w:ascii="Times New Roman" w:hAnsi="Times New Roman" w:cs="Times New Roman"/>
          <w:sz w:val="28"/>
          <w:szCs w:val="28"/>
        </w:rPr>
        <w:t xml:space="preserve"> </w:t>
      </w:r>
      <w:r w:rsidR="0015334A">
        <w:rPr>
          <w:rFonts w:ascii="Times New Roman" w:hAnsi="Times New Roman" w:cs="Times New Roman"/>
          <w:sz w:val="28"/>
          <w:szCs w:val="28"/>
        </w:rPr>
        <w:t xml:space="preserve">did not seek costs in relation to the motion to strike, no costs are ordered for the Commissioner in relation to that motion.  </w:t>
      </w:r>
      <w:r w:rsidR="00C30142">
        <w:rPr>
          <w:rFonts w:ascii="Times New Roman" w:hAnsi="Times New Roman" w:cs="Times New Roman"/>
          <w:sz w:val="28"/>
          <w:szCs w:val="28"/>
        </w:rPr>
        <w:t xml:space="preserve"> </w:t>
      </w:r>
    </w:p>
    <w:p w14:paraId="508B17B0" w14:textId="77777777" w:rsidR="000E54C3" w:rsidRDefault="000E54C3" w:rsidP="000E54C3">
      <w:pPr>
        <w:pStyle w:val="ListParagraph"/>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Dated in Yellowknife, NT this </w:t>
      </w:r>
    </w:p>
    <w:p w14:paraId="0318A51D" w14:textId="77777777" w:rsidR="000E54C3" w:rsidRDefault="000E54C3" w:rsidP="000E54C3">
      <w:pPr>
        <w:pStyle w:val="ListParagraph"/>
        <w:ind w:left="0"/>
        <w:rPr>
          <w:rFonts w:ascii="Times New Roman" w:hAnsi="Times New Roman" w:cs="Times New Roman"/>
          <w:sz w:val="28"/>
          <w:szCs w:val="28"/>
        </w:rPr>
      </w:pPr>
      <w:r>
        <w:rPr>
          <w:rFonts w:ascii="Times New Roman" w:hAnsi="Times New Roman" w:cs="Times New Roman"/>
          <w:sz w:val="28"/>
          <w:szCs w:val="28"/>
        </w:rPr>
        <w:t>7</w:t>
      </w:r>
      <w:r w:rsidRPr="00B61ADA">
        <w:rPr>
          <w:rFonts w:ascii="Times New Roman" w:hAnsi="Times New Roman" w:cs="Times New Roman"/>
          <w:sz w:val="28"/>
          <w:szCs w:val="28"/>
          <w:vertAlign w:val="superscript"/>
        </w:rPr>
        <w:t>th</w:t>
      </w:r>
      <w:r>
        <w:rPr>
          <w:rFonts w:ascii="Times New Roman" w:hAnsi="Times New Roman" w:cs="Times New Roman"/>
          <w:sz w:val="28"/>
          <w:szCs w:val="28"/>
        </w:rPr>
        <w:t xml:space="preserve"> day of November, 2025</w:t>
      </w:r>
    </w:p>
    <w:p w14:paraId="63830BC5" w14:textId="77777777" w:rsidR="000E54C3" w:rsidRDefault="000E54C3" w:rsidP="000E54C3">
      <w:pPr>
        <w:pStyle w:val="ListParagraph"/>
        <w:ind w:left="0"/>
        <w:rPr>
          <w:rFonts w:ascii="Times New Roman" w:hAnsi="Times New Roman" w:cs="Times New Roman"/>
          <w:sz w:val="28"/>
          <w:szCs w:val="28"/>
        </w:rPr>
      </w:pPr>
    </w:p>
    <w:p w14:paraId="5918C0AA" w14:textId="77777777" w:rsidR="00E16C9E" w:rsidRDefault="00E16C9E" w:rsidP="00C6457B">
      <w:pPr>
        <w:pStyle w:val="ListParagraph"/>
        <w:spacing w:after="240" w:line="240" w:lineRule="auto"/>
        <w:ind w:left="0"/>
        <w:contextualSpacing w:val="0"/>
        <w:jc w:val="both"/>
        <w:rPr>
          <w:rFonts w:ascii="Times New Roman" w:hAnsi="Times New Roman" w:cs="Times New Roman"/>
          <w:sz w:val="28"/>
          <w:szCs w:val="28"/>
        </w:rPr>
      </w:pPr>
    </w:p>
    <w:p w14:paraId="25A421E9" w14:textId="77777777" w:rsidR="00B22232" w:rsidRPr="00B22232" w:rsidRDefault="00B22232" w:rsidP="00B22232">
      <w:pPr>
        <w:pStyle w:val="ListParagraph"/>
        <w:ind w:left="0"/>
        <w:rPr>
          <w:rFonts w:ascii="Times New Roman" w:hAnsi="Times New Roman" w:cs="Times New Roman"/>
          <w:sz w:val="28"/>
          <w:szCs w:val="28"/>
        </w:rPr>
      </w:pPr>
    </w:p>
    <w:p w14:paraId="24B5AD8E" w14:textId="458D5DB3" w:rsidR="00B22232" w:rsidRPr="00B22232" w:rsidRDefault="00B22232" w:rsidP="00B22232">
      <w:pPr>
        <w:pStyle w:val="ListParagraph"/>
        <w:ind w:left="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00B61ADA">
        <w:rPr>
          <w:rFonts w:ascii="Times New Roman" w:hAnsi="Times New Roman" w:cs="Times New Roman"/>
          <w:sz w:val="28"/>
          <w:szCs w:val="28"/>
        </w:rPr>
        <w:t>S.M.MacPherson</w:t>
      </w:r>
    </w:p>
    <w:p w14:paraId="68CFE61E" w14:textId="5A338EAA" w:rsidR="00B22232" w:rsidRPr="00B22232" w:rsidRDefault="00B22232" w:rsidP="00B22232">
      <w:pPr>
        <w:pStyle w:val="ListParagraph"/>
        <w:ind w:left="0"/>
        <w:rPr>
          <w:rFonts w:ascii="Times New Roman" w:hAnsi="Times New Roman" w:cs="Times New Roman"/>
          <w:sz w:val="28"/>
          <w:szCs w:val="28"/>
        </w:rPr>
      </w:pP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Pr>
          <w:rFonts w:ascii="Times New Roman" w:hAnsi="Times New Roman" w:cs="Times New Roman"/>
          <w:sz w:val="28"/>
          <w:szCs w:val="28"/>
        </w:rPr>
        <w:tab/>
      </w:r>
      <w:r w:rsidRPr="00B22232">
        <w:rPr>
          <w:rFonts w:ascii="Times New Roman" w:hAnsi="Times New Roman" w:cs="Times New Roman"/>
          <w:sz w:val="28"/>
          <w:szCs w:val="28"/>
        </w:rPr>
        <w:t>J.S.C.</w:t>
      </w:r>
    </w:p>
    <w:p w14:paraId="4D35DFAD" w14:textId="77777777" w:rsidR="002339BB" w:rsidRDefault="002339BB" w:rsidP="00B11A8F">
      <w:pPr>
        <w:pStyle w:val="ListParagraph"/>
        <w:ind w:left="0"/>
        <w:rPr>
          <w:rFonts w:ascii="Times New Roman" w:hAnsi="Times New Roman" w:cs="Times New Roman"/>
          <w:sz w:val="28"/>
          <w:szCs w:val="28"/>
        </w:rPr>
      </w:pPr>
    </w:p>
    <w:p w14:paraId="25D2E58A" w14:textId="77777777" w:rsidR="003D7142" w:rsidRDefault="003D7142" w:rsidP="00B11A8F">
      <w:pPr>
        <w:pStyle w:val="ListParagraph"/>
        <w:ind w:left="0"/>
        <w:rPr>
          <w:rFonts w:ascii="Times New Roman" w:hAnsi="Times New Roman" w:cs="Times New Roman"/>
          <w:sz w:val="28"/>
          <w:szCs w:val="28"/>
        </w:rPr>
      </w:pPr>
    </w:p>
    <w:p w14:paraId="2F986B12" w14:textId="77777777" w:rsidR="003D7142" w:rsidRDefault="003D7142" w:rsidP="00B11A8F">
      <w:pPr>
        <w:pStyle w:val="ListParagraph"/>
        <w:ind w:left="0"/>
        <w:rPr>
          <w:rFonts w:ascii="Times New Roman" w:hAnsi="Times New Roman" w:cs="Times New Roman"/>
          <w:sz w:val="28"/>
          <w:szCs w:val="28"/>
        </w:rPr>
      </w:pPr>
    </w:p>
    <w:p w14:paraId="798D55E6" w14:textId="77777777" w:rsidR="003D7142" w:rsidRDefault="003D7142" w:rsidP="00B11A8F">
      <w:pPr>
        <w:pStyle w:val="ListParagraph"/>
        <w:ind w:left="0"/>
        <w:rPr>
          <w:rFonts w:ascii="Times New Roman" w:hAnsi="Times New Roman" w:cs="Times New Roman"/>
          <w:sz w:val="28"/>
          <w:szCs w:val="28"/>
        </w:rPr>
      </w:pPr>
    </w:p>
    <w:p w14:paraId="37D3D2C8" w14:textId="77777777" w:rsidR="003D7142" w:rsidRDefault="003D7142" w:rsidP="00B11A8F">
      <w:pPr>
        <w:pStyle w:val="ListParagraph"/>
        <w:ind w:left="0"/>
        <w:rPr>
          <w:rFonts w:ascii="Times New Roman" w:hAnsi="Times New Roman" w:cs="Times New Roman"/>
          <w:sz w:val="28"/>
          <w:szCs w:val="28"/>
        </w:rPr>
      </w:pPr>
    </w:p>
    <w:p w14:paraId="41D71FE0" w14:textId="0C7B034B" w:rsidR="00215148" w:rsidRDefault="002339BB" w:rsidP="00215148">
      <w:pPr>
        <w:pStyle w:val="ListParagraph"/>
        <w:ind w:left="0" w:firstLine="720"/>
        <w:rPr>
          <w:rFonts w:ascii="Times New Roman" w:hAnsi="Times New Roman" w:cs="Times New Roman"/>
          <w:sz w:val="28"/>
          <w:szCs w:val="28"/>
        </w:rPr>
      </w:pPr>
      <w:r>
        <w:rPr>
          <w:rFonts w:ascii="Times New Roman" w:hAnsi="Times New Roman" w:cs="Times New Roman"/>
          <w:sz w:val="28"/>
          <w:szCs w:val="28"/>
        </w:rPr>
        <w:lastRenderedPageBreak/>
        <w:t xml:space="preserve">Counsel for the </w:t>
      </w:r>
      <w:r w:rsidR="002F20F8">
        <w:rPr>
          <w:rFonts w:ascii="Times New Roman" w:hAnsi="Times New Roman" w:cs="Times New Roman"/>
          <w:sz w:val="28"/>
          <w:szCs w:val="28"/>
        </w:rPr>
        <w:t>Plaintiff</w:t>
      </w:r>
      <w:r w:rsidR="002B3D92">
        <w:rPr>
          <w:rFonts w:ascii="Times New Roman" w:hAnsi="Times New Roman" w:cs="Times New Roman"/>
          <w:sz w:val="28"/>
          <w:szCs w:val="28"/>
        </w:rPr>
        <w:t>/</w:t>
      </w:r>
      <w:r w:rsidR="00DA1866">
        <w:rPr>
          <w:rFonts w:ascii="Times New Roman" w:hAnsi="Times New Roman" w:cs="Times New Roman"/>
          <w:sz w:val="28"/>
          <w:szCs w:val="28"/>
        </w:rPr>
        <w:t>:</w:t>
      </w:r>
      <w:r w:rsidR="00040541">
        <w:rPr>
          <w:rFonts w:ascii="Times New Roman" w:hAnsi="Times New Roman" w:cs="Times New Roman"/>
          <w:sz w:val="28"/>
          <w:szCs w:val="28"/>
        </w:rPr>
        <w:tab/>
      </w:r>
      <w:r w:rsidR="00040541">
        <w:rPr>
          <w:rFonts w:ascii="Times New Roman" w:hAnsi="Times New Roman" w:cs="Times New Roman"/>
          <w:sz w:val="28"/>
          <w:szCs w:val="28"/>
        </w:rPr>
        <w:tab/>
      </w:r>
      <w:r w:rsidR="00C94D14">
        <w:rPr>
          <w:rFonts w:ascii="Times New Roman" w:hAnsi="Times New Roman" w:cs="Times New Roman"/>
          <w:sz w:val="28"/>
          <w:szCs w:val="28"/>
        </w:rPr>
        <w:tab/>
      </w:r>
      <w:r w:rsidR="00040541">
        <w:rPr>
          <w:rFonts w:ascii="Times New Roman" w:hAnsi="Times New Roman" w:cs="Times New Roman"/>
          <w:sz w:val="28"/>
          <w:szCs w:val="28"/>
        </w:rPr>
        <w:t>Laura Cooper</w:t>
      </w:r>
    </w:p>
    <w:p w14:paraId="5F145EC5" w14:textId="6639FC68" w:rsidR="00215148" w:rsidRPr="00904AB9" w:rsidRDefault="00A5058E" w:rsidP="00904AB9">
      <w:pPr>
        <w:pStyle w:val="ListParagraph"/>
        <w:ind w:left="0"/>
        <w:rPr>
          <w:rFonts w:ascii="Times New Roman" w:hAnsi="Times New Roman" w:cs="Times New Roman"/>
          <w:sz w:val="28"/>
          <w:szCs w:val="28"/>
        </w:rPr>
      </w:pPr>
      <w:r>
        <w:rPr>
          <w:rFonts w:ascii="Times New Roman" w:hAnsi="Times New Roman" w:cs="Times New Roman"/>
          <w:sz w:val="28"/>
          <w:szCs w:val="28"/>
        </w:rPr>
        <w:t>Defendant by Counterclaim</w:t>
      </w:r>
      <w:r w:rsidR="00215148">
        <w:rPr>
          <w:rFonts w:ascii="Times New Roman" w:hAnsi="Times New Roman" w:cs="Times New Roman"/>
          <w:sz w:val="28"/>
          <w:szCs w:val="28"/>
        </w:rPr>
        <w:tab/>
      </w:r>
      <w:r w:rsidR="00215148" w:rsidRPr="00215148">
        <w:rPr>
          <w:rFonts w:ascii="Times New Roman" w:hAnsi="Times New Roman" w:cs="Times New Roman"/>
          <w:sz w:val="28"/>
          <w:szCs w:val="28"/>
        </w:rPr>
        <w:tab/>
      </w:r>
      <w:r w:rsidR="00C94D14">
        <w:rPr>
          <w:rFonts w:ascii="Times New Roman" w:hAnsi="Times New Roman" w:cs="Times New Roman"/>
          <w:sz w:val="28"/>
          <w:szCs w:val="28"/>
        </w:rPr>
        <w:tab/>
      </w:r>
      <w:r w:rsidR="00040541">
        <w:rPr>
          <w:rFonts w:ascii="Times New Roman" w:hAnsi="Times New Roman" w:cs="Times New Roman"/>
          <w:sz w:val="28"/>
          <w:szCs w:val="28"/>
        </w:rPr>
        <w:t>Kevin O</w:t>
      </w:r>
      <w:r w:rsidR="00904AB9">
        <w:rPr>
          <w:rFonts w:ascii="Times New Roman" w:hAnsi="Times New Roman" w:cs="Times New Roman"/>
          <w:sz w:val="28"/>
          <w:szCs w:val="28"/>
        </w:rPr>
        <w:t>’Callaghan</w:t>
      </w:r>
    </w:p>
    <w:p w14:paraId="2B849451" w14:textId="59950968" w:rsidR="00215148" w:rsidRPr="00215148" w:rsidRDefault="00215148" w:rsidP="00215148">
      <w:pPr>
        <w:pStyle w:val="ListParagraph"/>
        <w:rPr>
          <w:rFonts w:ascii="Times New Roman" w:hAnsi="Times New Roman" w:cs="Times New Roman"/>
          <w:sz w:val="28"/>
          <w:szCs w:val="28"/>
        </w:rPr>
      </w:pPr>
      <w:r w:rsidRPr="00215148">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04AB9">
        <w:rPr>
          <w:rFonts w:ascii="Times New Roman" w:hAnsi="Times New Roman" w:cs="Times New Roman"/>
          <w:sz w:val="28"/>
          <w:szCs w:val="28"/>
        </w:rPr>
        <w:tab/>
      </w:r>
      <w:r w:rsidR="00C94D14">
        <w:rPr>
          <w:rFonts w:ascii="Times New Roman" w:hAnsi="Times New Roman" w:cs="Times New Roman"/>
          <w:sz w:val="28"/>
          <w:szCs w:val="28"/>
        </w:rPr>
        <w:tab/>
      </w:r>
      <w:r w:rsidRPr="00215148">
        <w:rPr>
          <w:rFonts w:ascii="Times New Roman" w:hAnsi="Times New Roman" w:cs="Times New Roman"/>
          <w:sz w:val="28"/>
          <w:szCs w:val="28"/>
        </w:rPr>
        <w:t>Vera Toppings</w:t>
      </w:r>
    </w:p>
    <w:p w14:paraId="183ABEB8" w14:textId="4596BCA3" w:rsidR="00215148" w:rsidRPr="00215148" w:rsidRDefault="00215148" w:rsidP="00215148">
      <w:pPr>
        <w:pStyle w:val="ListParagraph"/>
        <w:rPr>
          <w:rFonts w:ascii="Times New Roman" w:hAnsi="Times New Roman" w:cs="Times New Roman"/>
          <w:sz w:val="28"/>
          <w:szCs w:val="28"/>
        </w:rPr>
      </w:pPr>
      <w:r w:rsidRPr="00215148">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04AB9">
        <w:rPr>
          <w:rFonts w:ascii="Times New Roman" w:hAnsi="Times New Roman" w:cs="Times New Roman"/>
          <w:sz w:val="28"/>
          <w:szCs w:val="28"/>
        </w:rPr>
        <w:tab/>
      </w:r>
      <w:r w:rsidR="00C94D14">
        <w:rPr>
          <w:rFonts w:ascii="Times New Roman" w:hAnsi="Times New Roman" w:cs="Times New Roman"/>
          <w:sz w:val="28"/>
          <w:szCs w:val="28"/>
        </w:rPr>
        <w:tab/>
      </w:r>
      <w:r w:rsidRPr="00215148">
        <w:rPr>
          <w:rFonts w:ascii="Times New Roman" w:hAnsi="Times New Roman" w:cs="Times New Roman"/>
          <w:sz w:val="28"/>
          <w:szCs w:val="28"/>
        </w:rPr>
        <w:t>Pavel Sergeyev</w:t>
      </w:r>
    </w:p>
    <w:p w14:paraId="20B363C6" w14:textId="42CF9B99" w:rsidR="00215148" w:rsidRPr="00215148" w:rsidRDefault="00215148" w:rsidP="00215148">
      <w:pPr>
        <w:pStyle w:val="ListParagraph"/>
        <w:rPr>
          <w:rFonts w:ascii="Times New Roman" w:hAnsi="Times New Roman" w:cs="Times New Roman"/>
          <w:sz w:val="28"/>
          <w:szCs w:val="28"/>
        </w:rPr>
      </w:pPr>
      <w:r w:rsidRPr="00215148">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04AB9">
        <w:rPr>
          <w:rFonts w:ascii="Times New Roman" w:hAnsi="Times New Roman" w:cs="Times New Roman"/>
          <w:sz w:val="28"/>
          <w:szCs w:val="28"/>
        </w:rPr>
        <w:tab/>
      </w:r>
      <w:r w:rsidR="00C94D14">
        <w:rPr>
          <w:rFonts w:ascii="Times New Roman" w:hAnsi="Times New Roman" w:cs="Times New Roman"/>
          <w:sz w:val="28"/>
          <w:szCs w:val="28"/>
        </w:rPr>
        <w:tab/>
      </w:r>
      <w:r w:rsidRPr="00215148">
        <w:rPr>
          <w:rFonts w:ascii="Times New Roman" w:hAnsi="Times New Roman" w:cs="Times New Roman"/>
          <w:sz w:val="28"/>
          <w:szCs w:val="28"/>
        </w:rPr>
        <w:t>Mark Ishack</w:t>
      </w:r>
    </w:p>
    <w:p w14:paraId="1D076EFC" w14:textId="31910304" w:rsidR="00215148" w:rsidRPr="00215148" w:rsidRDefault="00215148" w:rsidP="00215148">
      <w:pPr>
        <w:pStyle w:val="ListParagraph"/>
        <w:rPr>
          <w:rFonts w:ascii="Times New Roman" w:hAnsi="Times New Roman" w:cs="Times New Roman"/>
          <w:sz w:val="28"/>
          <w:szCs w:val="28"/>
        </w:rPr>
      </w:pPr>
      <w:r w:rsidRPr="00215148">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04AB9">
        <w:rPr>
          <w:rFonts w:ascii="Times New Roman" w:hAnsi="Times New Roman" w:cs="Times New Roman"/>
          <w:sz w:val="28"/>
          <w:szCs w:val="28"/>
        </w:rPr>
        <w:tab/>
      </w:r>
      <w:r w:rsidR="00C94D14">
        <w:rPr>
          <w:rFonts w:ascii="Times New Roman" w:hAnsi="Times New Roman" w:cs="Times New Roman"/>
          <w:sz w:val="28"/>
          <w:szCs w:val="28"/>
        </w:rPr>
        <w:tab/>
      </w:r>
      <w:r w:rsidRPr="00215148">
        <w:rPr>
          <w:rFonts w:ascii="Times New Roman" w:hAnsi="Times New Roman" w:cs="Times New Roman"/>
          <w:sz w:val="28"/>
          <w:szCs w:val="28"/>
        </w:rPr>
        <w:t>Maren Zimmer</w:t>
      </w:r>
    </w:p>
    <w:p w14:paraId="0EAC0924" w14:textId="77777777" w:rsidR="00E67475" w:rsidRDefault="00E67475" w:rsidP="00C94D14">
      <w:pPr>
        <w:pStyle w:val="ListParagraph"/>
        <w:ind w:left="0" w:firstLine="720"/>
        <w:rPr>
          <w:rFonts w:ascii="Times New Roman" w:hAnsi="Times New Roman" w:cs="Times New Roman"/>
          <w:sz w:val="28"/>
          <w:szCs w:val="28"/>
        </w:rPr>
      </w:pPr>
    </w:p>
    <w:p w14:paraId="78111BC7" w14:textId="77777777" w:rsidR="00E67475" w:rsidRPr="00E67475" w:rsidRDefault="00904AB9" w:rsidP="00485D66">
      <w:pPr>
        <w:pStyle w:val="ListParagraph"/>
        <w:spacing w:after="0" w:line="240" w:lineRule="auto"/>
        <w:ind w:left="0" w:firstLine="720"/>
        <w:rPr>
          <w:rFonts w:ascii="Times New Roman" w:hAnsi="Times New Roman" w:cs="Times New Roman"/>
          <w:sz w:val="28"/>
          <w:szCs w:val="28"/>
        </w:rPr>
      </w:pPr>
      <w:r>
        <w:rPr>
          <w:rFonts w:ascii="Times New Roman" w:hAnsi="Times New Roman" w:cs="Times New Roman"/>
          <w:sz w:val="28"/>
          <w:szCs w:val="28"/>
        </w:rPr>
        <w:t xml:space="preserve">Counsel for </w:t>
      </w:r>
      <w:r w:rsidR="00C94D14">
        <w:rPr>
          <w:rFonts w:ascii="Times New Roman" w:hAnsi="Times New Roman" w:cs="Times New Roman"/>
          <w:sz w:val="28"/>
          <w:szCs w:val="28"/>
        </w:rPr>
        <w:t>the Defendants/:</w:t>
      </w:r>
      <w:r w:rsidR="00E67475">
        <w:rPr>
          <w:rFonts w:ascii="Times New Roman" w:hAnsi="Times New Roman" w:cs="Times New Roman"/>
          <w:sz w:val="28"/>
          <w:szCs w:val="28"/>
        </w:rPr>
        <w:tab/>
      </w:r>
      <w:r w:rsidR="00E67475">
        <w:rPr>
          <w:rFonts w:ascii="Times New Roman" w:hAnsi="Times New Roman" w:cs="Times New Roman"/>
          <w:sz w:val="28"/>
          <w:szCs w:val="28"/>
        </w:rPr>
        <w:tab/>
      </w:r>
      <w:r w:rsidR="00E67475" w:rsidRPr="00E67475">
        <w:rPr>
          <w:rFonts w:ascii="Times New Roman" w:hAnsi="Times New Roman" w:cs="Times New Roman"/>
          <w:sz w:val="28"/>
          <w:szCs w:val="28"/>
        </w:rPr>
        <w:t xml:space="preserve">Jeffrey R.W. Rath </w:t>
      </w:r>
    </w:p>
    <w:p w14:paraId="60A40445" w14:textId="1F8EDA1D" w:rsidR="00B22232" w:rsidRPr="005F6C2C" w:rsidRDefault="005F6C2C" w:rsidP="00485D66">
      <w:pPr>
        <w:spacing w:after="0" w:line="240" w:lineRule="auto"/>
        <w:rPr>
          <w:rFonts w:ascii="Times New Roman" w:hAnsi="Times New Roman" w:cs="Times New Roman"/>
          <w:sz w:val="28"/>
          <w:szCs w:val="28"/>
        </w:rPr>
      </w:pPr>
      <w:r w:rsidRPr="005F6C2C">
        <w:rPr>
          <w:rFonts w:ascii="Times New Roman" w:hAnsi="Times New Roman" w:cs="Times New Roman"/>
          <w:sz w:val="28"/>
          <w:szCs w:val="28"/>
        </w:rPr>
        <w:t>Plaintiffs by Counterclaim</w:t>
      </w:r>
      <w:r w:rsidR="009C3AD2">
        <w:rPr>
          <w:rFonts w:ascii="Times New Roman" w:hAnsi="Times New Roman" w:cs="Times New Roman"/>
          <w:sz w:val="28"/>
          <w:szCs w:val="28"/>
        </w:rPr>
        <w:t xml:space="preserve">                              </w:t>
      </w:r>
      <w:r w:rsidR="00E67475" w:rsidRPr="005F6C2C">
        <w:rPr>
          <w:rFonts w:ascii="Times New Roman" w:hAnsi="Times New Roman" w:cs="Times New Roman"/>
          <w:sz w:val="28"/>
          <w:szCs w:val="28"/>
        </w:rPr>
        <w:t xml:space="preserve">Claire Drysdall </w:t>
      </w:r>
      <w:r w:rsidR="00E67475" w:rsidRPr="005F6C2C">
        <w:rPr>
          <w:rFonts w:ascii="Times New Roman" w:hAnsi="Times New Roman" w:cs="Times New Roman"/>
          <w:sz w:val="28"/>
          <w:szCs w:val="28"/>
        </w:rPr>
        <w:tab/>
      </w:r>
      <w:r w:rsidR="00B22232" w:rsidRPr="005F6C2C">
        <w:rPr>
          <w:rFonts w:ascii="Times New Roman" w:hAnsi="Times New Roman" w:cs="Times New Roman"/>
          <w:sz w:val="28"/>
          <w:szCs w:val="28"/>
        </w:rPr>
        <w:tab/>
      </w:r>
    </w:p>
    <w:p w14:paraId="469E3834" w14:textId="77777777" w:rsidR="00485D66" w:rsidRDefault="00485D66" w:rsidP="0096699F">
      <w:pPr>
        <w:spacing w:after="240" w:line="240" w:lineRule="auto"/>
        <w:jc w:val="both"/>
        <w:rPr>
          <w:rFonts w:ascii="Times New Roman" w:hAnsi="Times New Roman" w:cs="Times New Roman"/>
          <w:sz w:val="28"/>
          <w:szCs w:val="28"/>
        </w:rPr>
      </w:pPr>
    </w:p>
    <w:p w14:paraId="26B75E1C" w14:textId="20FAAE82" w:rsidR="00E34881" w:rsidRDefault="0096699F" w:rsidP="00E32B71">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Counsel for the </w:t>
      </w:r>
      <w:r w:rsidR="00827BB2">
        <w:rPr>
          <w:rFonts w:ascii="Times New Roman" w:hAnsi="Times New Roman" w:cs="Times New Roman"/>
          <w:sz w:val="28"/>
          <w:szCs w:val="28"/>
        </w:rPr>
        <w:t>Defendant</w:t>
      </w:r>
      <w:r w:rsidR="00E32B71">
        <w:rPr>
          <w:rFonts w:ascii="Times New Roman" w:hAnsi="Times New Roman" w:cs="Times New Roman"/>
          <w:sz w:val="28"/>
          <w:szCs w:val="28"/>
        </w:rPr>
        <w:t>:</w:t>
      </w:r>
      <w:r w:rsidR="005A163E">
        <w:rPr>
          <w:rFonts w:ascii="Times New Roman" w:hAnsi="Times New Roman" w:cs="Times New Roman"/>
          <w:sz w:val="28"/>
          <w:szCs w:val="28"/>
        </w:rPr>
        <w:tab/>
      </w:r>
      <w:r w:rsidR="005A163E">
        <w:rPr>
          <w:rFonts w:ascii="Times New Roman" w:hAnsi="Times New Roman" w:cs="Times New Roman"/>
          <w:sz w:val="28"/>
          <w:szCs w:val="28"/>
        </w:rPr>
        <w:tab/>
        <w:t>Tracy Carroll</w:t>
      </w:r>
    </w:p>
    <w:p w14:paraId="7F0A0153" w14:textId="02736125" w:rsidR="00E32B71" w:rsidRDefault="00E32B71" w:rsidP="00E32B7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By Counterclaim</w:t>
      </w:r>
      <w:r w:rsidR="005A163E">
        <w:rPr>
          <w:rFonts w:ascii="Times New Roman" w:hAnsi="Times New Roman" w:cs="Times New Roman"/>
          <w:sz w:val="28"/>
          <w:szCs w:val="28"/>
        </w:rPr>
        <w:tab/>
      </w:r>
      <w:r w:rsidR="005A163E">
        <w:rPr>
          <w:rFonts w:ascii="Times New Roman" w:hAnsi="Times New Roman" w:cs="Times New Roman"/>
          <w:sz w:val="28"/>
          <w:szCs w:val="28"/>
        </w:rPr>
        <w:tab/>
      </w:r>
      <w:r w:rsidR="005A163E">
        <w:rPr>
          <w:rFonts w:ascii="Times New Roman" w:hAnsi="Times New Roman" w:cs="Times New Roman"/>
          <w:sz w:val="28"/>
          <w:szCs w:val="28"/>
        </w:rPr>
        <w:tab/>
      </w:r>
      <w:r w:rsidR="005A163E">
        <w:rPr>
          <w:rFonts w:ascii="Times New Roman" w:hAnsi="Times New Roman" w:cs="Times New Roman"/>
          <w:sz w:val="28"/>
          <w:szCs w:val="28"/>
        </w:rPr>
        <w:tab/>
      </w:r>
      <w:r w:rsidR="005A163E">
        <w:rPr>
          <w:rFonts w:ascii="Times New Roman" w:hAnsi="Times New Roman" w:cs="Times New Roman"/>
          <w:sz w:val="28"/>
          <w:szCs w:val="28"/>
        </w:rPr>
        <w:tab/>
        <w:t>Sara</w:t>
      </w:r>
      <w:r w:rsidR="00727CDF">
        <w:rPr>
          <w:rFonts w:ascii="Times New Roman" w:hAnsi="Times New Roman" w:cs="Times New Roman"/>
          <w:sz w:val="28"/>
          <w:szCs w:val="28"/>
        </w:rPr>
        <w:t>h Eustace</w:t>
      </w:r>
    </w:p>
    <w:p w14:paraId="5C6D8E41" w14:textId="76568800" w:rsidR="00A35EAA" w:rsidRDefault="0096699F" w:rsidP="005A163E">
      <w:pPr>
        <w:spacing w:after="240" w:line="240" w:lineRule="auto"/>
        <w:jc w:val="both"/>
        <w:rPr>
          <w:rFonts w:ascii="Times New Roman" w:hAnsi="Times New Roman" w:cs="Times New Roman"/>
          <w:sz w:val="28"/>
          <w:szCs w:val="28"/>
        </w:rPr>
      </w:pPr>
      <w:r>
        <w:rPr>
          <w:rFonts w:ascii="Times New Roman" w:hAnsi="Times New Roman" w:cs="Times New Roman"/>
          <w:sz w:val="28"/>
          <w:szCs w:val="28"/>
        </w:rPr>
        <w:tab/>
      </w:r>
    </w:p>
    <w:p w14:paraId="5D875566" w14:textId="109ED994" w:rsidR="00A35EAA" w:rsidRDefault="00A35EAA" w:rsidP="00827BB2">
      <w:pPr>
        <w:spacing w:after="240" w:line="240" w:lineRule="auto"/>
        <w:jc w:val="both"/>
        <w:rPr>
          <w:rFonts w:ascii="Times New Roman" w:hAnsi="Times New Roman" w:cs="Times New Roman"/>
          <w:sz w:val="28"/>
          <w:szCs w:val="28"/>
        </w:rPr>
      </w:pPr>
      <w:r>
        <w:rPr>
          <w:rFonts w:ascii="Times New Roman" w:hAnsi="Times New Roman" w:cs="Times New Roman"/>
          <w:sz w:val="28"/>
          <w:szCs w:val="28"/>
        </w:rPr>
        <w:tab/>
      </w:r>
    </w:p>
    <w:p w14:paraId="3C1DDF10" w14:textId="25A2A124" w:rsidR="001F5970" w:rsidRPr="00943943" w:rsidRDefault="0096699F" w:rsidP="004878C3">
      <w:pPr>
        <w:spacing w:after="240" w:line="240" w:lineRule="auto"/>
        <w:jc w:val="both"/>
        <w:rPr>
          <w:rFonts w:ascii="Times New Roman" w:hAnsi="Times New Roman" w:cs="Times New Roman"/>
          <w:sz w:val="28"/>
          <w:szCs w:val="28"/>
        </w:rPr>
        <w:sectPr w:rsidR="001F5970" w:rsidRPr="00943943" w:rsidSect="003926E0">
          <w:headerReference w:type="default" r:id="rId11"/>
          <w:headerReference w:type="first" r:id="rId12"/>
          <w:type w:val="continuous"/>
          <w:pgSz w:w="12240" w:h="15840"/>
          <w:pgMar w:top="1350" w:right="1440" w:bottom="1260" w:left="1440" w:header="720" w:footer="720" w:gutter="0"/>
          <w:cols w:space="720"/>
          <w:titlePg/>
          <w:docGrid w:linePitch="360"/>
        </w:sectPr>
      </w:pPr>
      <w:r>
        <w:rPr>
          <w:rFonts w:ascii="Times New Roman" w:hAnsi="Times New Roman" w:cs="Times New Roman"/>
          <w:sz w:val="28"/>
          <w:szCs w:val="28"/>
        </w:rPr>
        <w:tab/>
      </w:r>
    </w:p>
    <w:p w14:paraId="61033FE1" w14:textId="77777777" w:rsidR="001F5970" w:rsidRDefault="001F5970" w:rsidP="00B22232">
      <w:pPr>
        <w:spacing w:after="0" w:line="480" w:lineRule="auto"/>
        <w:jc w:val="both"/>
        <w:rPr>
          <w:rFonts w:ascii="Times New Roman" w:hAnsi="Times New Roman" w:cs="Times New Roman"/>
          <w:sz w:val="28"/>
          <w:szCs w:val="28"/>
        </w:rPr>
        <w:sectPr w:rsidR="001F5970" w:rsidSect="001F5970">
          <w:pgSz w:w="12240" w:h="15840"/>
          <w:pgMar w:top="1440" w:right="1440" w:bottom="1440" w:left="1440" w:header="720" w:footer="720" w:gutter="0"/>
          <w:cols w:space="720"/>
          <w:titlePg/>
          <w:docGrid w:linePitch="360"/>
        </w:sectPr>
      </w:pPr>
    </w:p>
    <w:p w14:paraId="54B67720" w14:textId="1A420CFC" w:rsidR="008123F0" w:rsidRPr="001F5970" w:rsidRDefault="008123F0" w:rsidP="00B22232">
      <w:pPr>
        <w:tabs>
          <w:tab w:val="right" w:pos="4230"/>
        </w:tabs>
        <w:spacing w:after="0" w:line="480" w:lineRule="auto"/>
        <w:ind w:right="-432"/>
        <w:jc w:val="both"/>
        <w:rPr>
          <w:rFonts w:ascii="Times New Roman" w:hAnsi="Times New Roman" w:cs="Times New Roman"/>
          <w:sz w:val="28"/>
          <w:szCs w:val="28"/>
          <w:u w:val="single"/>
        </w:rPr>
      </w:pPr>
    </w:p>
    <w:tbl>
      <w:tblPr>
        <w:tblStyle w:val="TableGrid"/>
        <w:tblpPr w:leftFromText="180" w:rightFromText="180" w:vertAnchor="page" w:horzAnchor="page" w:tblpX="5206" w:tblpY="1966"/>
        <w:tblW w:w="6480" w:type="dxa"/>
        <w:tblBorders>
          <w:top w:val="none" w:sz="0" w:space="0" w:color="auto"/>
          <w:left w:val="none" w:sz="0" w:space="0" w:color="auto"/>
          <w:right w:val="none" w:sz="0" w:space="0" w:color="auto"/>
        </w:tblBorders>
        <w:tblLook w:val="04A0" w:firstRow="1" w:lastRow="0" w:firstColumn="1" w:lastColumn="0" w:noHBand="0" w:noVBand="1"/>
      </w:tblPr>
      <w:tblGrid>
        <w:gridCol w:w="6480"/>
      </w:tblGrid>
      <w:tr w:rsidR="008123F0" w:rsidRPr="00510FFE" w14:paraId="7EEFC975" w14:textId="77777777" w:rsidTr="00E16C9E">
        <w:tc>
          <w:tcPr>
            <w:tcW w:w="6480" w:type="dxa"/>
          </w:tcPr>
          <w:p w14:paraId="10ED695D" w14:textId="43F52C0D" w:rsidR="008123F0" w:rsidRPr="00510FFE" w:rsidRDefault="004878C3" w:rsidP="00B22232">
            <w:pPr>
              <w:jc w:val="right"/>
              <w:rPr>
                <w:rFonts w:ascii="Times New Roman" w:hAnsi="Times New Roman" w:cs="Times New Roman"/>
                <w:sz w:val="28"/>
                <w:szCs w:val="28"/>
              </w:rPr>
            </w:pPr>
            <w:r w:rsidRPr="00510FFE">
              <w:rPr>
                <w:rFonts w:ascii="Times New Roman" w:hAnsi="Times New Roman" w:cs="Times New Roman"/>
                <w:sz w:val="28"/>
                <w:szCs w:val="28"/>
              </w:rPr>
              <w:t xml:space="preserve">S-1-CV-2010-000 065 </w:t>
            </w:r>
          </w:p>
        </w:tc>
      </w:tr>
      <w:tr w:rsidR="008123F0" w:rsidRPr="00510FFE" w14:paraId="25F05DF1" w14:textId="77777777" w:rsidTr="00E16C9E">
        <w:tc>
          <w:tcPr>
            <w:tcW w:w="6480" w:type="dxa"/>
          </w:tcPr>
          <w:p w14:paraId="501081F1" w14:textId="77777777" w:rsidR="008123F0" w:rsidRPr="00510FFE" w:rsidRDefault="008123F0" w:rsidP="00B22232">
            <w:pPr>
              <w:tabs>
                <w:tab w:val="center" w:pos="2784"/>
              </w:tabs>
              <w:jc w:val="center"/>
              <w:rPr>
                <w:rFonts w:ascii="Times New Roman" w:hAnsi="Times New Roman" w:cs="Times New Roman"/>
                <w:sz w:val="28"/>
                <w:szCs w:val="28"/>
                <w:lang w:val="en-GB"/>
              </w:rPr>
            </w:pPr>
          </w:p>
          <w:p w14:paraId="2455DEE2" w14:textId="77777777" w:rsidR="008123F0" w:rsidRPr="00510FFE" w:rsidRDefault="008123F0" w:rsidP="00B22232">
            <w:pPr>
              <w:tabs>
                <w:tab w:val="center" w:pos="2784"/>
              </w:tabs>
              <w:jc w:val="center"/>
              <w:rPr>
                <w:rFonts w:ascii="Times New Roman" w:hAnsi="Times New Roman" w:cs="Times New Roman"/>
                <w:sz w:val="28"/>
                <w:szCs w:val="28"/>
                <w:lang w:val="en-GB"/>
              </w:rPr>
            </w:pPr>
            <w:r w:rsidRPr="00510FFE">
              <w:rPr>
                <w:rFonts w:ascii="Times New Roman" w:hAnsi="Times New Roman" w:cs="Times New Roman"/>
                <w:sz w:val="28"/>
                <w:szCs w:val="28"/>
                <w:lang w:val="en-GB"/>
              </w:rPr>
              <w:t>IN THE SUPREME COURT OF THE</w:t>
            </w:r>
          </w:p>
          <w:p w14:paraId="0D543FE6" w14:textId="77777777" w:rsidR="008123F0" w:rsidRPr="00510FFE" w:rsidRDefault="008123F0" w:rsidP="00B22232">
            <w:pPr>
              <w:tabs>
                <w:tab w:val="center" w:pos="2784"/>
                <w:tab w:val="left" w:pos="4740"/>
              </w:tabs>
              <w:jc w:val="center"/>
              <w:rPr>
                <w:rFonts w:ascii="Times New Roman" w:hAnsi="Times New Roman" w:cs="Times New Roman"/>
                <w:sz w:val="28"/>
                <w:szCs w:val="28"/>
                <w:lang w:val="en-GB"/>
              </w:rPr>
            </w:pPr>
            <w:r w:rsidRPr="00510FFE">
              <w:rPr>
                <w:rFonts w:ascii="Times New Roman" w:hAnsi="Times New Roman" w:cs="Times New Roman"/>
                <w:sz w:val="28"/>
                <w:szCs w:val="28"/>
                <w:lang w:val="en-GB"/>
              </w:rPr>
              <w:t>NORTHWEST TERRITORIES</w:t>
            </w:r>
          </w:p>
          <w:p w14:paraId="74240C14" w14:textId="77777777" w:rsidR="008123F0" w:rsidRPr="00510FFE" w:rsidRDefault="008123F0" w:rsidP="00B22232">
            <w:pPr>
              <w:pStyle w:val="NoSpacing"/>
              <w:rPr>
                <w:rFonts w:ascii="Times New Roman" w:hAnsi="Times New Roman" w:cs="Times New Roman"/>
                <w:sz w:val="28"/>
                <w:szCs w:val="28"/>
                <w:lang w:val="en-GB"/>
              </w:rPr>
            </w:pPr>
          </w:p>
        </w:tc>
      </w:tr>
      <w:tr w:rsidR="008123F0" w:rsidRPr="00510FFE" w14:paraId="33ED7286" w14:textId="77777777" w:rsidTr="00E16C9E">
        <w:tc>
          <w:tcPr>
            <w:tcW w:w="6480" w:type="dxa"/>
          </w:tcPr>
          <w:p w14:paraId="4C131BA3" w14:textId="77777777" w:rsidR="00B22232" w:rsidRPr="00510FFE" w:rsidRDefault="00B22232" w:rsidP="00B22232">
            <w:pPr>
              <w:rPr>
                <w:rFonts w:ascii="Times New Roman" w:hAnsi="Times New Roman" w:cs="Times New Roman"/>
                <w:sz w:val="28"/>
                <w:szCs w:val="28"/>
              </w:rPr>
            </w:pPr>
            <w:r w:rsidRPr="00510FFE">
              <w:rPr>
                <w:rFonts w:ascii="Times New Roman" w:hAnsi="Times New Roman" w:cs="Times New Roman"/>
                <w:sz w:val="28"/>
                <w:szCs w:val="28"/>
              </w:rPr>
              <w:t>BETWEEN:</w:t>
            </w:r>
          </w:p>
          <w:p w14:paraId="141806D9" w14:textId="77777777" w:rsidR="00B22232" w:rsidRPr="00510FFE" w:rsidRDefault="00B22232" w:rsidP="00B22232">
            <w:pPr>
              <w:rPr>
                <w:rFonts w:ascii="Times New Roman" w:hAnsi="Times New Roman" w:cs="Times New Roman"/>
                <w:sz w:val="28"/>
                <w:szCs w:val="28"/>
              </w:rPr>
            </w:pPr>
          </w:p>
          <w:p w14:paraId="059CE3F8" w14:textId="77777777" w:rsidR="004878C3" w:rsidRPr="00510FFE" w:rsidRDefault="004878C3" w:rsidP="004878C3">
            <w:pPr>
              <w:jc w:val="center"/>
              <w:rPr>
                <w:rFonts w:ascii="Times New Roman" w:hAnsi="Times New Roman" w:cs="Times New Roman"/>
                <w:sz w:val="28"/>
                <w:szCs w:val="28"/>
              </w:rPr>
            </w:pPr>
            <w:r w:rsidRPr="00510FFE">
              <w:rPr>
                <w:rFonts w:ascii="Times New Roman" w:hAnsi="Times New Roman" w:cs="Times New Roman"/>
                <w:sz w:val="28"/>
                <w:szCs w:val="28"/>
              </w:rPr>
              <w:t>THE COMMISSIONER OF THE NORTHWEST TERRITORIES</w:t>
            </w:r>
          </w:p>
          <w:p w14:paraId="6EE25BC3" w14:textId="77777777" w:rsidR="004878C3" w:rsidRPr="00510FFE" w:rsidRDefault="004878C3" w:rsidP="004878C3">
            <w:pPr>
              <w:jc w:val="center"/>
              <w:rPr>
                <w:rFonts w:ascii="Times New Roman" w:hAnsi="Times New Roman" w:cs="Times New Roman"/>
                <w:sz w:val="28"/>
                <w:szCs w:val="28"/>
              </w:rPr>
            </w:pPr>
          </w:p>
          <w:p w14:paraId="7CE72A4B" w14:textId="77777777" w:rsidR="004878C3" w:rsidRPr="00510FFE" w:rsidRDefault="004878C3" w:rsidP="00FB57BF">
            <w:pPr>
              <w:jc w:val="right"/>
              <w:rPr>
                <w:rFonts w:ascii="Times New Roman" w:hAnsi="Times New Roman" w:cs="Times New Roman"/>
                <w:sz w:val="28"/>
                <w:szCs w:val="28"/>
              </w:rPr>
            </w:pPr>
            <w:r w:rsidRPr="00510FFE">
              <w:rPr>
                <w:rFonts w:ascii="Times New Roman" w:hAnsi="Times New Roman" w:cs="Times New Roman"/>
                <w:sz w:val="28"/>
                <w:szCs w:val="28"/>
              </w:rPr>
              <w:t>Plaintiff/Defendant by Counterclaim</w:t>
            </w:r>
          </w:p>
          <w:p w14:paraId="4B4E7329" w14:textId="77777777" w:rsidR="004878C3" w:rsidRPr="00510FFE" w:rsidRDefault="004878C3" w:rsidP="004878C3">
            <w:pPr>
              <w:jc w:val="center"/>
              <w:rPr>
                <w:rFonts w:ascii="Times New Roman" w:hAnsi="Times New Roman" w:cs="Times New Roman"/>
                <w:sz w:val="28"/>
                <w:szCs w:val="28"/>
              </w:rPr>
            </w:pPr>
          </w:p>
          <w:p w14:paraId="1BA4C5BC" w14:textId="77777777" w:rsidR="004878C3" w:rsidRPr="00510FFE" w:rsidRDefault="004878C3" w:rsidP="004878C3">
            <w:pPr>
              <w:jc w:val="center"/>
              <w:rPr>
                <w:rFonts w:ascii="Times New Roman" w:hAnsi="Times New Roman" w:cs="Times New Roman"/>
                <w:sz w:val="28"/>
                <w:szCs w:val="28"/>
              </w:rPr>
            </w:pPr>
            <w:r w:rsidRPr="00510FFE">
              <w:rPr>
                <w:rFonts w:ascii="Times New Roman" w:hAnsi="Times New Roman" w:cs="Times New Roman"/>
                <w:sz w:val="28"/>
                <w:szCs w:val="28"/>
              </w:rPr>
              <w:t>-and-</w:t>
            </w:r>
          </w:p>
          <w:p w14:paraId="1B428EF9" w14:textId="77777777" w:rsidR="004878C3" w:rsidRPr="00510FFE" w:rsidRDefault="004878C3" w:rsidP="004878C3">
            <w:pPr>
              <w:jc w:val="center"/>
              <w:rPr>
                <w:rFonts w:ascii="Times New Roman" w:hAnsi="Times New Roman" w:cs="Times New Roman"/>
                <w:sz w:val="28"/>
                <w:szCs w:val="28"/>
              </w:rPr>
            </w:pPr>
          </w:p>
          <w:p w14:paraId="6373997B" w14:textId="77777777" w:rsidR="004878C3" w:rsidRPr="00510FFE" w:rsidRDefault="004878C3" w:rsidP="004878C3">
            <w:pPr>
              <w:jc w:val="center"/>
              <w:rPr>
                <w:rFonts w:ascii="Times New Roman" w:hAnsi="Times New Roman" w:cs="Times New Roman"/>
                <w:sz w:val="28"/>
                <w:szCs w:val="28"/>
              </w:rPr>
            </w:pPr>
            <w:r w:rsidRPr="00510FFE">
              <w:rPr>
                <w:rFonts w:ascii="Times New Roman" w:hAnsi="Times New Roman" w:cs="Times New Roman"/>
                <w:sz w:val="28"/>
                <w:szCs w:val="28"/>
              </w:rPr>
              <w:t>AGNES CHRISTENSEN and CLAYTON CHRISTENSEN</w:t>
            </w:r>
          </w:p>
          <w:p w14:paraId="64D3F845" w14:textId="77777777" w:rsidR="004878C3" w:rsidRPr="00510FFE" w:rsidRDefault="004878C3" w:rsidP="004878C3">
            <w:pPr>
              <w:jc w:val="center"/>
              <w:rPr>
                <w:rFonts w:ascii="Times New Roman" w:hAnsi="Times New Roman" w:cs="Times New Roman"/>
                <w:sz w:val="28"/>
                <w:szCs w:val="28"/>
              </w:rPr>
            </w:pPr>
          </w:p>
          <w:p w14:paraId="32E8612F" w14:textId="77777777" w:rsidR="004878C3" w:rsidRPr="00510FFE" w:rsidRDefault="004878C3" w:rsidP="00FB57BF">
            <w:pPr>
              <w:jc w:val="right"/>
              <w:rPr>
                <w:rFonts w:ascii="Times New Roman" w:hAnsi="Times New Roman" w:cs="Times New Roman"/>
                <w:sz w:val="28"/>
                <w:szCs w:val="28"/>
              </w:rPr>
            </w:pPr>
            <w:r w:rsidRPr="00510FFE">
              <w:rPr>
                <w:rFonts w:ascii="Times New Roman" w:hAnsi="Times New Roman" w:cs="Times New Roman"/>
                <w:sz w:val="28"/>
                <w:szCs w:val="28"/>
              </w:rPr>
              <w:t>Defendants</w:t>
            </w:r>
          </w:p>
          <w:p w14:paraId="17E5140E" w14:textId="77777777" w:rsidR="004878C3" w:rsidRPr="00510FFE" w:rsidRDefault="004878C3" w:rsidP="004878C3">
            <w:pPr>
              <w:jc w:val="center"/>
              <w:rPr>
                <w:rFonts w:ascii="Times New Roman" w:hAnsi="Times New Roman" w:cs="Times New Roman"/>
                <w:sz w:val="28"/>
                <w:szCs w:val="28"/>
              </w:rPr>
            </w:pPr>
            <w:r w:rsidRPr="00510FFE">
              <w:rPr>
                <w:rFonts w:ascii="Times New Roman" w:hAnsi="Times New Roman" w:cs="Times New Roman"/>
                <w:sz w:val="28"/>
                <w:szCs w:val="28"/>
              </w:rPr>
              <w:tab/>
            </w:r>
            <w:r w:rsidRPr="00510FFE">
              <w:rPr>
                <w:rFonts w:ascii="Times New Roman" w:hAnsi="Times New Roman" w:cs="Times New Roman"/>
                <w:sz w:val="28"/>
                <w:szCs w:val="28"/>
              </w:rPr>
              <w:tab/>
            </w:r>
            <w:r w:rsidRPr="00510FFE">
              <w:rPr>
                <w:rFonts w:ascii="Times New Roman" w:hAnsi="Times New Roman" w:cs="Times New Roman"/>
                <w:sz w:val="28"/>
                <w:szCs w:val="28"/>
              </w:rPr>
              <w:tab/>
            </w:r>
            <w:r w:rsidRPr="00510FFE">
              <w:rPr>
                <w:rFonts w:ascii="Times New Roman" w:hAnsi="Times New Roman" w:cs="Times New Roman"/>
                <w:sz w:val="28"/>
                <w:szCs w:val="28"/>
              </w:rPr>
              <w:tab/>
            </w:r>
            <w:r w:rsidRPr="00510FFE">
              <w:rPr>
                <w:rFonts w:ascii="Times New Roman" w:hAnsi="Times New Roman" w:cs="Times New Roman"/>
                <w:sz w:val="28"/>
                <w:szCs w:val="28"/>
              </w:rPr>
              <w:tab/>
            </w:r>
            <w:r w:rsidRPr="00510FFE">
              <w:rPr>
                <w:rFonts w:ascii="Times New Roman" w:hAnsi="Times New Roman" w:cs="Times New Roman"/>
                <w:sz w:val="28"/>
                <w:szCs w:val="28"/>
              </w:rPr>
              <w:tab/>
              <w:t>-and-</w:t>
            </w:r>
          </w:p>
          <w:p w14:paraId="4A3F179B" w14:textId="77777777" w:rsidR="004878C3" w:rsidRPr="00510FFE" w:rsidRDefault="004878C3" w:rsidP="004878C3">
            <w:pPr>
              <w:jc w:val="center"/>
              <w:rPr>
                <w:rFonts w:ascii="Times New Roman" w:hAnsi="Times New Roman" w:cs="Times New Roman"/>
                <w:sz w:val="28"/>
                <w:szCs w:val="28"/>
              </w:rPr>
            </w:pPr>
          </w:p>
          <w:p w14:paraId="717969D3" w14:textId="77777777" w:rsidR="004878C3" w:rsidRPr="00510FFE" w:rsidRDefault="004878C3" w:rsidP="004878C3">
            <w:pPr>
              <w:jc w:val="center"/>
              <w:rPr>
                <w:rFonts w:ascii="Times New Roman" w:hAnsi="Times New Roman" w:cs="Times New Roman"/>
                <w:sz w:val="28"/>
                <w:szCs w:val="28"/>
              </w:rPr>
            </w:pPr>
            <w:r w:rsidRPr="00510FFE">
              <w:rPr>
                <w:rFonts w:ascii="Times New Roman" w:hAnsi="Times New Roman" w:cs="Times New Roman"/>
                <w:sz w:val="28"/>
                <w:szCs w:val="28"/>
              </w:rPr>
              <w:t>AGNES CHRISTENSEN, CLAYTON CHRISTENSEN, STEVEN CHRISTENSEN, ADAM CHRISTENSEN, and STANLEY CHRISTENSEN on behalf of themselves, and all other members of a class of individuals who reside in Akaitcho Asserted Territory and who have an unfulfilled right to select land in severalty pursuant to Treaty No. 8</w:t>
            </w:r>
          </w:p>
          <w:p w14:paraId="59DDBFA8" w14:textId="77777777" w:rsidR="004878C3" w:rsidRPr="00510FFE" w:rsidRDefault="004878C3" w:rsidP="004878C3">
            <w:pPr>
              <w:jc w:val="center"/>
              <w:rPr>
                <w:rFonts w:ascii="Times New Roman" w:hAnsi="Times New Roman" w:cs="Times New Roman"/>
                <w:sz w:val="28"/>
                <w:szCs w:val="28"/>
              </w:rPr>
            </w:pPr>
          </w:p>
          <w:p w14:paraId="2B0E818D" w14:textId="77777777" w:rsidR="004878C3" w:rsidRPr="00510FFE" w:rsidRDefault="004878C3" w:rsidP="00FB57BF">
            <w:pPr>
              <w:jc w:val="right"/>
              <w:rPr>
                <w:rFonts w:ascii="Times New Roman" w:hAnsi="Times New Roman" w:cs="Times New Roman"/>
                <w:sz w:val="28"/>
                <w:szCs w:val="28"/>
              </w:rPr>
            </w:pPr>
            <w:r w:rsidRPr="00510FFE">
              <w:rPr>
                <w:rFonts w:ascii="Times New Roman" w:hAnsi="Times New Roman" w:cs="Times New Roman"/>
                <w:sz w:val="28"/>
                <w:szCs w:val="28"/>
              </w:rPr>
              <w:t xml:space="preserve">Plaintiffs by Counterclaim </w:t>
            </w:r>
          </w:p>
          <w:p w14:paraId="668CB8D1" w14:textId="72F8E00F" w:rsidR="004878C3" w:rsidRPr="00510FFE" w:rsidRDefault="004878C3" w:rsidP="00FB57BF">
            <w:pPr>
              <w:jc w:val="center"/>
              <w:rPr>
                <w:rFonts w:ascii="Times New Roman" w:hAnsi="Times New Roman" w:cs="Times New Roman"/>
                <w:sz w:val="28"/>
                <w:szCs w:val="28"/>
              </w:rPr>
            </w:pPr>
            <w:r w:rsidRPr="00510FFE">
              <w:rPr>
                <w:rFonts w:ascii="Times New Roman" w:hAnsi="Times New Roman" w:cs="Times New Roman"/>
                <w:sz w:val="28"/>
                <w:szCs w:val="28"/>
              </w:rPr>
              <w:t>-and-</w:t>
            </w:r>
          </w:p>
          <w:p w14:paraId="3F9B056A" w14:textId="77777777" w:rsidR="004878C3" w:rsidRPr="00510FFE" w:rsidRDefault="004878C3" w:rsidP="004878C3">
            <w:pPr>
              <w:jc w:val="center"/>
              <w:rPr>
                <w:rFonts w:ascii="Times New Roman" w:hAnsi="Times New Roman" w:cs="Times New Roman"/>
                <w:sz w:val="28"/>
                <w:szCs w:val="28"/>
              </w:rPr>
            </w:pPr>
          </w:p>
          <w:p w14:paraId="392B8508" w14:textId="77777777" w:rsidR="004878C3" w:rsidRPr="00510FFE" w:rsidRDefault="004878C3" w:rsidP="004878C3">
            <w:pPr>
              <w:jc w:val="center"/>
              <w:rPr>
                <w:rFonts w:ascii="Times New Roman" w:hAnsi="Times New Roman" w:cs="Times New Roman"/>
                <w:sz w:val="28"/>
                <w:szCs w:val="28"/>
              </w:rPr>
            </w:pPr>
            <w:r w:rsidRPr="00510FFE">
              <w:rPr>
                <w:rFonts w:ascii="Times New Roman" w:hAnsi="Times New Roman" w:cs="Times New Roman"/>
                <w:sz w:val="28"/>
                <w:szCs w:val="28"/>
              </w:rPr>
              <w:t>THE ATTORNEY GENERAL OF CANADA</w:t>
            </w:r>
          </w:p>
          <w:p w14:paraId="559B4F5C" w14:textId="77777777" w:rsidR="004878C3" w:rsidRPr="00510FFE" w:rsidRDefault="004878C3" w:rsidP="004878C3">
            <w:pPr>
              <w:jc w:val="center"/>
              <w:rPr>
                <w:rFonts w:ascii="Times New Roman" w:hAnsi="Times New Roman" w:cs="Times New Roman"/>
                <w:sz w:val="28"/>
                <w:szCs w:val="28"/>
              </w:rPr>
            </w:pPr>
            <w:r w:rsidRPr="00510FFE">
              <w:rPr>
                <w:rFonts w:ascii="Times New Roman" w:hAnsi="Times New Roman" w:cs="Times New Roman"/>
                <w:sz w:val="28"/>
                <w:szCs w:val="28"/>
              </w:rPr>
              <w:t xml:space="preserve"> </w:t>
            </w:r>
          </w:p>
          <w:p w14:paraId="424052E4" w14:textId="77777777" w:rsidR="004878C3" w:rsidRPr="00510FFE" w:rsidRDefault="004878C3" w:rsidP="00FB57BF">
            <w:pPr>
              <w:jc w:val="right"/>
              <w:rPr>
                <w:rFonts w:ascii="Times New Roman" w:hAnsi="Times New Roman" w:cs="Times New Roman"/>
                <w:sz w:val="28"/>
                <w:szCs w:val="28"/>
              </w:rPr>
            </w:pPr>
            <w:r w:rsidRPr="00510FFE">
              <w:rPr>
                <w:rFonts w:ascii="Times New Roman" w:hAnsi="Times New Roman" w:cs="Times New Roman"/>
                <w:sz w:val="28"/>
                <w:szCs w:val="28"/>
              </w:rPr>
              <w:t>Defendant by Counterclaim</w:t>
            </w:r>
          </w:p>
          <w:p w14:paraId="6CF1C54F" w14:textId="77777777" w:rsidR="008123F0" w:rsidRPr="00510FFE" w:rsidRDefault="008123F0" w:rsidP="00B22232">
            <w:pPr>
              <w:tabs>
                <w:tab w:val="left" w:pos="720"/>
                <w:tab w:val="left" w:pos="1452"/>
                <w:tab w:val="left" w:pos="2392"/>
              </w:tabs>
              <w:jc w:val="center"/>
              <w:rPr>
                <w:rFonts w:ascii="Times New Roman" w:hAnsi="Times New Roman" w:cs="Times New Roman"/>
                <w:sz w:val="28"/>
                <w:szCs w:val="28"/>
                <w:lang w:val="en-GB"/>
              </w:rPr>
            </w:pPr>
          </w:p>
          <w:p w14:paraId="25FE9D83" w14:textId="77777777" w:rsidR="008123F0" w:rsidRPr="00510FFE" w:rsidRDefault="008123F0" w:rsidP="00B22232">
            <w:pPr>
              <w:rPr>
                <w:rFonts w:ascii="Times New Roman" w:hAnsi="Times New Roman" w:cs="Times New Roman"/>
                <w:sz w:val="28"/>
                <w:szCs w:val="28"/>
              </w:rPr>
            </w:pPr>
          </w:p>
        </w:tc>
      </w:tr>
      <w:tr w:rsidR="008123F0" w:rsidRPr="0032647A" w14:paraId="36CEC013" w14:textId="77777777" w:rsidTr="00E16C9E">
        <w:tc>
          <w:tcPr>
            <w:tcW w:w="6480" w:type="dxa"/>
          </w:tcPr>
          <w:p w14:paraId="766BE15F" w14:textId="77777777" w:rsidR="008123F0" w:rsidRPr="006E3BE7" w:rsidRDefault="008123F0" w:rsidP="00B22232">
            <w:pPr>
              <w:tabs>
                <w:tab w:val="left" w:pos="720"/>
                <w:tab w:val="left" w:pos="1452"/>
                <w:tab w:val="left" w:pos="2392"/>
              </w:tabs>
              <w:jc w:val="center"/>
              <w:rPr>
                <w:rFonts w:ascii="Times New Roman" w:hAnsi="Times New Roman" w:cs="Times New Roman"/>
                <w:sz w:val="28"/>
                <w:szCs w:val="28"/>
                <w:lang w:val="en-GB"/>
              </w:rPr>
            </w:pPr>
            <w:r w:rsidRPr="006E3BE7">
              <w:rPr>
                <w:rFonts w:ascii="Times New Roman" w:hAnsi="Times New Roman" w:cs="Times New Roman"/>
                <w:sz w:val="28"/>
                <w:szCs w:val="28"/>
                <w:lang w:val="en-GB"/>
              </w:rPr>
              <w:t>MEMORANDUM OF JUDGMENT OF</w:t>
            </w:r>
          </w:p>
          <w:p w14:paraId="23B1E14A" w14:textId="2A945EAD" w:rsidR="008123F0" w:rsidRPr="006E3BE7" w:rsidRDefault="008123F0" w:rsidP="00B22232">
            <w:pPr>
              <w:tabs>
                <w:tab w:val="left" w:pos="720"/>
                <w:tab w:val="left" w:pos="1452"/>
                <w:tab w:val="left" w:pos="2392"/>
              </w:tabs>
              <w:jc w:val="center"/>
              <w:rPr>
                <w:rFonts w:ascii="Times New Roman" w:hAnsi="Times New Roman" w:cs="Times New Roman"/>
                <w:sz w:val="28"/>
                <w:szCs w:val="28"/>
                <w:lang w:val="en-GB"/>
              </w:rPr>
            </w:pPr>
            <w:r w:rsidRPr="006E3BE7">
              <w:rPr>
                <w:rFonts w:ascii="Times New Roman" w:hAnsi="Times New Roman" w:cs="Times New Roman"/>
                <w:sz w:val="28"/>
                <w:szCs w:val="28"/>
                <w:lang w:val="en-GB"/>
              </w:rPr>
              <w:t xml:space="preserve">THE HONOURABLE JUSTICE </w:t>
            </w:r>
          </w:p>
          <w:p w14:paraId="7A1C9D62" w14:textId="7AA64D2D" w:rsidR="008123F0" w:rsidRPr="0032647A" w:rsidRDefault="00FB57BF" w:rsidP="00B22232">
            <w:pPr>
              <w:tabs>
                <w:tab w:val="left" w:pos="720"/>
                <w:tab w:val="left" w:pos="1452"/>
                <w:tab w:val="left" w:pos="2392"/>
              </w:tabs>
              <w:jc w:val="center"/>
              <w:rPr>
                <w:rFonts w:ascii="Times New Roman" w:hAnsi="Times New Roman" w:cs="Times New Roman"/>
                <w:sz w:val="28"/>
                <w:szCs w:val="28"/>
                <w:lang w:val="en-GB"/>
              </w:rPr>
            </w:pPr>
            <w:r w:rsidRPr="006E3BE7">
              <w:rPr>
                <w:rFonts w:ascii="Times New Roman" w:hAnsi="Times New Roman" w:cs="Times New Roman"/>
                <w:sz w:val="28"/>
                <w:szCs w:val="28"/>
                <w:lang w:val="en-GB"/>
              </w:rPr>
              <w:t>S.M. MacPHERSON</w:t>
            </w:r>
          </w:p>
        </w:tc>
      </w:tr>
    </w:tbl>
    <w:p w14:paraId="34AB5BF7" w14:textId="77777777" w:rsidR="000812FA" w:rsidRDefault="000812FA" w:rsidP="00B22232">
      <w:pPr>
        <w:pStyle w:val="ListParagraph"/>
        <w:tabs>
          <w:tab w:val="right" w:pos="4230"/>
        </w:tabs>
        <w:spacing w:after="0" w:line="240" w:lineRule="auto"/>
        <w:ind w:left="0" w:right="-432"/>
        <w:rPr>
          <w:rFonts w:ascii="Times New Roman" w:hAnsi="Times New Roman" w:cs="Times New Roman"/>
          <w:sz w:val="28"/>
          <w:szCs w:val="28"/>
        </w:rPr>
      </w:pPr>
    </w:p>
    <w:sectPr w:rsidR="000812FA" w:rsidSect="000812FA">
      <w:headerReference w:type="default" r:id="rId13"/>
      <w:headerReference w:type="first" r:id="rId14"/>
      <w:type w:val="continuous"/>
      <w:pgSz w:w="12240" w:h="15840" w:code="1"/>
      <w:pgMar w:top="1440" w:right="1440" w:bottom="1440" w:left="1440" w:header="720" w:footer="720" w:gutter="0"/>
      <w:cols w:num="2" w:space="288" w:equalWidth="0">
        <w:col w:w="3600" w:space="288"/>
        <w:col w:w="5472"/>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8B647" w14:textId="77777777" w:rsidR="001A13C6" w:rsidRDefault="001A13C6" w:rsidP="005B5B19">
      <w:pPr>
        <w:spacing w:after="0" w:line="240" w:lineRule="auto"/>
      </w:pPr>
      <w:r>
        <w:separator/>
      </w:r>
    </w:p>
  </w:endnote>
  <w:endnote w:type="continuationSeparator" w:id="0">
    <w:p w14:paraId="074E69C9" w14:textId="77777777" w:rsidR="001A13C6" w:rsidRDefault="001A13C6" w:rsidP="005B5B19">
      <w:pPr>
        <w:spacing w:after="0" w:line="240" w:lineRule="auto"/>
      </w:pPr>
      <w:r>
        <w:continuationSeparator/>
      </w:r>
    </w:p>
  </w:endnote>
  <w:endnote w:type="continuationNotice" w:id="1">
    <w:p w14:paraId="4AEA0094" w14:textId="77777777" w:rsidR="001A13C6" w:rsidRDefault="001A13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51554" w14:textId="77777777" w:rsidR="001A13C6" w:rsidRDefault="001A13C6" w:rsidP="005B5B19">
      <w:pPr>
        <w:spacing w:after="0" w:line="240" w:lineRule="auto"/>
      </w:pPr>
      <w:r>
        <w:separator/>
      </w:r>
    </w:p>
  </w:footnote>
  <w:footnote w:type="continuationSeparator" w:id="0">
    <w:p w14:paraId="171E277B" w14:textId="77777777" w:rsidR="001A13C6" w:rsidRDefault="001A13C6" w:rsidP="005B5B19">
      <w:pPr>
        <w:spacing w:after="0" w:line="240" w:lineRule="auto"/>
      </w:pPr>
      <w:r>
        <w:continuationSeparator/>
      </w:r>
    </w:p>
  </w:footnote>
  <w:footnote w:type="continuationNotice" w:id="1">
    <w:p w14:paraId="17F14F0B" w14:textId="77777777" w:rsidR="001A13C6" w:rsidRDefault="001A13C6">
      <w:pPr>
        <w:spacing w:after="0" w:line="240" w:lineRule="auto"/>
      </w:pPr>
    </w:p>
  </w:footnote>
  <w:footnote w:id="2">
    <w:p w14:paraId="794A3266" w14:textId="0D6E18B0" w:rsidR="00267A78" w:rsidRPr="00CF0662" w:rsidRDefault="00267A78" w:rsidP="00CF0662">
      <w:pPr>
        <w:pStyle w:val="FootnoteText"/>
        <w:jc w:val="both"/>
        <w:rPr>
          <w:rFonts w:ascii="Times New Roman" w:hAnsi="Times New Roman" w:cs="Times New Roman"/>
          <w:lang w:val="en-US"/>
        </w:rPr>
      </w:pPr>
      <w:r w:rsidRPr="00CF0662">
        <w:rPr>
          <w:rStyle w:val="FootnoteReference"/>
          <w:rFonts w:ascii="Times New Roman" w:hAnsi="Times New Roman" w:cs="Times New Roman"/>
        </w:rPr>
        <w:footnoteRef/>
      </w:r>
      <w:r w:rsidRPr="00CF0662">
        <w:rPr>
          <w:rFonts w:ascii="Times New Roman" w:hAnsi="Times New Roman" w:cs="Times New Roman"/>
        </w:rPr>
        <w:t xml:space="preserve"> </w:t>
      </w:r>
      <w:r w:rsidRPr="00CF0662">
        <w:rPr>
          <w:rFonts w:ascii="Times New Roman" w:hAnsi="Times New Roman" w:cs="Times New Roman"/>
          <w:lang w:val="en-US"/>
        </w:rPr>
        <w:t xml:space="preserve">In </w:t>
      </w:r>
      <w:r w:rsidR="007E3E04" w:rsidRPr="00CF0662">
        <w:rPr>
          <w:rFonts w:ascii="Times New Roman" w:hAnsi="Times New Roman" w:cs="Times New Roman"/>
          <w:lang w:val="en-US"/>
        </w:rPr>
        <w:t xml:space="preserve">court documents relating to this motion, Canada references the </w:t>
      </w:r>
      <w:r w:rsidR="00227C29" w:rsidRPr="00CF0662">
        <w:rPr>
          <w:rFonts w:ascii="Times New Roman" w:hAnsi="Times New Roman" w:cs="Times New Roman"/>
          <w:lang w:val="en-US"/>
        </w:rPr>
        <w:t xml:space="preserve">consultation draft of the </w:t>
      </w:r>
      <w:r w:rsidR="009758AF" w:rsidRPr="00CF0662">
        <w:rPr>
          <w:rFonts w:ascii="Times New Roman" w:hAnsi="Times New Roman" w:cs="Times New Roman"/>
          <w:lang w:val="en-US"/>
        </w:rPr>
        <w:t xml:space="preserve">Agreement in Principle </w:t>
      </w:r>
      <w:r w:rsidR="007E3E04" w:rsidRPr="00CF0662">
        <w:rPr>
          <w:rFonts w:ascii="Times New Roman" w:hAnsi="Times New Roman" w:cs="Times New Roman"/>
          <w:lang w:val="en-US"/>
        </w:rPr>
        <w:t>as the Consultation Draft</w:t>
      </w:r>
      <w:r w:rsidR="0056205D" w:rsidRPr="00CF0662">
        <w:rPr>
          <w:rFonts w:ascii="Times New Roman" w:hAnsi="Times New Roman" w:cs="Times New Roman"/>
          <w:lang w:val="en-US"/>
        </w:rPr>
        <w:t xml:space="preserve"> and the Commissioner refers to it as the </w:t>
      </w:r>
      <w:r w:rsidR="003F7C12" w:rsidRPr="00CF0662">
        <w:rPr>
          <w:rFonts w:ascii="Times New Roman" w:hAnsi="Times New Roman" w:cs="Times New Roman"/>
          <w:lang w:val="en-US"/>
        </w:rPr>
        <w:t>Draft AIP</w:t>
      </w:r>
      <w:r w:rsidR="0056205D" w:rsidRPr="00CF0662">
        <w:rPr>
          <w:rFonts w:ascii="Times New Roman" w:hAnsi="Times New Roman" w:cs="Times New Roman"/>
          <w:lang w:val="en-US"/>
        </w:rPr>
        <w:t xml:space="preserve">. </w:t>
      </w:r>
      <w:r w:rsidR="009375E0" w:rsidRPr="00CF0662">
        <w:rPr>
          <w:rFonts w:ascii="Times New Roman" w:hAnsi="Times New Roman" w:cs="Times New Roman"/>
          <w:lang w:val="en-US"/>
        </w:rPr>
        <w:t xml:space="preserve">The Defendants refer to it as the Akaitcho AIP.  </w:t>
      </w:r>
      <w:r w:rsidR="00CB5A79" w:rsidRPr="00CF0662">
        <w:rPr>
          <w:rFonts w:ascii="Times New Roman" w:hAnsi="Times New Roman" w:cs="Times New Roman"/>
          <w:lang w:val="en-US"/>
        </w:rPr>
        <w:t xml:space="preserve">When I use the words “Consultation Draft, I am </w:t>
      </w:r>
      <w:r w:rsidR="005A450A" w:rsidRPr="00CF0662">
        <w:rPr>
          <w:rFonts w:ascii="Times New Roman" w:hAnsi="Times New Roman" w:cs="Times New Roman"/>
          <w:lang w:val="en-US"/>
        </w:rPr>
        <w:t>using it to mean the draft Agreement in Principle developed pursuant to the Framework Agreement</w:t>
      </w:r>
      <w:r w:rsidR="00D74420" w:rsidRPr="00CF0662">
        <w:rPr>
          <w:rFonts w:ascii="Times New Roman" w:hAnsi="Times New Roman" w:cs="Times New Roman"/>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4CAF8" w14:textId="39D1D295" w:rsidR="00491301" w:rsidRPr="00491301" w:rsidRDefault="00491301">
    <w:pPr>
      <w:pStyle w:val="Header"/>
      <w:jc w:val="right"/>
      <w:rPr>
        <w:rFonts w:ascii="Times New Roman" w:hAnsi="Times New Roman" w:cs="Times New Roman"/>
        <w:sz w:val="24"/>
        <w:szCs w:val="24"/>
      </w:rPr>
    </w:pPr>
    <w:r w:rsidRPr="00491301">
      <w:rPr>
        <w:rFonts w:ascii="Times New Roman" w:hAnsi="Times New Roman" w:cs="Times New Roman"/>
        <w:sz w:val="24"/>
        <w:szCs w:val="24"/>
      </w:rPr>
      <w:t xml:space="preserve">Page:  </w:t>
    </w:r>
    <w:sdt>
      <w:sdtPr>
        <w:rPr>
          <w:rFonts w:ascii="Times New Roman" w:hAnsi="Times New Roman" w:cs="Times New Roman"/>
          <w:sz w:val="24"/>
          <w:szCs w:val="24"/>
        </w:rPr>
        <w:id w:val="1331564427"/>
        <w:docPartObj>
          <w:docPartGallery w:val="Page Numbers (Top of Page)"/>
          <w:docPartUnique/>
        </w:docPartObj>
      </w:sdtPr>
      <w:sdtEndPr>
        <w:rPr>
          <w:noProof/>
        </w:rPr>
      </w:sdtEndPr>
      <w:sdtContent>
        <w:r w:rsidRPr="00491301">
          <w:rPr>
            <w:rFonts w:ascii="Times New Roman" w:hAnsi="Times New Roman" w:cs="Times New Roman"/>
            <w:sz w:val="24"/>
            <w:szCs w:val="24"/>
          </w:rPr>
          <w:fldChar w:fldCharType="begin"/>
        </w:r>
        <w:r w:rsidRPr="00491301">
          <w:rPr>
            <w:rFonts w:ascii="Times New Roman" w:hAnsi="Times New Roman" w:cs="Times New Roman"/>
            <w:sz w:val="24"/>
            <w:szCs w:val="24"/>
          </w:rPr>
          <w:instrText xml:space="preserve"> PAGE   \* MERGEFORMAT </w:instrText>
        </w:r>
        <w:r w:rsidRPr="00491301">
          <w:rPr>
            <w:rFonts w:ascii="Times New Roman" w:hAnsi="Times New Roman" w:cs="Times New Roman"/>
            <w:sz w:val="24"/>
            <w:szCs w:val="24"/>
          </w:rPr>
          <w:fldChar w:fldCharType="separate"/>
        </w:r>
        <w:r w:rsidRPr="00491301">
          <w:rPr>
            <w:rFonts w:ascii="Times New Roman" w:hAnsi="Times New Roman" w:cs="Times New Roman"/>
            <w:noProof/>
            <w:sz w:val="24"/>
            <w:szCs w:val="24"/>
          </w:rPr>
          <w:t>2</w:t>
        </w:r>
        <w:r w:rsidRPr="00491301">
          <w:rPr>
            <w:rFonts w:ascii="Times New Roman" w:hAnsi="Times New Roman" w:cs="Times New Roman"/>
            <w:noProof/>
            <w:sz w:val="24"/>
            <w:szCs w:val="24"/>
          </w:rPr>
          <w:fldChar w:fldCharType="end"/>
        </w:r>
      </w:sdtContent>
    </w:sdt>
  </w:p>
  <w:p w14:paraId="3D208802" w14:textId="77777777" w:rsidR="00BF3211" w:rsidRDefault="00BF32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5A225" w14:textId="77777777" w:rsidR="00BF3211" w:rsidRDefault="00BF3211">
    <w:pPr>
      <w:pStyle w:val="Header"/>
      <w:jc w:val="right"/>
    </w:pPr>
  </w:p>
  <w:p w14:paraId="040A2536" w14:textId="77777777" w:rsidR="00BF3211" w:rsidRDefault="00BF3211" w:rsidP="005B5B19">
    <w:pPr>
      <w:pStyle w:val="Header"/>
      <w:tabs>
        <w:tab w:val="clear" w:pos="46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E774C" w14:textId="77777777" w:rsidR="00BF3211" w:rsidRDefault="00BF32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5EEF6" w14:textId="77777777" w:rsidR="00BF3211" w:rsidRDefault="00BF3211">
    <w:pPr>
      <w:pStyle w:val="Header"/>
      <w:jc w:val="right"/>
    </w:pPr>
  </w:p>
  <w:p w14:paraId="3AED4ABB" w14:textId="77777777" w:rsidR="00BF3211" w:rsidRDefault="00BF3211" w:rsidP="005B5B19">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424"/>
    <w:multiLevelType w:val="hybridMultilevel"/>
    <w:tmpl w:val="C018CD34"/>
    <w:lvl w:ilvl="0" w:tplc="E03858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7F84"/>
    <w:multiLevelType w:val="multilevel"/>
    <w:tmpl w:val="E6C82178"/>
    <w:lvl w:ilvl="0">
      <w:start w:val="1"/>
      <w:numFmt w:val="decimal"/>
      <w:lvlText w:val="[%1]"/>
      <w:lvlJc w:val="left"/>
      <w:pPr>
        <w:ind w:left="360" w:hanging="360"/>
      </w:pPr>
      <w:rPr>
        <w:rFonts w:ascii="Times New Roman" w:hAnsi="Times New Roman" w:hint="default"/>
        <w:sz w:val="28"/>
      </w:rPr>
    </w:lvl>
    <w:lvl w:ilvl="1">
      <w:start w:val="1"/>
      <w:numFmt w:val="lowerLetter"/>
      <w:lvlText w:val="%2)"/>
      <w:lvlJc w:val="left"/>
      <w:pPr>
        <w:ind w:left="720" w:hanging="360"/>
      </w:pPr>
      <w:rPr>
        <w:rFonts w:hint="default"/>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85B298C"/>
    <w:multiLevelType w:val="hybridMultilevel"/>
    <w:tmpl w:val="32CC04A4"/>
    <w:lvl w:ilvl="0" w:tplc="31CA60CC">
      <w:start w:val="1"/>
      <w:numFmt w:val="decimal"/>
      <w:lvlText w:val="[%1]"/>
      <w:lvlJc w:val="left"/>
      <w:pPr>
        <w:ind w:left="360" w:hanging="360"/>
      </w:pPr>
      <w:rPr>
        <w:rFonts w:ascii="Times New Roman" w:hAnsi="Times New Roman" w:hint="default"/>
        <w:b w:val="0"/>
        <w:i w:val="0"/>
        <w:sz w:val="2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516BA1"/>
    <w:multiLevelType w:val="hybridMultilevel"/>
    <w:tmpl w:val="41C6DF36"/>
    <w:lvl w:ilvl="0" w:tplc="69EE3F8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C76C7C"/>
    <w:multiLevelType w:val="hybridMultilevel"/>
    <w:tmpl w:val="83524C28"/>
    <w:lvl w:ilvl="0" w:tplc="1E2A9C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0516A2"/>
    <w:multiLevelType w:val="multilevel"/>
    <w:tmpl w:val="8E7003B2"/>
    <w:numStyleLink w:val="JudgmentParagraphs"/>
  </w:abstractNum>
  <w:abstractNum w:abstractNumId="6" w15:restartNumberingAfterBreak="0">
    <w:nsid w:val="330F74DF"/>
    <w:multiLevelType w:val="hybridMultilevel"/>
    <w:tmpl w:val="5594878C"/>
    <w:lvl w:ilvl="0" w:tplc="99107622">
      <w:start w:val="13"/>
      <w:numFmt w:val="bullet"/>
      <w:lvlText w:val="-"/>
      <w:lvlJc w:val="left"/>
      <w:pPr>
        <w:ind w:left="4680" w:hanging="360"/>
      </w:pPr>
      <w:rPr>
        <w:rFonts w:ascii="Times New Roman" w:eastAsiaTheme="minorHAnsi" w:hAnsi="Times New Roman" w:cs="Times New Roman" w:hint="default"/>
      </w:rPr>
    </w:lvl>
    <w:lvl w:ilvl="1" w:tplc="10090003" w:tentative="1">
      <w:start w:val="1"/>
      <w:numFmt w:val="bullet"/>
      <w:lvlText w:val="o"/>
      <w:lvlJc w:val="left"/>
      <w:pPr>
        <w:ind w:left="5400" w:hanging="360"/>
      </w:pPr>
      <w:rPr>
        <w:rFonts w:ascii="Courier New" w:hAnsi="Courier New" w:cs="Courier New" w:hint="default"/>
      </w:rPr>
    </w:lvl>
    <w:lvl w:ilvl="2" w:tplc="10090005" w:tentative="1">
      <w:start w:val="1"/>
      <w:numFmt w:val="bullet"/>
      <w:lvlText w:val=""/>
      <w:lvlJc w:val="left"/>
      <w:pPr>
        <w:ind w:left="6120" w:hanging="360"/>
      </w:pPr>
      <w:rPr>
        <w:rFonts w:ascii="Wingdings" w:hAnsi="Wingdings" w:hint="default"/>
      </w:rPr>
    </w:lvl>
    <w:lvl w:ilvl="3" w:tplc="10090001" w:tentative="1">
      <w:start w:val="1"/>
      <w:numFmt w:val="bullet"/>
      <w:lvlText w:val=""/>
      <w:lvlJc w:val="left"/>
      <w:pPr>
        <w:ind w:left="6840" w:hanging="360"/>
      </w:pPr>
      <w:rPr>
        <w:rFonts w:ascii="Symbol" w:hAnsi="Symbol" w:hint="default"/>
      </w:rPr>
    </w:lvl>
    <w:lvl w:ilvl="4" w:tplc="10090003" w:tentative="1">
      <w:start w:val="1"/>
      <w:numFmt w:val="bullet"/>
      <w:lvlText w:val="o"/>
      <w:lvlJc w:val="left"/>
      <w:pPr>
        <w:ind w:left="7560" w:hanging="360"/>
      </w:pPr>
      <w:rPr>
        <w:rFonts w:ascii="Courier New" w:hAnsi="Courier New" w:cs="Courier New" w:hint="default"/>
      </w:rPr>
    </w:lvl>
    <w:lvl w:ilvl="5" w:tplc="10090005" w:tentative="1">
      <w:start w:val="1"/>
      <w:numFmt w:val="bullet"/>
      <w:lvlText w:val=""/>
      <w:lvlJc w:val="left"/>
      <w:pPr>
        <w:ind w:left="8280" w:hanging="360"/>
      </w:pPr>
      <w:rPr>
        <w:rFonts w:ascii="Wingdings" w:hAnsi="Wingdings" w:hint="default"/>
      </w:rPr>
    </w:lvl>
    <w:lvl w:ilvl="6" w:tplc="10090001" w:tentative="1">
      <w:start w:val="1"/>
      <w:numFmt w:val="bullet"/>
      <w:lvlText w:val=""/>
      <w:lvlJc w:val="left"/>
      <w:pPr>
        <w:ind w:left="9000" w:hanging="360"/>
      </w:pPr>
      <w:rPr>
        <w:rFonts w:ascii="Symbol" w:hAnsi="Symbol" w:hint="default"/>
      </w:rPr>
    </w:lvl>
    <w:lvl w:ilvl="7" w:tplc="10090003" w:tentative="1">
      <w:start w:val="1"/>
      <w:numFmt w:val="bullet"/>
      <w:lvlText w:val="o"/>
      <w:lvlJc w:val="left"/>
      <w:pPr>
        <w:ind w:left="9720" w:hanging="360"/>
      </w:pPr>
      <w:rPr>
        <w:rFonts w:ascii="Courier New" w:hAnsi="Courier New" w:cs="Courier New" w:hint="default"/>
      </w:rPr>
    </w:lvl>
    <w:lvl w:ilvl="8" w:tplc="10090005" w:tentative="1">
      <w:start w:val="1"/>
      <w:numFmt w:val="bullet"/>
      <w:lvlText w:val=""/>
      <w:lvlJc w:val="left"/>
      <w:pPr>
        <w:ind w:left="10440" w:hanging="360"/>
      </w:pPr>
      <w:rPr>
        <w:rFonts w:ascii="Wingdings" w:hAnsi="Wingdings" w:hint="default"/>
      </w:rPr>
    </w:lvl>
  </w:abstractNum>
  <w:abstractNum w:abstractNumId="7" w15:restartNumberingAfterBreak="0">
    <w:nsid w:val="3788278E"/>
    <w:multiLevelType w:val="hybridMultilevel"/>
    <w:tmpl w:val="92DEF70C"/>
    <w:lvl w:ilvl="0" w:tplc="4802FAC8">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38926742"/>
    <w:multiLevelType w:val="hybridMultilevel"/>
    <w:tmpl w:val="2616817C"/>
    <w:lvl w:ilvl="0" w:tplc="E6D2AC70">
      <w:start w:val="1"/>
      <w:numFmt w:val="lowerRoman"/>
      <w:lvlText w:val="%1.)"/>
      <w:lvlJc w:val="left"/>
      <w:pPr>
        <w:ind w:left="1800" w:hanging="720"/>
      </w:pPr>
      <w:rPr>
        <w:rFonts w:ascii="Times New Roman" w:eastAsiaTheme="minorHAnsi" w:hAnsi="Times New Roman" w:cs="Times New Roman"/>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9" w15:restartNumberingAfterBreak="0">
    <w:nsid w:val="43F02122"/>
    <w:multiLevelType w:val="hybridMultilevel"/>
    <w:tmpl w:val="DED2B2AC"/>
    <w:lvl w:ilvl="0" w:tplc="46CE99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C83F87"/>
    <w:multiLevelType w:val="hybridMultilevel"/>
    <w:tmpl w:val="7EAC15B2"/>
    <w:lvl w:ilvl="0" w:tplc="CD50FFF8">
      <w:start w:val="13"/>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EED6A38"/>
    <w:multiLevelType w:val="multilevel"/>
    <w:tmpl w:val="8E7003B2"/>
    <w:styleLink w:val="JudgmentParagraphs"/>
    <w:lvl w:ilvl="0">
      <w:start w:val="1"/>
      <w:numFmt w:val="decimal"/>
      <w:lvlText w:val="[%1]"/>
      <w:lvlJc w:val="left"/>
      <w:pPr>
        <w:ind w:left="0" w:firstLine="0"/>
      </w:pPr>
      <w:rPr>
        <w:rFonts w:ascii="Times New Roman" w:hAnsi="Times New Roman" w:hint="default"/>
        <w:sz w:val="28"/>
      </w:rPr>
    </w:lvl>
    <w:lvl w:ilvl="1">
      <w:start w:val="1"/>
      <w:numFmt w:val="none"/>
      <w:lvlText w:val="%2"/>
      <w:lvlJc w:val="left"/>
      <w:pPr>
        <w:ind w:left="720" w:hanging="720"/>
      </w:pPr>
      <w:rPr>
        <w:rFonts w:ascii="Times New Roman" w:hAnsi="Times New Roman" w:hint="default"/>
        <w:sz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 w15:restartNumberingAfterBreak="0">
    <w:nsid w:val="6F32151D"/>
    <w:multiLevelType w:val="hybridMultilevel"/>
    <w:tmpl w:val="8AB4B00A"/>
    <w:lvl w:ilvl="0" w:tplc="045A4286">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3" w15:restartNumberingAfterBreak="0">
    <w:nsid w:val="7FBB057D"/>
    <w:multiLevelType w:val="hybridMultilevel"/>
    <w:tmpl w:val="47FACBB0"/>
    <w:lvl w:ilvl="0" w:tplc="10090019">
      <w:start w:val="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60783596">
    <w:abstractNumId w:val="4"/>
  </w:num>
  <w:num w:numId="2" w16cid:durableId="1652446112">
    <w:abstractNumId w:val="9"/>
  </w:num>
  <w:num w:numId="3" w16cid:durableId="1134059621">
    <w:abstractNumId w:val="3"/>
  </w:num>
  <w:num w:numId="4" w16cid:durableId="348796652">
    <w:abstractNumId w:val="0"/>
  </w:num>
  <w:num w:numId="5" w16cid:durableId="1595896539">
    <w:abstractNumId w:val="12"/>
  </w:num>
  <w:num w:numId="6" w16cid:durableId="95752768">
    <w:abstractNumId w:val="2"/>
  </w:num>
  <w:num w:numId="7" w16cid:durableId="1521359273">
    <w:abstractNumId w:val="11"/>
  </w:num>
  <w:num w:numId="8" w16cid:durableId="1998336115">
    <w:abstractNumId w:val="5"/>
  </w:num>
  <w:num w:numId="9" w16cid:durableId="945967506">
    <w:abstractNumId w:val="1"/>
  </w:num>
  <w:num w:numId="10" w16cid:durableId="463893621">
    <w:abstractNumId w:val="13"/>
  </w:num>
  <w:num w:numId="11" w16cid:durableId="650208658">
    <w:abstractNumId w:val="10"/>
  </w:num>
  <w:num w:numId="12" w16cid:durableId="1676032489">
    <w:abstractNumId w:val="6"/>
  </w:num>
  <w:num w:numId="13" w16cid:durableId="253825248">
    <w:abstractNumId w:val="7"/>
  </w:num>
  <w:num w:numId="14" w16cid:durableId="2437605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796"/>
    <w:rsid w:val="00007445"/>
    <w:rsid w:val="00012446"/>
    <w:rsid w:val="000130A1"/>
    <w:rsid w:val="00015FE7"/>
    <w:rsid w:val="0001662A"/>
    <w:rsid w:val="000167DE"/>
    <w:rsid w:val="00021328"/>
    <w:rsid w:val="00022B5A"/>
    <w:rsid w:val="000306FA"/>
    <w:rsid w:val="00033A3B"/>
    <w:rsid w:val="00037008"/>
    <w:rsid w:val="00040541"/>
    <w:rsid w:val="000405B3"/>
    <w:rsid w:val="00043034"/>
    <w:rsid w:val="00046580"/>
    <w:rsid w:val="00046640"/>
    <w:rsid w:val="00046E66"/>
    <w:rsid w:val="00050DF3"/>
    <w:rsid w:val="00050F04"/>
    <w:rsid w:val="00051A48"/>
    <w:rsid w:val="00052183"/>
    <w:rsid w:val="00055520"/>
    <w:rsid w:val="00062775"/>
    <w:rsid w:val="00062BBD"/>
    <w:rsid w:val="000661A6"/>
    <w:rsid w:val="00074125"/>
    <w:rsid w:val="00076F59"/>
    <w:rsid w:val="000812FA"/>
    <w:rsid w:val="000828A0"/>
    <w:rsid w:val="00083785"/>
    <w:rsid w:val="00084789"/>
    <w:rsid w:val="000855BD"/>
    <w:rsid w:val="000867DC"/>
    <w:rsid w:val="00086E43"/>
    <w:rsid w:val="00093E6A"/>
    <w:rsid w:val="00095C22"/>
    <w:rsid w:val="0009603C"/>
    <w:rsid w:val="00097C28"/>
    <w:rsid w:val="000A29EC"/>
    <w:rsid w:val="000A2E42"/>
    <w:rsid w:val="000B0A08"/>
    <w:rsid w:val="000B43D5"/>
    <w:rsid w:val="000B4ED7"/>
    <w:rsid w:val="000B77A2"/>
    <w:rsid w:val="000C281B"/>
    <w:rsid w:val="000C5C2E"/>
    <w:rsid w:val="000C5D46"/>
    <w:rsid w:val="000D245C"/>
    <w:rsid w:val="000D4E5D"/>
    <w:rsid w:val="000D7CB3"/>
    <w:rsid w:val="000E0EA6"/>
    <w:rsid w:val="000E1264"/>
    <w:rsid w:val="000E2005"/>
    <w:rsid w:val="000E54C3"/>
    <w:rsid w:val="000E5586"/>
    <w:rsid w:val="000F1248"/>
    <w:rsid w:val="000F27AF"/>
    <w:rsid w:val="000F3331"/>
    <w:rsid w:val="000F452E"/>
    <w:rsid w:val="000F53DB"/>
    <w:rsid w:val="000F6B3E"/>
    <w:rsid w:val="001007EE"/>
    <w:rsid w:val="00103A0F"/>
    <w:rsid w:val="00104E60"/>
    <w:rsid w:val="00113582"/>
    <w:rsid w:val="001202E6"/>
    <w:rsid w:val="00131C82"/>
    <w:rsid w:val="00134B17"/>
    <w:rsid w:val="00141E20"/>
    <w:rsid w:val="00146F27"/>
    <w:rsid w:val="001531DA"/>
    <w:rsid w:val="001532F0"/>
    <w:rsid w:val="0015334A"/>
    <w:rsid w:val="001544CB"/>
    <w:rsid w:val="0015525A"/>
    <w:rsid w:val="0015734F"/>
    <w:rsid w:val="0016387A"/>
    <w:rsid w:val="001659DC"/>
    <w:rsid w:val="001710B0"/>
    <w:rsid w:val="00172EB7"/>
    <w:rsid w:val="001741F4"/>
    <w:rsid w:val="00181B44"/>
    <w:rsid w:val="0018476C"/>
    <w:rsid w:val="00184EB0"/>
    <w:rsid w:val="001851C2"/>
    <w:rsid w:val="001872B4"/>
    <w:rsid w:val="00187CF8"/>
    <w:rsid w:val="0019083C"/>
    <w:rsid w:val="00190A52"/>
    <w:rsid w:val="00190F56"/>
    <w:rsid w:val="00191C11"/>
    <w:rsid w:val="001922F6"/>
    <w:rsid w:val="00195058"/>
    <w:rsid w:val="001978D5"/>
    <w:rsid w:val="001A000F"/>
    <w:rsid w:val="001A139F"/>
    <w:rsid w:val="001A13C6"/>
    <w:rsid w:val="001A3D36"/>
    <w:rsid w:val="001A46CD"/>
    <w:rsid w:val="001A59AD"/>
    <w:rsid w:val="001A5F6C"/>
    <w:rsid w:val="001A6B3A"/>
    <w:rsid w:val="001B1648"/>
    <w:rsid w:val="001B386B"/>
    <w:rsid w:val="001C2A58"/>
    <w:rsid w:val="001C366A"/>
    <w:rsid w:val="001C4273"/>
    <w:rsid w:val="001C5291"/>
    <w:rsid w:val="001C737F"/>
    <w:rsid w:val="001C7DF2"/>
    <w:rsid w:val="001D3C73"/>
    <w:rsid w:val="001E0F8F"/>
    <w:rsid w:val="001E7E18"/>
    <w:rsid w:val="001F167D"/>
    <w:rsid w:val="001F5970"/>
    <w:rsid w:val="001F5FA3"/>
    <w:rsid w:val="0020023C"/>
    <w:rsid w:val="0020469C"/>
    <w:rsid w:val="00204724"/>
    <w:rsid w:val="00205185"/>
    <w:rsid w:val="0020608E"/>
    <w:rsid w:val="00210110"/>
    <w:rsid w:val="0021042C"/>
    <w:rsid w:val="002147A3"/>
    <w:rsid w:val="00215148"/>
    <w:rsid w:val="002164CC"/>
    <w:rsid w:val="002175EB"/>
    <w:rsid w:val="00220303"/>
    <w:rsid w:val="00222D68"/>
    <w:rsid w:val="002237C0"/>
    <w:rsid w:val="0022447D"/>
    <w:rsid w:val="00225F2C"/>
    <w:rsid w:val="00227C29"/>
    <w:rsid w:val="00227DE8"/>
    <w:rsid w:val="0023092B"/>
    <w:rsid w:val="00230CE6"/>
    <w:rsid w:val="00231C67"/>
    <w:rsid w:val="00231D38"/>
    <w:rsid w:val="002339BB"/>
    <w:rsid w:val="00236FE4"/>
    <w:rsid w:val="0023769A"/>
    <w:rsid w:val="0024264A"/>
    <w:rsid w:val="0024355F"/>
    <w:rsid w:val="0025131E"/>
    <w:rsid w:val="00252D6B"/>
    <w:rsid w:val="002530F8"/>
    <w:rsid w:val="0025477A"/>
    <w:rsid w:val="00254BE9"/>
    <w:rsid w:val="0025601C"/>
    <w:rsid w:val="002578B7"/>
    <w:rsid w:val="00257C0B"/>
    <w:rsid w:val="00261C52"/>
    <w:rsid w:val="00267A78"/>
    <w:rsid w:val="00270EA9"/>
    <w:rsid w:val="002727C1"/>
    <w:rsid w:val="0027280E"/>
    <w:rsid w:val="00276924"/>
    <w:rsid w:val="00277C87"/>
    <w:rsid w:val="0028108D"/>
    <w:rsid w:val="00283E5E"/>
    <w:rsid w:val="00285F77"/>
    <w:rsid w:val="00291531"/>
    <w:rsid w:val="002928E9"/>
    <w:rsid w:val="00297423"/>
    <w:rsid w:val="002A5536"/>
    <w:rsid w:val="002A6769"/>
    <w:rsid w:val="002A72B8"/>
    <w:rsid w:val="002A78AA"/>
    <w:rsid w:val="002B0DFA"/>
    <w:rsid w:val="002B3663"/>
    <w:rsid w:val="002B3D92"/>
    <w:rsid w:val="002B4883"/>
    <w:rsid w:val="002B531C"/>
    <w:rsid w:val="002B54B0"/>
    <w:rsid w:val="002B6B78"/>
    <w:rsid w:val="002C4293"/>
    <w:rsid w:val="002C42AA"/>
    <w:rsid w:val="002C475E"/>
    <w:rsid w:val="002D353A"/>
    <w:rsid w:val="002D49F8"/>
    <w:rsid w:val="002D5038"/>
    <w:rsid w:val="002D5819"/>
    <w:rsid w:val="002D67BB"/>
    <w:rsid w:val="002E2169"/>
    <w:rsid w:val="002E7E84"/>
    <w:rsid w:val="002F0330"/>
    <w:rsid w:val="002F03B8"/>
    <w:rsid w:val="002F20F8"/>
    <w:rsid w:val="002F5823"/>
    <w:rsid w:val="002F5C47"/>
    <w:rsid w:val="0030018C"/>
    <w:rsid w:val="00300B0A"/>
    <w:rsid w:val="003014CB"/>
    <w:rsid w:val="003046D6"/>
    <w:rsid w:val="003072B5"/>
    <w:rsid w:val="003079CA"/>
    <w:rsid w:val="003102B1"/>
    <w:rsid w:val="00312F1A"/>
    <w:rsid w:val="00317E6E"/>
    <w:rsid w:val="0032013A"/>
    <w:rsid w:val="00321645"/>
    <w:rsid w:val="00322FC9"/>
    <w:rsid w:val="003238C9"/>
    <w:rsid w:val="00330CC0"/>
    <w:rsid w:val="00331229"/>
    <w:rsid w:val="00331628"/>
    <w:rsid w:val="00332D2D"/>
    <w:rsid w:val="003348C7"/>
    <w:rsid w:val="00340241"/>
    <w:rsid w:val="003435C3"/>
    <w:rsid w:val="003440D5"/>
    <w:rsid w:val="00355D2A"/>
    <w:rsid w:val="00357654"/>
    <w:rsid w:val="00357BE4"/>
    <w:rsid w:val="0036347F"/>
    <w:rsid w:val="00363A30"/>
    <w:rsid w:val="00364869"/>
    <w:rsid w:val="0036592B"/>
    <w:rsid w:val="00367516"/>
    <w:rsid w:val="00371E14"/>
    <w:rsid w:val="00375011"/>
    <w:rsid w:val="003751A0"/>
    <w:rsid w:val="00377952"/>
    <w:rsid w:val="00383DF7"/>
    <w:rsid w:val="00384335"/>
    <w:rsid w:val="00385394"/>
    <w:rsid w:val="003866C7"/>
    <w:rsid w:val="00386E33"/>
    <w:rsid w:val="00391718"/>
    <w:rsid w:val="003926E0"/>
    <w:rsid w:val="00392E7D"/>
    <w:rsid w:val="0039531B"/>
    <w:rsid w:val="00395DB3"/>
    <w:rsid w:val="00396C73"/>
    <w:rsid w:val="00397368"/>
    <w:rsid w:val="003A07F3"/>
    <w:rsid w:val="003A4365"/>
    <w:rsid w:val="003A5DE7"/>
    <w:rsid w:val="003C3C43"/>
    <w:rsid w:val="003C7F71"/>
    <w:rsid w:val="003D3E8C"/>
    <w:rsid w:val="003D3FBD"/>
    <w:rsid w:val="003D7142"/>
    <w:rsid w:val="003E009A"/>
    <w:rsid w:val="003E0183"/>
    <w:rsid w:val="003E2864"/>
    <w:rsid w:val="003E38C8"/>
    <w:rsid w:val="003E5F2C"/>
    <w:rsid w:val="003E6EB1"/>
    <w:rsid w:val="003F2B8B"/>
    <w:rsid w:val="003F2DF6"/>
    <w:rsid w:val="003F68D1"/>
    <w:rsid w:val="003F6A9F"/>
    <w:rsid w:val="003F71C3"/>
    <w:rsid w:val="003F7C12"/>
    <w:rsid w:val="003F7C3F"/>
    <w:rsid w:val="00402E56"/>
    <w:rsid w:val="00405423"/>
    <w:rsid w:val="004062CD"/>
    <w:rsid w:val="0040790F"/>
    <w:rsid w:val="00413034"/>
    <w:rsid w:val="004152F9"/>
    <w:rsid w:val="00416633"/>
    <w:rsid w:val="00416F25"/>
    <w:rsid w:val="00420C09"/>
    <w:rsid w:val="0042411A"/>
    <w:rsid w:val="004276E4"/>
    <w:rsid w:val="00432E31"/>
    <w:rsid w:val="004408D8"/>
    <w:rsid w:val="00441D55"/>
    <w:rsid w:val="0044389D"/>
    <w:rsid w:val="00445645"/>
    <w:rsid w:val="00460360"/>
    <w:rsid w:val="004630A1"/>
    <w:rsid w:val="0046395B"/>
    <w:rsid w:val="0046683C"/>
    <w:rsid w:val="00472D7A"/>
    <w:rsid w:val="00477B77"/>
    <w:rsid w:val="00483EB4"/>
    <w:rsid w:val="004850AC"/>
    <w:rsid w:val="004858B8"/>
    <w:rsid w:val="00485D66"/>
    <w:rsid w:val="0048602D"/>
    <w:rsid w:val="004878C3"/>
    <w:rsid w:val="00491301"/>
    <w:rsid w:val="004914F0"/>
    <w:rsid w:val="00494343"/>
    <w:rsid w:val="00497CD2"/>
    <w:rsid w:val="004A000E"/>
    <w:rsid w:val="004A01B1"/>
    <w:rsid w:val="004A23A7"/>
    <w:rsid w:val="004A2925"/>
    <w:rsid w:val="004A7C89"/>
    <w:rsid w:val="004B1F6D"/>
    <w:rsid w:val="004B20F7"/>
    <w:rsid w:val="004B401A"/>
    <w:rsid w:val="004B668B"/>
    <w:rsid w:val="004B721E"/>
    <w:rsid w:val="004C50E6"/>
    <w:rsid w:val="004C6D25"/>
    <w:rsid w:val="004D1A3D"/>
    <w:rsid w:val="004D3F9A"/>
    <w:rsid w:val="004D7782"/>
    <w:rsid w:val="004E6D48"/>
    <w:rsid w:val="004F6D70"/>
    <w:rsid w:val="00500649"/>
    <w:rsid w:val="00500AC3"/>
    <w:rsid w:val="00500E2D"/>
    <w:rsid w:val="00505268"/>
    <w:rsid w:val="005058E7"/>
    <w:rsid w:val="00507547"/>
    <w:rsid w:val="00510FFE"/>
    <w:rsid w:val="00512123"/>
    <w:rsid w:val="00524C4C"/>
    <w:rsid w:val="0052562A"/>
    <w:rsid w:val="00525709"/>
    <w:rsid w:val="00533F06"/>
    <w:rsid w:val="00540080"/>
    <w:rsid w:val="00541035"/>
    <w:rsid w:val="00543019"/>
    <w:rsid w:val="00545B31"/>
    <w:rsid w:val="00545F4A"/>
    <w:rsid w:val="00546254"/>
    <w:rsid w:val="00547535"/>
    <w:rsid w:val="00560835"/>
    <w:rsid w:val="0056205D"/>
    <w:rsid w:val="00562640"/>
    <w:rsid w:val="0056439B"/>
    <w:rsid w:val="00565118"/>
    <w:rsid w:val="00567709"/>
    <w:rsid w:val="00572126"/>
    <w:rsid w:val="00572260"/>
    <w:rsid w:val="00575D48"/>
    <w:rsid w:val="00581F5B"/>
    <w:rsid w:val="00586C8D"/>
    <w:rsid w:val="00586E78"/>
    <w:rsid w:val="0059167F"/>
    <w:rsid w:val="005916DE"/>
    <w:rsid w:val="00593B93"/>
    <w:rsid w:val="00593FD2"/>
    <w:rsid w:val="0059438B"/>
    <w:rsid w:val="0059490F"/>
    <w:rsid w:val="00595685"/>
    <w:rsid w:val="0059593E"/>
    <w:rsid w:val="005A0C35"/>
    <w:rsid w:val="005A163E"/>
    <w:rsid w:val="005A2E63"/>
    <w:rsid w:val="005A4019"/>
    <w:rsid w:val="005A450A"/>
    <w:rsid w:val="005A501A"/>
    <w:rsid w:val="005B2989"/>
    <w:rsid w:val="005B322A"/>
    <w:rsid w:val="005B5B19"/>
    <w:rsid w:val="005B6973"/>
    <w:rsid w:val="005C15A9"/>
    <w:rsid w:val="005C1823"/>
    <w:rsid w:val="005C4E8E"/>
    <w:rsid w:val="005D132F"/>
    <w:rsid w:val="005D1EA2"/>
    <w:rsid w:val="005D256F"/>
    <w:rsid w:val="005D381C"/>
    <w:rsid w:val="005E0236"/>
    <w:rsid w:val="005E718E"/>
    <w:rsid w:val="005E7488"/>
    <w:rsid w:val="005F09DD"/>
    <w:rsid w:val="005F3948"/>
    <w:rsid w:val="005F5215"/>
    <w:rsid w:val="005F5463"/>
    <w:rsid w:val="005F6050"/>
    <w:rsid w:val="005F627D"/>
    <w:rsid w:val="005F6C2C"/>
    <w:rsid w:val="006001A7"/>
    <w:rsid w:val="00601592"/>
    <w:rsid w:val="00603624"/>
    <w:rsid w:val="00605608"/>
    <w:rsid w:val="00611F1C"/>
    <w:rsid w:val="006135E4"/>
    <w:rsid w:val="00613615"/>
    <w:rsid w:val="00617313"/>
    <w:rsid w:val="0062282E"/>
    <w:rsid w:val="00625260"/>
    <w:rsid w:val="00631A00"/>
    <w:rsid w:val="00635EA1"/>
    <w:rsid w:val="006429AC"/>
    <w:rsid w:val="00643040"/>
    <w:rsid w:val="00645134"/>
    <w:rsid w:val="00645D0C"/>
    <w:rsid w:val="00646673"/>
    <w:rsid w:val="006473E6"/>
    <w:rsid w:val="00647434"/>
    <w:rsid w:val="006531B7"/>
    <w:rsid w:val="00654E34"/>
    <w:rsid w:val="00655C03"/>
    <w:rsid w:val="0065626E"/>
    <w:rsid w:val="006614EF"/>
    <w:rsid w:val="0066548F"/>
    <w:rsid w:val="00677265"/>
    <w:rsid w:val="006827AE"/>
    <w:rsid w:val="006853B0"/>
    <w:rsid w:val="006865F3"/>
    <w:rsid w:val="006872B7"/>
    <w:rsid w:val="006877C8"/>
    <w:rsid w:val="00691D59"/>
    <w:rsid w:val="00691DB4"/>
    <w:rsid w:val="00694B2D"/>
    <w:rsid w:val="006A05B9"/>
    <w:rsid w:val="006A4013"/>
    <w:rsid w:val="006A4120"/>
    <w:rsid w:val="006A578B"/>
    <w:rsid w:val="006A59F3"/>
    <w:rsid w:val="006B0C3C"/>
    <w:rsid w:val="006B1111"/>
    <w:rsid w:val="006B595B"/>
    <w:rsid w:val="006B762A"/>
    <w:rsid w:val="006C0CBE"/>
    <w:rsid w:val="006C1E7F"/>
    <w:rsid w:val="006C4A40"/>
    <w:rsid w:val="006C54A5"/>
    <w:rsid w:val="006D1E2A"/>
    <w:rsid w:val="006D27D3"/>
    <w:rsid w:val="006D338B"/>
    <w:rsid w:val="006D4AAD"/>
    <w:rsid w:val="006E0471"/>
    <w:rsid w:val="006E369C"/>
    <w:rsid w:val="006E3BE7"/>
    <w:rsid w:val="006E4DD2"/>
    <w:rsid w:val="006E4F50"/>
    <w:rsid w:val="006E66CC"/>
    <w:rsid w:val="006F14DC"/>
    <w:rsid w:val="006F4CBA"/>
    <w:rsid w:val="006F5688"/>
    <w:rsid w:val="006F767C"/>
    <w:rsid w:val="007003B3"/>
    <w:rsid w:val="00701994"/>
    <w:rsid w:val="00701B84"/>
    <w:rsid w:val="00702052"/>
    <w:rsid w:val="007027E9"/>
    <w:rsid w:val="00703BC4"/>
    <w:rsid w:val="00712737"/>
    <w:rsid w:val="00716217"/>
    <w:rsid w:val="0071768C"/>
    <w:rsid w:val="00717AFF"/>
    <w:rsid w:val="00726A21"/>
    <w:rsid w:val="00726FCC"/>
    <w:rsid w:val="0072708B"/>
    <w:rsid w:val="00727865"/>
    <w:rsid w:val="00727CDF"/>
    <w:rsid w:val="007300FD"/>
    <w:rsid w:val="00732418"/>
    <w:rsid w:val="00733ED1"/>
    <w:rsid w:val="0073781A"/>
    <w:rsid w:val="0074006E"/>
    <w:rsid w:val="007404D1"/>
    <w:rsid w:val="0074421F"/>
    <w:rsid w:val="00746305"/>
    <w:rsid w:val="00751503"/>
    <w:rsid w:val="00752177"/>
    <w:rsid w:val="0075242A"/>
    <w:rsid w:val="007606D4"/>
    <w:rsid w:val="00762714"/>
    <w:rsid w:val="00763C31"/>
    <w:rsid w:val="00765A14"/>
    <w:rsid w:val="00766D5C"/>
    <w:rsid w:val="00766DE1"/>
    <w:rsid w:val="00771DB2"/>
    <w:rsid w:val="0077725C"/>
    <w:rsid w:val="00777B6B"/>
    <w:rsid w:val="007806D1"/>
    <w:rsid w:val="00784254"/>
    <w:rsid w:val="00784765"/>
    <w:rsid w:val="0078523D"/>
    <w:rsid w:val="0078702E"/>
    <w:rsid w:val="007920A6"/>
    <w:rsid w:val="00793C1E"/>
    <w:rsid w:val="0079479E"/>
    <w:rsid w:val="007A4281"/>
    <w:rsid w:val="007A4938"/>
    <w:rsid w:val="007C24CF"/>
    <w:rsid w:val="007C6E67"/>
    <w:rsid w:val="007D08EE"/>
    <w:rsid w:val="007D211B"/>
    <w:rsid w:val="007D3455"/>
    <w:rsid w:val="007D38AF"/>
    <w:rsid w:val="007D6303"/>
    <w:rsid w:val="007D6B96"/>
    <w:rsid w:val="007E3388"/>
    <w:rsid w:val="007E3E04"/>
    <w:rsid w:val="007E4421"/>
    <w:rsid w:val="007E51DD"/>
    <w:rsid w:val="007E630F"/>
    <w:rsid w:val="007F5024"/>
    <w:rsid w:val="007F5C91"/>
    <w:rsid w:val="007F75C3"/>
    <w:rsid w:val="00800F2C"/>
    <w:rsid w:val="0080191C"/>
    <w:rsid w:val="0080233B"/>
    <w:rsid w:val="0080427D"/>
    <w:rsid w:val="008053D0"/>
    <w:rsid w:val="008123F0"/>
    <w:rsid w:val="00813F4D"/>
    <w:rsid w:val="008148FB"/>
    <w:rsid w:val="00817F04"/>
    <w:rsid w:val="008225D9"/>
    <w:rsid w:val="008228D4"/>
    <w:rsid w:val="00823094"/>
    <w:rsid w:val="0082437E"/>
    <w:rsid w:val="00826DEC"/>
    <w:rsid w:val="00827BB2"/>
    <w:rsid w:val="00827C9B"/>
    <w:rsid w:val="008373A6"/>
    <w:rsid w:val="00841D44"/>
    <w:rsid w:val="00843FA1"/>
    <w:rsid w:val="00844375"/>
    <w:rsid w:val="008455AA"/>
    <w:rsid w:val="00845E08"/>
    <w:rsid w:val="00851271"/>
    <w:rsid w:val="0085209B"/>
    <w:rsid w:val="00852397"/>
    <w:rsid w:val="00852915"/>
    <w:rsid w:val="00854304"/>
    <w:rsid w:val="00863C08"/>
    <w:rsid w:val="00865E42"/>
    <w:rsid w:val="00866B24"/>
    <w:rsid w:val="00873DA9"/>
    <w:rsid w:val="00880848"/>
    <w:rsid w:val="008833EE"/>
    <w:rsid w:val="0088706E"/>
    <w:rsid w:val="00891342"/>
    <w:rsid w:val="00892BC8"/>
    <w:rsid w:val="008971A1"/>
    <w:rsid w:val="00897FDF"/>
    <w:rsid w:val="008A2089"/>
    <w:rsid w:val="008A2E0D"/>
    <w:rsid w:val="008A7E35"/>
    <w:rsid w:val="008B20AD"/>
    <w:rsid w:val="008B27DC"/>
    <w:rsid w:val="008B54BD"/>
    <w:rsid w:val="008B6629"/>
    <w:rsid w:val="008B734D"/>
    <w:rsid w:val="008C09DB"/>
    <w:rsid w:val="008C4963"/>
    <w:rsid w:val="008C4B30"/>
    <w:rsid w:val="008C5653"/>
    <w:rsid w:val="008D28E1"/>
    <w:rsid w:val="008E2593"/>
    <w:rsid w:val="008F03CD"/>
    <w:rsid w:val="008F7720"/>
    <w:rsid w:val="0090190B"/>
    <w:rsid w:val="00904AB9"/>
    <w:rsid w:val="00910B0D"/>
    <w:rsid w:val="009154BC"/>
    <w:rsid w:val="0091755E"/>
    <w:rsid w:val="009176B4"/>
    <w:rsid w:val="00917703"/>
    <w:rsid w:val="00917C87"/>
    <w:rsid w:val="009306EF"/>
    <w:rsid w:val="0093308E"/>
    <w:rsid w:val="00933367"/>
    <w:rsid w:val="0093399A"/>
    <w:rsid w:val="00933DB5"/>
    <w:rsid w:val="00935EDC"/>
    <w:rsid w:val="00936A90"/>
    <w:rsid w:val="009375E0"/>
    <w:rsid w:val="00940A9A"/>
    <w:rsid w:val="00943943"/>
    <w:rsid w:val="009441AB"/>
    <w:rsid w:val="0095379F"/>
    <w:rsid w:val="009562A2"/>
    <w:rsid w:val="00960668"/>
    <w:rsid w:val="00960B68"/>
    <w:rsid w:val="00964A4E"/>
    <w:rsid w:val="009661CF"/>
    <w:rsid w:val="0096699F"/>
    <w:rsid w:val="00966F9C"/>
    <w:rsid w:val="00967D4E"/>
    <w:rsid w:val="00973729"/>
    <w:rsid w:val="00974606"/>
    <w:rsid w:val="0097464B"/>
    <w:rsid w:val="009758AF"/>
    <w:rsid w:val="00976A6B"/>
    <w:rsid w:val="0098023D"/>
    <w:rsid w:val="00982138"/>
    <w:rsid w:val="00984BC3"/>
    <w:rsid w:val="009855C6"/>
    <w:rsid w:val="00985A3A"/>
    <w:rsid w:val="0099065A"/>
    <w:rsid w:val="009933BA"/>
    <w:rsid w:val="00993D4F"/>
    <w:rsid w:val="00995A67"/>
    <w:rsid w:val="00997D53"/>
    <w:rsid w:val="009A0FC0"/>
    <w:rsid w:val="009A1A08"/>
    <w:rsid w:val="009A1D24"/>
    <w:rsid w:val="009A2467"/>
    <w:rsid w:val="009A7539"/>
    <w:rsid w:val="009B1809"/>
    <w:rsid w:val="009B46DF"/>
    <w:rsid w:val="009C2CC4"/>
    <w:rsid w:val="009C3AD2"/>
    <w:rsid w:val="009C474B"/>
    <w:rsid w:val="009C68A9"/>
    <w:rsid w:val="009C781B"/>
    <w:rsid w:val="009C7E73"/>
    <w:rsid w:val="009D07A5"/>
    <w:rsid w:val="009D1BEE"/>
    <w:rsid w:val="009D1D88"/>
    <w:rsid w:val="009D292E"/>
    <w:rsid w:val="009D2B19"/>
    <w:rsid w:val="009D30C1"/>
    <w:rsid w:val="009D3855"/>
    <w:rsid w:val="009D459B"/>
    <w:rsid w:val="009D5938"/>
    <w:rsid w:val="009D6BDA"/>
    <w:rsid w:val="009D6E9B"/>
    <w:rsid w:val="009E22C0"/>
    <w:rsid w:val="009E3269"/>
    <w:rsid w:val="009E3496"/>
    <w:rsid w:val="009E465B"/>
    <w:rsid w:val="009E7F6E"/>
    <w:rsid w:val="009F0CB0"/>
    <w:rsid w:val="009F0DFC"/>
    <w:rsid w:val="009F1AAB"/>
    <w:rsid w:val="009F1F06"/>
    <w:rsid w:val="00A01250"/>
    <w:rsid w:val="00A05C18"/>
    <w:rsid w:val="00A06F57"/>
    <w:rsid w:val="00A07601"/>
    <w:rsid w:val="00A1379B"/>
    <w:rsid w:val="00A141CD"/>
    <w:rsid w:val="00A14444"/>
    <w:rsid w:val="00A20611"/>
    <w:rsid w:val="00A225C4"/>
    <w:rsid w:val="00A23C5E"/>
    <w:rsid w:val="00A2468C"/>
    <w:rsid w:val="00A25187"/>
    <w:rsid w:val="00A3583C"/>
    <w:rsid w:val="00A35EAA"/>
    <w:rsid w:val="00A367C0"/>
    <w:rsid w:val="00A3693F"/>
    <w:rsid w:val="00A37FA6"/>
    <w:rsid w:val="00A43B7E"/>
    <w:rsid w:val="00A46DED"/>
    <w:rsid w:val="00A5058E"/>
    <w:rsid w:val="00A5478F"/>
    <w:rsid w:val="00A555B0"/>
    <w:rsid w:val="00A56F3D"/>
    <w:rsid w:val="00A67726"/>
    <w:rsid w:val="00A67F3A"/>
    <w:rsid w:val="00A70C8F"/>
    <w:rsid w:val="00A72197"/>
    <w:rsid w:val="00A74695"/>
    <w:rsid w:val="00A75356"/>
    <w:rsid w:val="00A758A7"/>
    <w:rsid w:val="00A919DA"/>
    <w:rsid w:val="00A91FA0"/>
    <w:rsid w:val="00A92FA8"/>
    <w:rsid w:val="00A9397B"/>
    <w:rsid w:val="00A95A45"/>
    <w:rsid w:val="00A95C81"/>
    <w:rsid w:val="00A95DF7"/>
    <w:rsid w:val="00A96823"/>
    <w:rsid w:val="00AA0579"/>
    <w:rsid w:val="00AA1341"/>
    <w:rsid w:val="00AA34BC"/>
    <w:rsid w:val="00AA4A2F"/>
    <w:rsid w:val="00AA522B"/>
    <w:rsid w:val="00AC38D1"/>
    <w:rsid w:val="00AC3CC3"/>
    <w:rsid w:val="00AC60CC"/>
    <w:rsid w:val="00AD0B8F"/>
    <w:rsid w:val="00AD1658"/>
    <w:rsid w:val="00AD6001"/>
    <w:rsid w:val="00AE0E59"/>
    <w:rsid w:val="00AE1D93"/>
    <w:rsid w:val="00AE3244"/>
    <w:rsid w:val="00AF21EF"/>
    <w:rsid w:val="00AF39B8"/>
    <w:rsid w:val="00AF3DE4"/>
    <w:rsid w:val="00B00471"/>
    <w:rsid w:val="00B025BC"/>
    <w:rsid w:val="00B02A96"/>
    <w:rsid w:val="00B039B3"/>
    <w:rsid w:val="00B0509D"/>
    <w:rsid w:val="00B11A8F"/>
    <w:rsid w:val="00B12AD3"/>
    <w:rsid w:val="00B13BB3"/>
    <w:rsid w:val="00B1687F"/>
    <w:rsid w:val="00B169FC"/>
    <w:rsid w:val="00B17B88"/>
    <w:rsid w:val="00B2130B"/>
    <w:rsid w:val="00B22232"/>
    <w:rsid w:val="00B253A7"/>
    <w:rsid w:val="00B318B4"/>
    <w:rsid w:val="00B36B29"/>
    <w:rsid w:val="00B37617"/>
    <w:rsid w:val="00B41B2F"/>
    <w:rsid w:val="00B44906"/>
    <w:rsid w:val="00B44C16"/>
    <w:rsid w:val="00B4750F"/>
    <w:rsid w:val="00B508F4"/>
    <w:rsid w:val="00B512D6"/>
    <w:rsid w:val="00B5140F"/>
    <w:rsid w:val="00B5359B"/>
    <w:rsid w:val="00B55AA6"/>
    <w:rsid w:val="00B61ADA"/>
    <w:rsid w:val="00B61E99"/>
    <w:rsid w:val="00B6743E"/>
    <w:rsid w:val="00B675EC"/>
    <w:rsid w:val="00B67810"/>
    <w:rsid w:val="00B70BB1"/>
    <w:rsid w:val="00B81C53"/>
    <w:rsid w:val="00B86B7B"/>
    <w:rsid w:val="00B90669"/>
    <w:rsid w:val="00B92341"/>
    <w:rsid w:val="00B94F8E"/>
    <w:rsid w:val="00B96506"/>
    <w:rsid w:val="00BA0B62"/>
    <w:rsid w:val="00BA13B7"/>
    <w:rsid w:val="00BA1884"/>
    <w:rsid w:val="00BA3060"/>
    <w:rsid w:val="00BB396F"/>
    <w:rsid w:val="00BC04C4"/>
    <w:rsid w:val="00BC2418"/>
    <w:rsid w:val="00BC260E"/>
    <w:rsid w:val="00BC4968"/>
    <w:rsid w:val="00BD2AE9"/>
    <w:rsid w:val="00BD2F1D"/>
    <w:rsid w:val="00BD457F"/>
    <w:rsid w:val="00BE00C6"/>
    <w:rsid w:val="00BE1B60"/>
    <w:rsid w:val="00BE3999"/>
    <w:rsid w:val="00BE5519"/>
    <w:rsid w:val="00BF0353"/>
    <w:rsid w:val="00BF0EF9"/>
    <w:rsid w:val="00BF20A1"/>
    <w:rsid w:val="00BF3211"/>
    <w:rsid w:val="00BF4911"/>
    <w:rsid w:val="00BF64A4"/>
    <w:rsid w:val="00C00A43"/>
    <w:rsid w:val="00C100F9"/>
    <w:rsid w:val="00C10CE8"/>
    <w:rsid w:val="00C112C7"/>
    <w:rsid w:val="00C11CF7"/>
    <w:rsid w:val="00C20A27"/>
    <w:rsid w:val="00C27F39"/>
    <w:rsid w:val="00C30142"/>
    <w:rsid w:val="00C302BE"/>
    <w:rsid w:val="00C309D9"/>
    <w:rsid w:val="00C34F63"/>
    <w:rsid w:val="00C37C67"/>
    <w:rsid w:val="00C40A73"/>
    <w:rsid w:val="00C44E0B"/>
    <w:rsid w:val="00C46193"/>
    <w:rsid w:val="00C46397"/>
    <w:rsid w:val="00C51DE8"/>
    <w:rsid w:val="00C52978"/>
    <w:rsid w:val="00C52BC6"/>
    <w:rsid w:val="00C562B8"/>
    <w:rsid w:val="00C6457B"/>
    <w:rsid w:val="00C65F56"/>
    <w:rsid w:val="00C6603F"/>
    <w:rsid w:val="00C75E07"/>
    <w:rsid w:val="00C819EF"/>
    <w:rsid w:val="00C838DD"/>
    <w:rsid w:val="00C83C46"/>
    <w:rsid w:val="00C83E1B"/>
    <w:rsid w:val="00C8553C"/>
    <w:rsid w:val="00C901AA"/>
    <w:rsid w:val="00C907D4"/>
    <w:rsid w:val="00C910BC"/>
    <w:rsid w:val="00C93CB9"/>
    <w:rsid w:val="00C9414E"/>
    <w:rsid w:val="00C94D14"/>
    <w:rsid w:val="00C95E59"/>
    <w:rsid w:val="00C976E0"/>
    <w:rsid w:val="00CA135F"/>
    <w:rsid w:val="00CA151A"/>
    <w:rsid w:val="00CA39FE"/>
    <w:rsid w:val="00CA462F"/>
    <w:rsid w:val="00CA5B02"/>
    <w:rsid w:val="00CA6926"/>
    <w:rsid w:val="00CA6F47"/>
    <w:rsid w:val="00CB031F"/>
    <w:rsid w:val="00CB08C3"/>
    <w:rsid w:val="00CB0A28"/>
    <w:rsid w:val="00CB33C1"/>
    <w:rsid w:val="00CB408D"/>
    <w:rsid w:val="00CB562B"/>
    <w:rsid w:val="00CB5A79"/>
    <w:rsid w:val="00CB6263"/>
    <w:rsid w:val="00CB6A13"/>
    <w:rsid w:val="00CB7691"/>
    <w:rsid w:val="00CC3507"/>
    <w:rsid w:val="00CC5637"/>
    <w:rsid w:val="00CC7D3E"/>
    <w:rsid w:val="00CD3832"/>
    <w:rsid w:val="00CD512A"/>
    <w:rsid w:val="00CD7814"/>
    <w:rsid w:val="00CE29E2"/>
    <w:rsid w:val="00CE3524"/>
    <w:rsid w:val="00CE60C9"/>
    <w:rsid w:val="00CE7053"/>
    <w:rsid w:val="00CF0662"/>
    <w:rsid w:val="00CF3132"/>
    <w:rsid w:val="00CF4260"/>
    <w:rsid w:val="00CF50C5"/>
    <w:rsid w:val="00CF5258"/>
    <w:rsid w:val="00CF5D66"/>
    <w:rsid w:val="00CF5DFF"/>
    <w:rsid w:val="00D00336"/>
    <w:rsid w:val="00D020DC"/>
    <w:rsid w:val="00D066C6"/>
    <w:rsid w:val="00D06D84"/>
    <w:rsid w:val="00D12A95"/>
    <w:rsid w:val="00D17905"/>
    <w:rsid w:val="00D214F3"/>
    <w:rsid w:val="00D21768"/>
    <w:rsid w:val="00D229FA"/>
    <w:rsid w:val="00D3200B"/>
    <w:rsid w:val="00D33809"/>
    <w:rsid w:val="00D36023"/>
    <w:rsid w:val="00D3694B"/>
    <w:rsid w:val="00D40059"/>
    <w:rsid w:val="00D418F1"/>
    <w:rsid w:val="00D43629"/>
    <w:rsid w:val="00D43681"/>
    <w:rsid w:val="00D44796"/>
    <w:rsid w:val="00D4592C"/>
    <w:rsid w:val="00D45961"/>
    <w:rsid w:val="00D463A8"/>
    <w:rsid w:val="00D50439"/>
    <w:rsid w:val="00D52281"/>
    <w:rsid w:val="00D52D50"/>
    <w:rsid w:val="00D56A43"/>
    <w:rsid w:val="00D65B3A"/>
    <w:rsid w:val="00D65F06"/>
    <w:rsid w:val="00D70FFA"/>
    <w:rsid w:val="00D71DDC"/>
    <w:rsid w:val="00D72076"/>
    <w:rsid w:val="00D72426"/>
    <w:rsid w:val="00D74233"/>
    <w:rsid w:val="00D74420"/>
    <w:rsid w:val="00D76B53"/>
    <w:rsid w:val="00D81C73"/>
    <w:rsid w:val="00D842ED"/>
    <w:rsid w:val="00D8451B"/>
    <w:rsid w:val="00D8508B"/>
    <w:rsid w:val="00D85577"/>
    <w:rsid w:val="00D874B0"/>
    <w:rsid w:val="00D91507"/>
    <w:rsid w:val="00D937E2"/>
    <w:rsid w:val="00D95147"/>
    <w:rsid w:val="00D9720E"/>
    <w:rsid w:val="00DA1866"/>
    <w:rsid w:val="00DA1C89"/>
    <w:rsid w:val="00DA4B53"/>
    <w:rsid w:val="00DB34D4"/>
    <w:rsid w:val="00DB3BE8"/>
    <w:rsid w:val="00DB6738"/>
    <w:rsid w:val="00DC21E5"/>
    <w:rsid w:val="00DC4B5E"/>
    <w:rsid w:val="00DC7950"/>
    <w:rsid w:val="00DC7FA1"/>
    <w:rsid w:val="00DD254E"/>
    <w:rsid w:val="00DD2D0E"/>
    <w:rsid w:val="00DD3081"/>
    <w:rsid w:val="00DD426F"/>
    <w:rsid w:val="00DD4B04"/>
    <w:rsid w:val="00DE12B0"/>
    <w:rsid w:val="00DE7060"/>
    <w:rsid w:val="00DE74E1"/>
    <w:rsid w:val="00DF1432"/>
    <w:rsid w:val="00DF2B51"/>
    <w:rsid w:val="00DF6334"/>
    <w:rsid w:val="00E0196A"/>
    <w:rsid w:val="00E0518B"/>
    <w:rsid w:val="00E159AF"/>
    <w:rsid w:val="00E1629A"/>
    <w:rsid w:val="00E16628"/>
    <w:rsid w:val="00E16C9E"/>
    <w:rsid w:val="00E16D40"/>
    <w:rsid w:val="00E17951"/>
    <w:rsid w:val="00E21612"/>
    <w:rsid w:val="00E22AB9"/>
    <w:rsid w:val="00E270D7"/>
    <w:rsid w:val="00E3020F"/>
    <w:rsid w:val="00E32203"/>
    <w:rsid w:val="00E32B71"/>
    <w:rsid w:val="00E33CE0"/>
    <w:rsid w:val="00E34881"/>
    <w:rsid w:val="00E400BD"/>
    <w:rsid w:val="00E408A9"/>
    <w:rsid w:val="00E4682A"/>
    <w:rsid w:val="00E470ED"/>
    <w:rsid w:val="00E528A5"/>
    <w:rsid w:val="00E57BB2"/>
    <w:rsid w:val="00E671DF"/>
    <w:rsid w:val="00E67475"/>
    <w:rsid w:val="00E67AD5"/>
    <w:rsid w:val="00E7089C"/>
    <w:rsid w:val="00E709D9"/>
    <w:rsid w:val="00E720CC"/>
    <w:rsid w:val="00E74CE7"/>
    <w:rsid w:val="00E77F57"/>
    <w:rsid w:val="00E80B8F"/>
    <w:rsid w:val="00E80C21"/>
    <w:rsid w:val="00E82DB1"/>
    <w:rsid w:val="00E84B94"/>
    <w:rsid w:val="00E87CA0"/>
    <w:rsid w:val="00E92186"/>
    <w:rsid w:val="00E932D2"/>
    <w:rsid w:val="00E93B0F"/>
    <w:rsid w:val="00EA0484"/>
    <w:rsid w:val="00EA15D9"/>
    <w:rsid w:val="00EA27F6"/>
    <w:rsid w:val="00EA374C"/>
    <w:rsid w:val="00EC1618"/>
    <w:rsid w:val="00EC34B4"/>
    <w:rsid w:val="00EC775B"/>
    <w:rsid w:val="00ED078F"/>
    <w:rsid w:val="00ED0DEF"/>
    <w:rsid w:val="00ED1EA5"/>
    <w:rsid w:val="00ED21D6"/>
    <w:rsid w:val="00ED4151"/>
    <w:rsid w:val="00ED4D2C"/>
    <w:rsid w:val="00ED6BFF"/>
    <w:rsid w:val="00EE2EB8"/>
    <w:rsid w:val="00EE5390"/>
    <w:rsid w:val="00EE6676"/>
    <w:rsid w:val="00EE79FC"/>
    <w:rsid w:val="00EF1F9C"/>
    <w:rsid w:val="00EF2908"/>
    <w:rsid w:val="00EF33CC"/>
    <w:rsid w:val="00EF5DB4"/>
    <w:rsid w:val="00F0136A"/>
    <w:rsid w:val="00F016A1"/>
    <w:rsid w:val="00F017C9"/>
    <w:rsid w:val="00F02A5C"/>
    <w:rsid w:val="00F05DA6"/>
    <w:rsid w:val="00F074E2"/>
    <w:rsid w:val="00F10492"/>
    <w:rsid w:val="00F14B14"/>
    <w:rsid w:val="00F176DE"/>
    <w:rsid w:val="00F209FB"/>
    <w:rsid w:val="00F3166C"/>
    <w:rsid w:val="00F332DC"/>
    <w:rsid w:val="00F3583B"/>
    <w:rsid w:val="00F35848"/>
    <w:rsid w:val="00F4013D"/>
    <w:rsid w:val="00F418F9"/>
    <w:rsid w:val="00F441A5"/>
    <w:rsid w:val="00F4434B"/>
    <w:rsid w:val="00F452C8"/>
    <w:rsid w:val="00F4687A"/>
    <w:rsid w:val="00F533DC"/>
    <w:rsid w:val="00F53A65"/>
    <w:rsid w:val="00F61058"/>
    <w:rsid w:val="00F66AAF"/>
    <w:rsid w:val="00F702FA"/>
    <w:rsid w:val="00F71EC0"/>
    <w:rsid w:val="00F730CA"/>
    <w:rsid w:val="00F74DBF"/>
    <w:rsid w:val="00F7699D"/>
    <w:rsid w:val="00F76A17"/>
    <w:rsid w:val="00F8346A"/>
    <w:rsid w:val="00F86012"/>
    <w:rsid w:val="00F871AF"/>
    <w:rsid w:val="00F8746B"/>
    <w:rsid w:val="00F902EC"/>
    <w:rsid w:val="00F90610"/>
    <w:rsid w:val="00F907D1"/>
    <w:rsid w:val="00F92082"/>
    <w:rsid w:val="00F94B7F"/>
    <w:rsid w:val="00FA004B"/>
    <w:rsid w:val="00FA2B81"/>
    <w:rsid w:val="00FA3968"/>
    <w:rsid w:val="00FA733A"/>
    <w:rsid w:val="00FB10C6"/>
    <w:rsid w:val="00FB29F2"/>
    <w:rsid w:val="00FB34B0"/>
    <w:rsid w:val="00FB57BF"/>
    <w:rsid w:val="00FD2512"/>
    <w:rsid w:val="00FD3D39"/>
    <w:rsid w:val="00FD67EF"/>
    <w:rsid w:val="00FE4D70"/>
    <w:rsid w:val="00FE682A"/>
    <w:rsid w:val="00FE78EA"/>
    <w:rsid w:val="00FE7E3A"/>
    <w:rsid w:val="00FF202C"/>
    <w:rsid w:val="00FF2CDA"/>
    <w:rsid w:val="00FF407D"/>
    <w:rsid w:val="00FF6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2015B"/>
  <w15:docId w15:val="{19012D25-14C8-4208-BE10-CCE15C548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35F"/>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F8E"/>
    <w:pPr>
      <w:ind w:left="720"/>
      <w:contextualSpacing/>
    </w:pPr>
  </w:style>
  <w:style w:type="paragraph" w:styleId="BalloonText">
    <w:name w:val="Balloon Text"/>
    <w:basedOn w:val="Normal"/>
    <w:link w:val="BalloonTextChar"/>
    <w:uiPriority w:val="99"/>
    <w:semiHidden/>
    <w:unhideWhenUsed/>
    <w:rsid w:val="00533F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F06"/>
    <w:rPr>
      <w:rFonts w:ascii="Tahoma" w:hAnsi="Tahoma" w:cs="Tahoma"/>
      <w:sz w:val="16"/>
      <w:szCs w:val="16"/>
    </w:rPr>
  </w:style>
  <w:style w:type="paragraph" w:styleId="Header">
    <w:name w:val="header"/>
    <w:basedOn w:val="Normal"/>
    <w:link w:val="HeaderChar"/>
    <w:uiPriority w:val="99"/>
    <w:unhideWhenUsed/>
    <w:rsid w:val="005B5B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B19"/>
  </w:style>
  <w:style w:type="paragraph" w:styleId="Footer">
    <w:name w:val="footer"/>
    <w:basedOn w:val="Normal"/>
    <w:link w:val="FooterChar"/>
    <w:uiPriority w:val="99"/>
    <w:unhideWhenUsed/>
    <w:rsid w:val="005B5B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B19"/>
  </w:style>
  <w:style w:type="paragraph" w:styleId="NoSpacing">
    <w:name w:val="No Spacing"/>
    <w:uiPriority w:val="1"/>
    <w:qFormat/>
    <w:rsid w:val="008123F0"/>
    <w:pPr>
      <w:spacing w:after="0" w:line="240" w:lineRule="auto"/>
      <w:jc w:val="both"/>
    </w:pPr>
    <w:rPr>
      <w:rFonts w:ascii="Arial" w:hAnsi="Arial"/>
    </w:rPr>
  </w:style>
  <w:style w:type="table" w:styleId="TableGrid">
    <w:name w:val="Table Grid"/>
    <w:basedOn w:val="TableNormal"/>
    <w:uiPriority w:val="59"/>
    <w:rsid w:val="008123F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JudgmentParagraphs">
    <w:name w:val="Judgment Paragraphs"/>
    <w:uiPriority w:val="99"/>
    <w:rsid w:val="00E16C9E"/>
    <w:pPr>
      <w:numPr>
        <w:numId w:val="7"/>
      </w:numPr>
    </w:pPr>
  </w:style>
  <w:style w:type="character" w:customStyle="1" w:styleId="term01">
    <w:name w:val="term01"/>
    <w:basedOn w:val="DefaultParagraphFont"/>
    <w:rsid w:val="00B22232"/>
    <w:rPr>
      <w:shd w:val="clear" w:color="auto" w:fill="FFB4B4"/>
    </w:rPr>
  </w:style>
  <w:style w:type="paragraph" w:styleId="FootnoteText">
    <w:name w:val="footnote text"/>
    <w:basedOn w:val="Normal"/>
    <w:link w:val="FootnoteTextChar"/>
    <w:uiPriority w:val="99"/>
    <w:semiHidden/>
    <w:unhideWhenUsed/>
    <w:rsid w:val="00267A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7A78"/>
    <w:rPr>
      <w:sz w:val="20"/>
      <w:szCs w:val="20"/>
      <w:lang w:val="en-CA"/>
    </w:rPr>
  </w:style>
  <w:style w:type="character" w:styleId="FootnoteReference">
    <w:name w:val="footnote reference"/>
    <w:basedOn w:val="DefaultParagraphFont"/>
    <w:uiPriority w:val="99"/>
    <w:semiHidden/>
    <w:unhideWhenUsed/>
    <w:rsid w:val="00267A78"/>
    <w:rPr>
      <w:vertAlign w:val="superscript"/>
    </w:rPr>
  </w:style>
  <w:style w:type="paragraph" w:styleId="Revision">
    <w:name w:val="Revision"/>
    <w:hidden/>
    <w:uiPriority w:val="99"/>
    <w:semiHidden/>
    <w:rsid w:val="00D229FA"/>
    <w:pPr>
      <w:spacing w:after="0" w:line="240" w:lineRule="auto"/>
    </w:pPr>
    <w:rPr>
      <w:lang w:val="en-CA"/>
    </w:rPr>
  </w:style>
  <w:style w:type="character" w:styleId="CommentReference">
    <w:name w:val="annotation reference"/>
    <w:basedOn w:val="DefaultParagraphFont"/>
    <w:uiPriority w:val="99"/>
    <w:semiHidden/>
    <w:unhideWhenUsed/>
    <w:rsid w:val="009C68A9"/>
    <w:rPr>
      <w:sz w:val="16"/>
      <w:szCs w:val="16"/>
    </w:rPr>
  </w:style>
  <w:style w:type="paragraph" w:styleId="CommentText">
    <w:name w:val="annotation text"/>
    <w:basedOn w:val="Normal"/>
    <w:link w:val="CommentTextChar"/>
    <w:uiPriority w:val="99"/>
    <w:unhideWhenUsed/>
    <w:rsid w:val="009C68A9"/>
    <w:pPr>
      <w:spacing w:line="240" w:lineRule="auto"/>
    </w:pPr>
    <w:rPr>
      <w:sz w:val="20"/>
      <w:szCs w:val="20"/>
    </w:rPr>
  </w:style>
  <w:style w:type="character" w:customStyle="1" w:styleId="CommentTextChar">
    <w:name w:val="Comment Text Char"/>
    <w:basedOn w:val="DefaultParagraphFont"/>
    <w:link w:val="CommentText"/>
    <w:uiPriority w:val="99"/>
    <w:rsid w:val="009C68A9"/>
    <w:rPr>
      <w:sz w:val="20"/>
      <w:szCs w:val="20"/>
      <w:lang w:val="en-CA"/>
    </w:rPr>
  </w:style>
  <w:style w:type="paragraph" w:styleId="CommentSubject">
    <w:name w:val="annotation subject"/>
    <w:basedOn w:val="CommentText"/>
    <w:next w:val="CommentText"/>
    <w:link w:val="CommentSubjectChar"/>
    <w:uiPriority w:val="99"/>
    <w:semiHidden/>
    <w:unhideWhenUsed/>
    <w:rsid w:val="009C68A9"/>
    <w:rPr>
      <w:b/>
      <w:bCs/>
    </w:rPr>
  </w:style>
  <w:style w:type="character" w:customStyle="1" w:styleId="CommentSubjectChar">
    <w:name w:val="Comment Subject Char"/>
    <w:basedOn w:val="CommentTextChar"/>
    <w:link w:val="CommentSubject"/>
    <w:uiPriority w:val="99"/>
    <w:semiHidden/>
    <w:rsid w:val="009C68A9"/>
    <w:rPr>
      <w:b/>
      <w:bCs/>
      <w:sz w:val="20"/>
      <w:szCs w:val="20"/>
      <w:lang w:val="en-CA"/>
    </w:rPr>
  </w:style>
  <w:style w:type="character" w:styleId="Hyperlink">
    <w:name w:val="Hyperlink"/>
    <w:basedOn w:val="DefaultParagraphFont"/>
    <w:uiPriority w:val="99"/>
    <w:unhideWhenUsed/>
    <w:rsid w:val="0074006E"/>
    <w:rPr>
      <w:color w:val="0000FF" w:themeColor="hyperlink"/>
      <w:u w:val="single"/>
    </w:rPr>
  </w:style>
  <w:style w:type="character" w:styleId="UnresolvedMention">
    <w:name w:val="Unresolved Mention"/>
    <w:basedOn w:val="DefaultParagraphFont"/>
    <w:uiPriority w:val="99"/>
    <w:semiHidden/>
    <w:unhideWhenUsed/>
    <w:rsid w:val="007400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1441">
      <w:bodyDiv w:val="1"/>
      <w:marLeft w:val="0"/>
      <w:marRight w:val="0"/>
      <w:marTop w:val="0"/>
      <w:marBottom w:val="0"/>
      <w:divBdr>
        <w:top w:val="none" w:sz="0" w:space="0" w:color="auto"/>
        <w:left w:val="none" w:sz="0" w:space="0" w:color="auto"/>
        <w:bottom w:val="none" w:sz="0" w:space="0" w:color="auto"/>
        <w:right w:val="none" w:sz="0" w:space="0" w:color="auto"/>
      </w:divBdr>
    </w:div>
    <w:div w:id="113105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rleyMair\OneDrive%20-%20NT%20Courts\Documents%20-%20SC%20Admin\1%20SUPREME%20COURT%20FILES\JUDGMENT%20-%20TRANSCRIPT\A%20Template%20-%20Wor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8070878C79D4408E9B8E13FB885CC9" ma:contentTypeVersion="13" ma:contentTypeDescription="Create a new document." ma:contentTypeScope="" ma:versionID="a5bafaed949d2413154e3aa47f836452">
  <xsd:schema xmlns:xsd="http://www.w3.org/2001/XMLSchema" xmlns:xs="http://www.w3.org/2001/XMLSchema" xmlns:p="http://schemas.microsoft.com/office/2006/metadata/properties" xmlns:ns2="83bc3cd8-da25-40f9-958f-c13e000bdc16" xmlns:ns3="375bca7b-c53c-4fd7-b0ac-aee1bc09b69d" targetNamespace="http://schemas.microsoft.com/office/2006/metadata/properties" ma:root="true" ma:fieldsID="672642f952b09a85bd0ecc96dd678ce0" ns2:_="" ns3:_="">
    <xsd:import namespace="83bc3cd8-da25-40f9-958f-c13e000bdc16"/>
    <xsd:import namespace="375bca7b-c53c-4fd7-b0ac-aee1bc09b69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c3cd8-da25-40f9-958f-c13e000bdc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d4da1b9-cdce-4e3f-b20e-ce27030b6da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5bca7b-c53c-4fd7-b0ac-aee1bc09b69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6fb148d-7269-48d9-b175-b5edecdd02a7}" ma:internalName="TaxCatchAll" ma:showField="CatchAllData" ma:web="375bca7b-c53c-4fd7-b0ac-aee1bc09b69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bc3cd8-da25-40f9-958f-c13e000bdc16">
      <Terms xmlns="http://schemas.microsoft.com/office/infopath/2007/PartnerControls"/>
    </lcf76f155ced4ddcb4097134ff3c332f>
    <TaxCatchAll xmlns="375bca7b-c53c-4fd7-b0ac-aee1bc09b69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241BA-7334-4FA6-8878-F22D136D7DE6}">
  <ds:schemaRefs>
    <ds:schemaRef ds:uri="http://schemas.microsoft.com/sharepoint/v3/contenttype/forms"/>
  </ds:schemaRefs>
</ds:datastoreItem>
</file>

<file path=customXml/itemProps2.xml><?xml version="1.0" encoding="utf-8"?>
<ds:datastoreItem xmlns:ds="http://schemas.openxmlformats.org/officeDocument/2006/customXml" ds:itemID="{987A95BD-0892-4AB4-99BA-59E97223D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c3cd8-da25-40f9-958f-c13e000bdc16"/>
    <ds:schemaRef ds:uri="375bca7b-c53c-4fd7-b0ac-aee1bc09b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30BE39-108B-426A-B459-33B999FFE464}">
  <ds:schemaRefs>
    <ds:schemaRef ds:uri="http://schemas.microsoft.com/office/2006/metadata/properties"/>
    <ds:schemaRef ds:uri="http://schemas.microsoft.com/office/infopath/2007/PartnerControls"/>
    <ds:schemaRef ds:uri="83bc3cd8-da25-40f9-958f-c13e000bdc16"/>
    <ds:schemaRef ds:uri="375bca7b-c53c-4fd7-b0ac-aee1bc09b69d"/>
  </ds:schemaRefs>
</ds:datastoreItem>
</file>

<file path=customXml/itemProps4.xml><?xml version="1.0" encoding="utf-8"?>
<ds:datastoreItem xmlns:ds="http://schemas.openxmlformats.org/officeDocument/2006/customXml" ds:itemID="{06DFFD4A-292C-4743-919C-C384943DF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216</TotalTime>
  <Pages>16</Pages>
  <Words>5154</Words>
  <Characters>29378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GNWT, Justice</Company>
  <LinksUpToDate>false</LinksUpToDate>
  <CharactersWithSpaces>34464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 Mair</dc:creator>
  <cp:lastModifiedBy>Tyler Vibert</cp:lastModifiedBy>
  <cp:revision>127</cp:revision>
  <cp:lastPrinted>2025-11-07T21:04:00Z</cp:lastPrinted>
  <dcterms:created xsi:type="dcterms:W3CDTF">2025-11-06T22:54:00Z</dcterms:created>
  <dcterms:modified xsi:type="dcterms:W3CDTF">2025-11-07T23:17:00Z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0x010100598070878C79D4408E9B8E13FB885CC9</vt:lpwstr>
  </property>
  <property fmtid="{D5CDD505-2E9C-101B-9397-08002B2CF9AE}" pid="3" name="Order">
    <vt:r8>680600</vt:r8>
  </property>
  <property fmtid="{D5CDD505-2E9C-101B-9397-08002B2CF9AE}" pid="4" name="MSIP_Label_defa4170-0d19-0005-0004-bc88714345d2_Enabled">
    <vt:lpwstr>true</vt:lpwstr>
  </property>
  <property fmtid="{D5CDD505-2E9C-101B-9397-08002B2CF9AE}" pid="5" name="MSIP_Label_defa4170-0d19-0005-0004-bc88714345d2_SetDate">
    <vt:lpwstr>2025-03-12T17:23:21Z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619a88ff-cb67-4298-9781-66cc0cc776f1</vt:lpwstr>
  </property>
  <property fmtid="{D5CDD505-2E9C-101B-9397-08002B2CF9AE}" pid="9" name="MSIP_Label_defa4170-0d19-0005-0004-bc88714345d2_ActionId">
    <vt:lpwstr>a5dd3600-64f0-441a-953f-01ac7568f7c5</vt:lpwstr>
  </property>
  <property fmtid="{D5CDD505-2E9C-101B-9397-08002B2CF9AE}" pid="10" name="MSIP_Label_defa4170-0d19-0005-0004-bc88714345d2_ContentBits">
    <vt:lpwstr>0</vt:lpwstr>
  </property>
  <property fmtid="{D5CDD505-2E9C-101B-9397-08002B2CF9AE}" pid="11" name="MediaServiceImageTags">
    <vt:lpwstr/>
  </property>
</Properties>
</file>