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0FCF" w14:textId="27E4CF19" w:rsidR="00542670" w:rsidRPr="003956F9" w:rsidRDefault="00B2593E" w:rsidP="003956F9">
      <w:pPr>
        <w:tabs>
          <w:tab w:val="clear" w:pos="360"/>
          <w:tab w:val="clear" w:pos="720"/>
          <w:tab w:val="clear" w:pos="1440"/>
          <w:tab w:val="clear" w:pos="1800"/>
        </w:tabs>
        <w:autoSpaceDE/>
        <w:autoSpaceDN/>
        <w:adjustRightInd/>
        <w:spacing w:line="360" w:lineRule="auto"/>
        <w:rPr>
          <w:rFonts w:ascii="Arial" w:hAnsi="Arial" w:cs="Arial"/>
          <w:color w:val="000000"/>
          <w:spacing w:val="0"/>
          <w:sz w:val="22"/>
          <w:szCs w:val="22"/>
          <w:lang w:val="en-CA" w:eastAsia="en-CA"/>
        </w:rPr>
      </w:pPr>
      <w:r>
        <w:rPr>
          <w:rFonts w:ascii="Arial" w:hAnsi="Arial" w:cs="Arial"/>
          <w:i/>
          <w:iCs/>
          <w:color w:val="000000"/>
          <w:spacing w:val="0"/>
          <w:sz w:val="22"/>
          <w:szCs w:val="22"/>
          <w:lang w:val="en-CA" w:eastAsia="en-CA"/>
        </w:rPr>
        <w:t xml:space="preserve">R v </w:t>
      </w:r>
      <w:proofErr w:type="spellStart"/>
      <w:r>
        <w:rPr>
          <w:rFonts w:ascii="Arial" w:hAnsi="Arial" w:cs="Arial"/>
          <w:i/>
          <w:iCs/>
          <w:color w:val="000000"/>
          <w:spacing w:val="0"/>
          <w:sz w:val="22"/>
          <w:szCs w:val="22"/>
          <w:lang w:val="en-CA" w:eastAsia="en-CA"/>
        </w:rPr>
        <w:t>A</w:t>
      </w:r>
      <w:r w:rsidR="0071123E">
        <w:rPr>
          <w:rFonts w:ascii="Arial" w:hAnsi="Arial" w:cs="Arial"/>
          <w:i/>
          <w:iCs/>
          <w:color w:val="000000"/>
          <w:spacing w:val="0"/>
          <w:sz w:val="22"/>
          <w:szCs w:val="22"/>
          <w:lang w:val="en-CA" w:eastAsia="en-CA"/>
        </w:rPr>
        <w:t>likamik</w:t>
      </w:r>
      <w:proofErr w:type="spellEnd"/>
      <w:r>
        <w:rPr>
          <w:rFonts w:ascii="Arial" w:hAnsi="Arial" w:cs="Arial"/>
          <w:i/>
          <w:iCs/>
          <w:color w:val="000000"/>
          <w:spacing w:val="0"/>
          <w:sz w:val="22"/>
          <w:szCs w:val="22"/>
          <w:lang w:val="en-CA" w:eastAsia="en-CA"/>
        </w:rPr>
        <w:t xml:space="preserve">, </w:t>
      </w:r>
      <w:r w:rsidR="008409CB">
        <w:rPr>
          <w:rFonts w:ascii="Arial" w:hAnsi="Arial" w:cs="Arial"/>
          <w:color w:val="000000"/>
          <w:spacing w:val="0"/>
          <w:sz w:val="22"/>
          <w:szCs w:val="22"/>
          <w:lang w:val="en-CA" w:eastAsia="en-CA"/>
        </w:rPr>
        <w:t>2025 NWTSC 61</w:t>
      </w:r>
      <w:r w:rsidR="003956F9">
        <w:rPr>
          <w:rFonts w:ascii="Arial" w:hAnsi="Arial" w:cs="Arial"/>
          <w:color w:val="000000"/>
          <w:spacing w:val="0"/>
          <w:sz w:val="22"/>
          <w:szCs w:val="22"/>
          <w:lang w:val="en-CA" w:eastAsia="en-CA"/>
        </w:rPr>
        <w:tab/>
      </w:r>
      <w:r w:rsidR="003956F9">
        <w:rPr>
          <w:rFonts w:ascii="Arial" w:hAnsi="Arial" w:cs="Arial"/>
          <w:color w:val="000000"/>
          <w:spacing w:val="0"/>
          <w:sz w:val="22"/>
          <w:szCs w:val="22"/>
          <w:lang w:val="en-CA" w:eastAsia="en-CA"/>
        </w:rPr>
        <w:tab/>
        <w:t xml:space="preserve">         </w:t>
      </w:r>
      <w:r w:rsidR="00BD219A" w:rsidRPr="00BD219A">
        <w:rPr>
          <w:rFonts w:ascii="Arial" w:hAnsi="Arial" w:cs="Arial"/>
          <w:color w:val="000000"/>
          <w:spacing w:val="0"/>
          <w:sz w:val="24"/>
          <w:lang w:val="en-CA" w:eastAsia="en-CA"/>
        </w:rPr>
        <w:t>S-1-CR-2023-000009</w:t>
      </w:r>
    </w:p>
    <w:p w14:paraId="17CA204A" w14:textId="77777777" w:rsidR="00590A08" w:rsidRDefault="00590A08" w:rsidP="00542670">
      <w:pPr>
        <w:tabs>
          <w:tab w:val="clear" w:pos="360"/>
          <w:tab w:val="clear" w:pos="720"/>
          <w:tab w:val="clear" w:pos="1440"/>
          <w:tab w:val="clear" w:pos="1800"/>
        </w:tabs>
        <w:autoSpaceDE/>
        <w:autoSpaceDN/>
        <w:adjustRightInd/>
        <w:spacing w:line="360" w:lineRule="auto"/>
        <w:jc w:val="right"/>
        <w:rPr>
          <w:rFonts w:ascii="Arial" w:hAnsi="Arial" w:cs="Arial"/>
          <w:color w:val="000000"/>
          <w:spacing w:val="0"/>
          <w:sz w:val="24"/>
          <w:lang w:val="en-CA" w:eastAsia="en-CA"/>
        </w:rPr>
      </w:pPr>
    </w:p>
    <w:p w14:paraId="1688C5BB" w14:textId="25367CD0" w:rsidR="00590A08" w:rsidRPr="00590A08" w:rsidRDefault="00590A08" w:rsidP="00590A08">
      <w:pPr>
        <w:tabs>
          <w:tab w:val="clear" w:pos="360"/>
          <w:tab w:val="clear" w:pos="720"/>
          <w:tab w:val="clear" w:pos="1440"/>
          <w:tab w:val="clear" w:pos="1800"/>
        </w:tabs>
        <w:autoSpaceDE/>
        <w:autoSpaceDN/>
        <w:adjustRightInd/>
        <w:spacing w:line="360" w:lineRule="auto"/>
        <w:jc w:val="center"/>
        <w:rPr>
          <w:rFonts w:ascii="Arial" w:hAnsi="Arial" w:cs="Arial"/>
          <w:b/>
          <w:bCs/>
          <w:color w:val="000000"/>
          <w:spacing w:val="0"/>
          <w:sz w:val="24"/>
          <w:u w:val="single"/>
          <w:lang w:val="en-CA" w:eastAsia="en-CA"/>
        </w:rPr>
      </w:pPr>
      <w:r w:rsidRPr="00590A08">
        <w:rPr>
          <w:rFonts w:ascii="Arial" w:hAnsi="Arial" w:cs="Arial"/>
          <w:b/>
          <w:bCs/>
          <w:color w:val="000000"/>
          <w:spacing w:val="0"/>
          <w:sz w:val="24"/>
          <w:u w:val="single"/>
          <w:lang w:val="en-CA" w:eastAsia="en-CA"/>
        </w:rPr>
        <w:t>AMENDED ORIGINAL</w:t>
      </w:r>
    </w:p>
    <w:p w14:paraId="79BF466D" w14:textId="1F7E56C0" w:rsidR="00542670" w:rsidRPr="00BD219A" w:rsidRDefault="00542670" w:rsidP="00590A08">
      <w:pPr>
        <w:tabs>
          <w:tab w:val="clear" w:pos="360"/>
          <w:tab w:val="clear" w:pos="720"/>
          <w:tab w:val="clear" w:pos="1440"/>
          <w:tab w:val="clear" w:pos="1800"/>
          <w:tab w:val="clear" w:pos="4680"/>
        </w:tabs>
        <w:spacing w:line="360" w:lineRule="auto"/>
        <w:jc w:val="center"/>
        <w:outlineLvl w:val="0"/>
        <w:rPr>
          <w:rFonts w:ascii="Arial" w:hAnsi="Arial" w:cs="Times New Roman"/>
          <w:color w:val="000000"/>
          <w:spacing w:val="0"/>
          <w:sz w:val="24"/>
          <w:u w:val="single"/>
          <w:lang w:val="en-CA" w:eastAsia="en-CA"/>
        </w:rPr>
      </w:pPr>
      <w:r w:rsidRPr="00BD219A">
        <w:rPr>
          <w:rFonts w:ascii="Arial" w:hAnsi="Arial"/>
          <w:b/>
          <w:color w:val="000000"/>
          <w:sz w:val="24"/>
          <w:u w:val="single"/>
          <w:lang w:val="en-CA" w:eastAsia="en-CA"/>
        </w:rPr>
        <w:t>IN THE SUPREME COURT OF THE NORTHWEST TERRITORIES</w:t>
      </w:r>
      <w:r w:rsidR="00590A08">
        <w:rPr>
          <w:rFonts w:ascii="Arial" w:hAnsi="Arial"/>
          <w:b/>
          <w:color w:val="000000"/>
          <w:sz w:val="24"/>
          <w:u w:val="single"/>
          <w:lang w:val="en-CA" w:eastAsia="en-CA"/>
        </w:rPr>
        <w:t xml:space="preserve"> </w:t>
      </w:r>
      <w:r w:rsidRPr="00BD219A">
        <w:rPr>
          <w:rFonts w:ascii="Arial" w:hAnsi="Arial"/>
          <w:b/>
          <w:color w:val="000000"/>
          <w:sz w:val="24"/>
          <w:u w:val="single"/>
          <w:lang w:val="en-CA" w:eastAsia="en-CA"/>
        </w:rPr>
        <w:t>IN THE MATTER OF:</w:t>
      </w:r>
    </w:p>
    <w:p w14:paraId="5616EF30" w14:textId="77777777" w:rsidR="00542670" w:rsidRPr="00BD219A" w:rsidRDefault="00542670"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Times New Roman"/>
          <w:color w:val="000000"/>
          <w:spacing w:val="0"/>
          <w:sz w:val="22"/>
          <w:szCs w:val="20"/>
          <w:lang w:val="en-CA" w:eastAsia="en-CA"/>
        </w:rPr>
      </w:pPr>
    </w:p>
    <w:p w14:paraId="48E2D582" w14:textId="1665052C" w:rsidR="00542670" w:rsidRPr="00BD219A" w:rsidRDefault="00780C49"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BD219A">
        <w:rPr>
          <w:rFonts w:ascii="Arial" w:hAnsi="Arial" w:cs="Arial"/>
          <w:b/>
          <w:color w:val="000000"/>
          <w:sz w:val="28"/>
          <w:szCs w:val="28"/>
          <w:lang w:val="en-CA" w:eastAsia="en-CA"/>
        </w:rPr>
        <w:t>H</w:t>
      </w:r>
      <w:r w:rsidR="00BD219A" w:rsidRPr="00BD219A">
        <w:rPr>
          <w:rFonts w:ascii="Arial" w:hAnsi="Arial" w:cs="Arial"/>
          <w:b/>
          <w:color w:val="000000"/>
          <w:sz w:val="28"/>
          <w:szCs w:val="28"/>
          <w:lang w:val="en-CA" w:eastAsia="en-CA"/>
        </w:rPr>
        <w:t>IS</w:t>
      </w:r>
      <w:r w:rsidRPr="00BD219A">
        <w:rPr>
          <w:rFonts w:ascii="Arial" w:hAnsi="Arial" w:cs="Arial"/>
          <w:b/>
          <w:color w:val="000000"/>
          <w:sz w:val="28"/>
          <w:szCs w:val="28"/>
          <w:lang w:val="en-CA" w:eastAsia="en-CA"/>
        </w:rPr>
        <w:t xml:space="preserve"> MAJESTY THE </w:t>
      </w:r>
      <w:r w:rsidR="00BD219A" w:rsidRPr="00BD219A">
        <w:rPr>
          <w:rFonts w:ascii="Arial" w:hAnsi="Arial" w:cs="Arial"/>
          <w:b/>
          <w:color w:val="000000"/>
          <w:sz w:val="28"/>
          <w:szCs w:val="28"/>
          <w:lang w:val="en-CA" w:eastAsia="en-CA"/>
        </w:rPr>
        <w:t>KING</w:t>
      </w:r>
    </w:p>
    <w:p w14:paraId="4125CA99" w14:textId="77777777" w:rsidR="00542670" w:rsidRPr="00BD219A"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p>
    <w:p w14:paraId="61DA1869" w14:textId="77777777" w:rsidR="00542670" w:rsidRPr="00BD219A" w:rsidRDefault="00A41C1E"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BD219A">
        <w:rPr>
          <w:rFonts w:ascii="Arial" w:hAnsi="Arial" w:cs="Arial"/>
          <w:b/>
          <w:color w:val="000000"/>
          <w:spacing w:val="0"/>
          <w:sz w:val="28"/>
          <w:szCs w:val="28"/>
          <w:lang w:val="en-CA" w:eastAsia="en-CA"/>
        </w:rPr>
        <w:t>-v-</w:t>
      </w:r>
    </w:p>
    <w:p w14:paraId="06E76344" w14:textId="77777777" w:rsidR="00542670" w:rsidRPr="00BD219A"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p>
    <w:p w14:paraId="75D7E97D" w14:textId="080BFB61" w:rsidR="00542670" w:rsidRDefault="00BD219A"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Arial"/>
          <w:b/>
          <w:color w:val="000000"/>
          <w:spacing w:val="0"/>
          <w:sz w:val="28"/>
          <w:szCs w:val="28"/>
          <w:lang w:val="en-CA" w:eastAsia="en-CA"/>
        </w:rPr>
      </w:pPr>
      <w:r w:rsidRPr="00BD219A">
        <w:rPr>
          <w:rFonts w:ascii="Arial" w:hAnsi="Arial" w:cs="Arial"/>
          <w:b/>
          <w:color w:val="000000"/>
          <w:spacing w:val="0"/>
          <w:sz w:val="28"/>
          <w:szCs w:val="28"/>
          <w:lang w:val="en-CA" w:eastAsia="en-CA"/>
        </w:rPr>
        <w:t>RHEA (LEON) ALIKAMIK</w:t>
      </w:r>
    </w:p>
    <w:p w14:paraId="12299875" w14:textId="77777777" w:rsidR="00590A08" w:rsidRPr="00590A08" w:rsidRDefault="00590A08"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Arial"/>
          <w:b/>
          <w:color w:val="000000"/>
          <w:spacing w:val="0"/>
          <w:sz w:val="22"/>
          <w:szCs w:val="22"/>
          <w:lang w:val="en-CA" w:eastAsia="en-CA"/>
        </w:rPr>
      </w:pPr>
    </w:p>
    <w:p w14:paraId="4B3C18B3" w14:textId="109DF716" w:rsidR="00590A08" w:rsidRPr="00590A08" w:rsidRDefault="00590A08" w:rsidP="00590A08">
      <w:pPr>
        <w:tabs>
          <w:tab w:val="clear" w:pos="360"/>
          <w:tab w:val="clear" w:pos="720"/>
          <w:tab w:val="clear" w:pos="1440"/>
          <w:tab w:val="clear" w:pos="1800"/>
          <w:tab w:val="clear" w:pos="4680"/>
        </w:tabs>
        <w:autoSpaceDE/>
        <w:autoSpaceDN/>
        <w:adjustRightInd/>
        <w:spacing w:line="360" w:lineRule="auto"/>
        <w:rPr>
          <w:rFonts w:ascii="Arial" w:hAnsi="Arial" w:cs="Arial"/>
          <w:b/>
          <w:color w:val="000000"/>
          <w:spacing w:val="0"/>
          <w:sz w:val="24"/>
          <w:lang w:val="en-CA" w:eastAsia="en-CA"/>
        </w:rPr>
      </w:pPr>
      <w:r w:rsidRPr="00590A08">
        <w:rPr>
          <w:rFonts w:ascii="Arial" w:hAnsi="Arial" w:cs="Arial"/>
          <w:b/>
          <w:color w:val="000000"/>
          <w:spacing w:val="0"/>
          <w:sz w:val="24"/>
          <w:lang w:val="en-CA" w:eastAsia="en-CA"/>
        </w:rPr>
        <w:t>ORIGINAL amended as of November 17, 2025 to:</w:t>
      </w:r>
    </w:p>
    <w:p w14:paraId="5F23B934" w14:textId="305897BC" w:rsidR="00590A08" w:rsidRPr="00590A08" w:rsidRDefault="00590A08" w:rsidP="00590A08">
      <w:pPr>
        <w:rPr>
          <w:rFonts w:ascii="Aptos" w:hAnsi="Aptos"/>
          <w:spacing w:val="0"/>
          <w:sz w:val="24"/>
        </w:rPr>
      </w:pPr>
      <w:r w:rsidRPr="00590A08">
        <w:rPr>
          <w:rFonts w:ascii="Aptos" w:hAnsi="Aptos"/>
          <w:b/>
          <w:bCs/>
          <w:sz w:val="24"/>
          <w:lang w:val="en-CA"/>
        </w:rPr>
        <w:t xml:space="preserve">Cover page: Citation: </w:t>
      </w:r>
      <w:r w:rsidRPr="00590A08">
        <w:rPr>
          <w:rFonts w:ascii="Aptos" w:hAnsi="Aptos"/>
          <w:b/>
          <w:bCs/>
          <w:i/>
          <w:iCs/>
          <w:sz w:val="24"/>
          <w:u w:val="single"/>
          <w:lang w:val="en-CA"/>
        </w:rPr>
        <w:t xml:space="preserve">R v </w:t>
      </w:r>
      <w:proofErr w:type="spellStart"/>
      <w:r w:rsidRPr="00590A08">
        <w:rPr>
          <w:rFonts w:ascii="Aptos" w:hAnsi="Aptos"/>
          <w:b/>
          <w:bCs/>
          <w:i/>
          <w:iCs/>
          <w:sz w:val="24"/>
          <w:u w:val="single"/>
          <w:lang w:val="en-CA"/>
        </w:rPr>
        <w:t>Alikamik</w:t>
      </w:r>
      <w:proofErr w:type="spellEnd"/>
      <w:r w:rsidRPr="00590A08">
        <w:rPr>
          <w:rFonts w:ascii="Aptos" w:hAnsi="Aptos"/>
          <w:b/>
          <w:bCs/>
          <w:sz w:val="24"/>
          <w:u w:val="single"/>
          <w:lang w:val="en-CA"/>
        </w:rPr>
        <w:t>, 2025 NWTSC 61</w:t>
      </w:r>
    </w:p>
    <w:p w14:paraId="77254CAE" w14:textId="77777777" w:rsidR="00542670" w:rsidRPr="00BD219A" w:rsidRDefault="00542670" w:rsidP="00542670">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BD219A">
        <w:rPr>
          <w:rFonts w:ascii="Arial" w:hAnsi="Arial" w:cs="Arial"/>
          <w:b/>
          <w:color w:val="000000"/>
          <w:spacing w:val="0"/>
          <w:sz w:val="28"/>
          <w:szCs w:val="28"/>
          <w:lang w:val="en-CA" w:eastAsia="en-CA"/>
        </w:rPr>
        <w:t>_____________________</w:t>
      </w:r>
      <w:r w:rsidRPr="00BD219A">
        <w:rPr>
          <w:rFonts w:ascii="Arial" w:hAnsi="Arial" w:cs="Arial"/>
          <w:b/>
          <w:color w:val="000000"/>
          <w:sz w:val="28"/>
          <w:szCs w:val="28"/>
          <w:lang w:val="en-CA" w:eastAsia="en-CA"/>
        </w:rPr>
        <w:t>_________________________</w:t>
      </w:r>
      <w:r w:rsidR="00A54039" w:rsidRPr="00BD219A">
        <w:rPr>
          <w:rFonts w:ascii="Arial" w:hAnsi="Arial" w:cs="Arial"/>
          <w:b/>
          <w:color w:val="000000"/>
          <w:sz w:val="28"/>
          <w:szCs w:val="28"/>
          <w:lang w:val="en-CA" w:eastAsia="en-CA"/>
        </w:rPr>
        <w:t>__________</w:t>
      </w:r>
    </w:p>
    <w:p w14:paraId="6CFB9B2E" w14:textId="6FE8C616" w:rsidR="00542670" w:rsidRPr="00BD219A" w:rsidRDefault="00542670" w:rsidP="0071123E">
      <w:pPr>
        <w:tabs>
          <w:tab w:val="clear" w:pos="360"/>
          <w:tab w:val="clear" w:pos="720"/>
          <w:tab w:val="clear" w:pos="1440"/>
          <w:tab w:val="clear" w:pos="1800"/>
          <w:tab w:val="clear" w:pos="4680"/>
        </w:tabs>
        <w:autoSpaceDE/>
        <w:autoSpaceDN/>
        <w:adjustRightInd/>
        <w:spacing w:before="240" w:line="360" w:lineRule="auto"/>
        <w:outlineLvl w:val="0"/>
        <w:rPr>
          <w:rFonts w:ascii="Arial" w:hAnsi="Arial" w:cs="Arial"/>
          <w:b/>
          <w:color w:val="000000"/>
          <w:spacing w:val="0"/>
          <w:sz w:val="28"/>
          <w:szCs w:val="28"/>
          <w:lang w:val="en-CA" w:eastAsia="en-CA"/>
        </w:rPr>
      </w:pPr>
      <w:r w:rsidRPr="00BD219A">
        <w:rPr>
          <w:rFonts w:ascii="Arial" w:hAnsi="Arial" w:cs="Arial"/>
          <w:b/>
          <w:color w:val="000000"/>
          <w:sz w:val="28"/>
          <w:szCs w:val="28"/>
          <w:lang w:val="en-CA" w:eastAsia="en-CA"/>
        </w:rPr>
        <w:t xml:space="preserve">Transcript of the </w:t>
      </w:r>
      <w:r w:rsidR="00D4303E">
        <w:rPr>
          <w:rFonts w:ascii="Arial" w:hAnsi="Arial" w:cs="Arial"/>
          <w:b/>
          <w:color w:val="000000"/>
          <w:sz w:val="28"/>
          <w:szCs w:val="28"/>
          <w:lang w:val="en-CA" w:eastAsia="en-CA"/>
        </w:rPr>
        <w:t xml:space="preserve">Sentencing </w:t>
      </w:r>
      <w:r w:rsidR="00BD219A" w:rsidRPr="00BD219A">
        <w:rPr>
          <w:rFonts w:ascii="Arial" w:hAnsi="Arial" w:cs="Arial"/>
          <w:b/>
          <w:color w:val="000000"/>
          <w:sz w:val="28"/>
          <w:szCs w:val="28"/>
          <w:lang w:val="en-CA" w:eastAsia="en-CA"/>
        </w:rPr>
        <w:t xml:space="preserve">Decision </w:t>
      </w:r>
      <w:r w:rsidR="00D4303E">
        <w:rPr>
          <w:rFonts w:ascii="Arial" w:hAnsi="Arial" w:cs="Arial"/>
          <w:b/>
          <w:color w:val="000000"/>
          <w:sz w:val="28"/>
          <w:szCs w:val="28"/>
          <w:lang w:val="en-CA" w:eastAsia="en-CA"/>
        </w:rPr>
        <w:t>of</w:t>
      </w:r>
      <w:r w:rsidRPr="00BD219A">
        <w:rPr>
          <w:rFonts w:ascii="Arial" w:hAnsi="Arial" w:cs="Arial"/>
          <w:b/>
          <w:color w:val="000000"/>
          <w:sz w:val="28"/>
          <w:szCs w:val="28"/>
          <w:lang w:val="en-CA" w:eastAsia="en-CA"/>
        </w:rPr>
        <w:t xml:space="preserve"> the Honourable Justice </w:t>
      </w:r>
      <w:r w:rsidR="00BD219A" w:rsidRPr="00BD219A">
        <w:rPr>
          <w:rFonts w:ascii="Arial" w:hAnsi="Arial" w:cs="Arial"/>
          <w:b/>
          <w:color w:val="000000"/>
          <w:sz w:val="28"/>
          <w:szCs w:val="28"/>
          <w:lang w:val="en-CA" w:eastAsia="en-CA"/>
        </w:rPr>
        <w:t>K.L. Taylor</w:t>
      </w:r>
      <w:r w:rsidRPr="00BD219A">
        <w:rPr>
          <w:rFonts w:ascii="Arial" w:hAnsi="Arial" w:cs="Arial"/>
          <w:b/>
          <w:color w:val="000000"/>
          <w:sz w:val="28"/>
          <w:szCs w:val="28"/>
          <w:lang w:val="en-CA" w:eastAsia="en-CA"/>
        </w:rPr>
        <w:t xml:space="preserve">, sitting in </w:t>
      </w:r>
      <w:r w:rsidR="00BD219A" w:rsidRPr="00BD219A">
        <w:rPr>
          <w:rFonts w:ascii="Arial" w:hAnsi="Arial" w:cs="Arial"/>
          <w:b/>
          <w:color w:val="000000"/>
          <w:sz w:val="28"/>
          <w:szCs w:val="28"/>
          <w:lang w:val="en-CA" w:eastAsia="en-CA"/>
        </w:rPr>
        <w:t>Yellowknife</w:t>
      </w:r>
      <w:r w:rsidRPr="00BD219A">
        <w:rPr>
          <w:rFonts w:ascii="Arial" w:hAnsi="Arial" w:cs="Arial"/>
          <w:b/>
          <w:color w:val="000000"/>
          <w:sz w:val="28"/>
          <w:szCs w:val="28"/>
          <w:lang w:val="en-CA" w:eastAsia="en-CA"/>
        </w:rPr>
        <w:t xml:space="preserve">, in the Northwest Territories, on the </w:t>
      </w:r>
      <w:r w:rsidR="00BD219A" w:rsidRPr="00BD219A">
        <w:rPr>
          <w:rFonts w:ascii="Arial" w:hAnsi="Arial" w:cs="Arial"/>
          <w:b/>
          <w:color w:val="000000"/>
          <w:sz w:val="28"/>
          <w:szCs w:val="28"/>
          <w:lang w:val="en-CA" w:eastAsia="en-CA"/>
        </w:rPr>
        <w:t>8th</w:t>
      </w:r>
      <w:r w:rsidRPr="00BD219A">
        <w:rPr>
          <w:rFonts w:ascii="Arial" w:hAnsi="Arial" w:cs="Arial"/>
          <w:b/>
          <w:color w:val="000000"/>
          <w:sz w:val="28"/>
          <w:szCs w:val="28"/>
          <w:lang w:val="en-CA" w:eastAsia="en-CA"/>
        </w:rPr>
        <w:t xml:space="preserve"> day of </w:t>
      </w:r>
      <w:r w:rsidR="00BD219A" w:rsidRPr="00BD219A">
        <w:rPr>
          <w:rFonts w:ascii="Arial" w:hAnsi="Arial" w:cs="Arial"/>
          <w:b/>
          <w:color w:val="000000"/>
          <w:sz w:val="28"/>
          <w:szCs w:val="28"/>
          <w:lang w:val="en-CA" w:eastAsia="en-CA"/>
        </w:rPr>
        <w:t>July</w:t>
      </w:r>
      <w:r w:rsidRPr="00BD219A">
        <w:rPr>
          <w:rFonts w:ascii="Arial" w:hAnsi="Arial" w:cs="Arial"/>
          <w:b/>
          <w:color w:val="000000"/>
          <w:sz w:val="28"/>
          <w:szCs w:val="28"/>
          <w:lang w:val="en-CA" w:eastAsia="en-CA"/>
        </w:rPr>
        <w:t>, 20</w:t>
      </w:r>
      <w:r w:rsidR="00BD219A" w:rsidRPr="00BD219A">
        <w:rPr>
          <w:rFonts w:ascii="Arial" w:hAnsi="Arial" w:cs="Arial"/>
          <w:b/>
          <w:color w:val="000000"/>
          <w:sz w:val="28"/>
          <w:szCs w:val="28"/>
          <w:lang w:val="en-CA" w:eastAsia="en-CA"/>
        </w:rPr>
        <w:t>25</w:t>
      </w:r>
    </w:p>
    <w:p w14:paraId="0B7D2A2D" w14:textId="77777777" w:rsidR="00A54039" w:rsidRPr="00BD219A" w:rsidRDefault="00A54039" w:rsidP="00A54039">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BD219A">
        <w:rPr>
          <w:rFonts w:ascii="Arial" w:hAnsi="Arial" w:cs="Arial"/>
          <w:b/>
          <w:color w:val="000000"/>
          <w:spacing w:val="0"/>
          <w:sz w:val="28"/>
          <w:szCs w:val="28"/>
          <w:lang w:val="en-CA" w:eastAsia="en-CA"/>
        </w:rPr>
        <w:t>_____________________</w:t>
      </w:r>
      <w:r w:rsidRPr="00BD219A">
        <w:rPr>
          <w:rFonts w:ascii="Arial" w:hAnsi="Arial" w:cs="Arial"/>
          <w:b/>
          <w:color w:val="000000"/>
          <w:sz w:val="28"/>
          <w:szCs w:val="28"/>
          <w:lang w:val="en-CA" w:eastAsia="en-CA"/>
        </w:rPr>
        <w:t>___________________________________</w:t>
      </w:r>
    </w:p>
    <w:p w14:paraId="5BC7BA91" w14:textId="77777777" w:rsidR="00542670" w:rsidRPr="0071123E" w:rsidRDefault="00542670" w:rsidP="00542670">
      <w:pPr>
        <w:tabs>
          <w:tab w:val="clear" w:pos="360"/>
          <w:tab w:val="clear" w:pos="720"/>
          <w:tab w:val="clear" w:pos="1440"/>
          <w:tab w:val="clear" w:pos="1800"/>
          <w:tab w:val="clear" w:pos="4680"/>
        </w:tabs>
        <w:spacing w:line="360" w:lineRule="auto"/>
        <w:rPr>
          <w:rFonts w:ascii="Arial" w:hAnsi="Arial" w:cs="Arial"/>
          <w:color w:val="000000"/>
          <w:sz w:val="20"/>
          <w:szCs w:val="20"/>
          <w:lang w:val="en-CA" w:eastAsia="en-CA"/>
        </w:rPr>
      </w:pPr>
    </w:p>
    <w:p w14:paraId="184D2BB0" w14:textId="77777777" w:rsidR="00542670" w:rsidRPr="00BD219A" w:rsidRDefault="00542670" w:rsidP="00542670">
      <w:pPr>
        <w:tabs>
          <w:tab w:val="clear" w:pos="360"/>
          <w:tab w:val="clear" w:pos="720"/>
          <w:tab w:val="clear" w:pos="1440"/>
          <w:tab w:val="clear" w:pos="1800"/>
          <w:tab w:val="clear" w:pos="4680"/>
        </w:tabs>
        <w:autoSpaceDE/>
        <w:autoSpaceDN/>
        <w:adjustRightInd/>
        <w:spacing w:line="360" w:lineRule="auto"/>
        <w:rPr>
          <w:rFonts w:ascii="Arial" w:hAnsi="Arial" w:cs="Arial"/>
          <w:b/>
          <w:color w:val="000000"/>
          <w:spacing w:val="0"/>
          <w:sz w:val="24"/>
          <w:u w:val="single"/>
          <w:lang w:val="en-CA" w:eastAsia="en-CA"/>
        </w:rPr>
      </w:pPr>
      <w:r w:rsidRPr="00BD219A">
        <w:rPr>
          <w:rFonts w:ascii="Arial" w:hAnsi="Arial" w:cs="Arial"/>
          <w:b/>
          <w:color w:val="000000"/>
          <w:sz w:val="24"/>
          <w:u w:val="single"/>
          <w:lang w:val="en-CA" w:eastAsia="en-CA"/>
        </w:rPr>
        <w:t>APPEARANCES:</w:t>
      </w:r>
    </w:p>
    <w:p w14:paraId="6391BEB3" w14:textId="77777777" w:rsidR="00542670" w:rsidRPr="00BD219A" w:rsidRDefault="00542670" w:rsidP="00542670">
      <w:pPr>
        <w:tabs>
          <w:tab w:val="clear" w:pos="360"/>
          <w:tab w:val="clear" w:pos="720"/>
          <w:tab w:val="clear" w:pos="1440"/>
          <w:tab w:val="clear" w:pos="1800"/>
          <w:tab w:val="clear" w:pos="4680"/>
          <w:tab w:val="left" w:pos="5760"/>
        </w:tabs>
        <w:spacing w:line="360" w:lineRule="auto"/>
        <w:rPr>
          <w:rFonts w:ascii="Arial" w:hAnsi="Arial" w:cs="Arial"/>
          <w:color w:val="000000"/>
          <w:sz w:val="24"/>
          <w:lang w:val="en-CA" w:eastAsia="en-CA"/>
        </w:rPr>
      </w:pPr>
    </w:p>
    <w:p w14:paraId="694DC8F8" w14:textId="6802E4F1" w:rsidR="00E97EBF" w:rsidRPr="00BD219A" w:rsidRDefault="00BD219A"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BD219A">
        <w:rPr>
          <w:rFonts w:ascii="Arial" w:hAnsi="Arial" w:cs="Arial"/>
          <w:color w:val="000000"/>
          <w:spacing w:val="0"/>
          <w:sz w:val="24"/>
          <w:lang w:val="en-CA" w:eastAsia="en-CA"/>
        </w:rPr>
        <w:t>M. Fane</w:t>
      </w:r>
      <w:r w:rsidR="00E97EBF" w:rsidRPr="00BD219A">
        <w:rPr>
          <w:rFonts w:ascii="Arial" w:hAnsi="Arial" w:cs="Arial"/>
          <w:color w:val="000000"/>
          <w:spacing w:val="0"/>
          <w:sz w:val="24"/>
          <w:lang w:val="en-CA" w:eastAsia="en-CA"/>
        </w:rPr>
        <w:t>:</w:t>
      </w:r>
      <w:r w:rsidR="00E97EBF" w:rsidRPr="00BD219A">
        <w:rPr>
          <w:rFonts w:ascii="Arial" w:hAnsi="Arial" w:cs="Arial"/>
          <w:color w:val="000000"/>
          <w:spacing w:val="0"/>
          <w:sz w:val="24"/>
          <w:lang w:val="en-CA" w:eastAsia="en-CA"/>
        </w:rPr>
        <w:tab/>
      </w:r>
      <w:r w:rsidR="00542670" w:rsidRPr="00BD219A">
        <w:rPr>
          <w:rFonts w:ascii="Arial" w:hAnsi="Arial" w:cs="Arial"/>
          <w:color w:val="000000"/>
          <w:sz w:val="24"/>
          <w:lang w:val="en-CA" w:eastAsia="en-CA"/>
        </w:rPr>
        <w:t>Counsel for the Crown</w:t>
      </w:r>
    </w:p>
    <w:p w14:paraId="6823BA2B" w14:textId="2EAC7CD4" w:rsidR="00542670" w:rsidRPr="00BD219A" w:rsidRDefault="00BD219A"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BD219A">
        <w:rPr>
          <w:rFonts w:ascii="Arial" w:hAnsi="Arial" w:cs="Arial"/>
          <w:color w:val="000000"/>
          <w:spacing w:val="0"/>
          <w:sz w:val="24"/>
          <w:lang w:val="en-CA" w:eastAsia="en-CA"/>
        </w:rPr>
        <w:t>A. Peeler</w:t>
      </w:r>
      <w:r w:rsidR="00E97EBF" w:rsidRPr="00BD219A">
        <w:rPr>
          <w:rFonts w:ascii="Arial" w:hAnsi="Arial" w:cs="Arial"/>
          <w:color w:val="000000"/>
          <w:sz w:val="24"/>
          <w:lang w:val="en-CA" w:eastAsia="en-CA"/>
        </w:rPr>
        <w:t>:</w:t>
      </w:r>
      <w:r w:rsidR="00542670" w:rsidRPr="00BD219A">
        <w:rPr>
          <w:rFonts w:ascii="Arial" w:hAnsi="Arial" w:cs="Arial"/>
          <w:color w:val="000000"/>
          <w:sz w:val="24"/>
          <w:lang w:val="en-CA" w:eastAsia="en-CA"/>
        </w:rPr>
        <w:tab/>
        <w:t>Counsel for the Defence</w:t>
      </w:r>
      <w:r w:rsidRPr="00BD219A">
        <w:rPr>
          <w:rFonts w:ascii="Arial" w:hAnsi="Arial" w:cs="Arial"/>
          <w:color w:val="000000"/>
          <w:sz w:val="24"/>
          <w:lang w:val="en-CA" w:eastAsia="en-CA"/>
        </w:rPr>
        <w:t xml:space="preserve"> appearing </w:t>
      </w:r>
    </w:p>
    <w:p w14:paraId="18E4DB59" w14:textId="14B339FB" w:rsidR="00BD219A" w:rsidRPr="00BD219A" w:rsidRDefault="00BD219A"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BD219A">
        <w:rPr>
          <w:rFonts w:ascii="Arial" w:hAnsi="Arial" w:cs="Arial"/>
          <w:color w:val="000000"/>
          <w:sz w:val="24"/>
          <w:lang w:val="en-CA" w:eastAsia="en-CA"/>
        </w:rPr>
        <w:tab/>
        <w:t xml:space="preserve">via teleconference </w:t>
      </w:r>
    </w:p>
    <w:p w14:paraId="3A5995C1" w14:textId="77777777" w:rsidR="00542670" w:rsidRPr="00BD219A" w:rsidRDefault="00542670" w:rsidP="00542670">
      <w:pPr>
        <w:tabs>
          <w:tab w:val="clear" w:pos="360"/>
          <w:tab w:val="clear" w:pos="720"/>
          <w:tab w:val="clear" w:pos="1440"/>
          <w:tab w:val="clear" w:pos="1800"/>
          <w:tab w:val="left" w:pos="5760"/>
        </w:tabs>
        <w:spacing w:line="360" w:lineRule="auto"/>
        <w:jc w:val="center"/>
        <w:rPr>
          <w:rFonts w:ascii="Arial" w:hAnsi="Arial"/>
          <w:b/>
          <w:color w:val="000000"/>
          <w:sz w:val="24"/>
          <w:lang w:val="en-CA" w:eastAsia="en-CA"/>
        </w:rPr>
      </w:pPr>
      <w:r w:rsidRPr="00BD219A">
        <w:rPr>
          <w:rFonts w:ascii="Arial" w:hAnsi="Arial"/>
          <w:b/>
          <w:color w:val="000000"/>
          <w:sz w:val="24"/>
          <w:lang w:val="en-CA" w:eastAsia="en-CA"/>
        </w:rPr>
        <w:t>--------------------------------------------------------------------------</w:t>
      </w:r>
    </w:p>
    <w:p w14:paraId="126EA5B6" w14:textId="77777777" w:rsidR="00590A08" w:rsidRDefault="00590A08" w:rsidP="00542670">
      <w:pPr>
        <w:tabs>
          <w:tab w:val="clear" w:pos="360"/>
          <w:tab w:val="clear" w:pos="720"/>
          <w:tab w:val="clear" w:pos="1440"/>
          <w:tab w:val="clear" w:pos="1800"/>
          <w:tab w:val="left" w:pos="5760"/>
        </w:tabs>
        <w:spacing w:line="360" w:lineRule="auto"/>
        <w:jc w:val="center"/>
        <w:rPr>
          <w:rFonts w:ascii="Arial" w:hAnsi="Arial" w:cs="Arial"/>
          <w:color w:val="000000"/>
          <w:sz w:val="24"/>
          <w:lang w:val="en-CA" w:eastAsia="en-CA"/>
        </w:rPr>
      </w:pPr>
    </w:p>
    <w:p w14:paraId="19D2D5CC" w14:textId="2470B223" w:rsidR="00542670" w:rsidRPr="00BD219A" w:rsidRDefault="00542670" w:rsidP="00542670">
      <w:pPr>
        <w:tabs>
          <w:tab w:val="clear" w:pos="360"/>
          <w:tab w:val="clear" w:pos="720"/>
          <w:tab w:val="clear" w:pos="1440"/>
          <w:tab w:val="clear" w:pos="1800"/>
          <w:tab w:val="left" w:pos="5760"/>
        </w:tabs>
        <w:spacing w:line="360" w:lineRule="auto"/>
        <w:jc w:val="center"/>
        <w:rPr>
          <w:rFonts w:ascii="Arial" w:hAnsi="Arial" w:cs="Arial"/>
          <w:color w:val="000000"/>
          <w:sz w:val="24"/>
          <w:lang w:val="en-CA" w:eastAsia="en-CA"/>
        </w:rPr>
      </w:pPr>
      <w:r w:rsidRPr="00BD219A">
        <w:rPr>
          <w:rFonts w:ascii="Arial" w:hAnsi="Arial" w:cs="Arial"/>
          <w:color w:val="000000"/>
          <w:sz w:val="24"/>
          <w:lang w:val="en-CA" w:eastAsia="en-CA"/>
        </w:rPr>
        <w:t>Charge</w:t>
      </w:r>
      <w:r w:rsidR="00780C49" w:rsidRPr="00BD219A">
        <w:rPr>
          <w:rFonts w:ascii="Arial" w:hAnsi="Arial" w:cs="Arial"/>
          <w:color w:val="000000"/>
          <w:sz w:val="24"/>
          <w:lang w:val="en-CA" w:eastAsia="en-CA"/>
        </w:rPr>
        <w:t>s</w:t>
      </w:r>
      <w:r w:rsidRPr="00BD219A">
        <w:rPr>
          <w:rFonts w:ascii="Arial" w:hAnsi="Arial" w:cs="Arial"/>
          <w:color w:val="000000"/>
          <w:sz w:val="24"/>
          <w:lang w:val="en-CA" w:eastAsia="en-CA"/>
        </w:rPr>
        <w:t xml:space="preserve"> under s. </w:t>
      </w:r>
      <w:r w:rsidR="00BD219A" w:rsidRPr="00BD219A">
        <w:rPr>
          <w:rFonts w:ascii="Arial" w:hAnsi="Arial" w:cs="Arial"/>
          <w:color w:val="000000"/>
          <w:sz w:val="24"/>
          <w:lang w:val="en-CA" w:eastAsia="en-CA"/>
        </w:rPr>
        <w:t xml:space="preserve">172.1(1), 151, 271, 163.1(2), 163.1(4), 163.1(4.1), and (161(4) of </w:t>
      </w:r>
      <w:r w:rsidR="00BD219A" w:rsidRPr="00BD219A">
        <w:rPr>
          <w:rFonts w:ascii="Arial" w:hAnsi="Arial" w:cs="Arial"/>
          <w:color w:val="000000"/>
          <w:sz w:val="24"/>
          <w:lang w:val="en-CA" w:eastAsia="en-CA"/>
        </w:rPr>
        <w:lastRenderedPageBreak/>
        <w:t xml:space="preserve">the </w:t>
      </w:r>
      <w:r w:rsidRPr="00BD219A">
        <w:rPr>
          <w:rFonts w:ascii="Arial" w:hAnsi="Arial" w:cs="Arial"/>
          <w:i/>
          <w:iCs/>
          <w:color w:val="000000"/>
          <w:sz w:val="24"/>
          <w:lang w:val="en-CA" w:eastAsia="en-CA"/>
        </w:rPr>
        <w:t>Criminal Code</w:t>
      </w:r>
      <w:r w:rsidRPr="00BD219A">
        <w:rPr>
          <w:rFonts w:ascii="Arial" w:hAnsi="Arial" w:cs="Arial"/>
          <w:color w:val="000000"/>
          <w:sz w:val="24"/>
          <w:lang w:val="en-CA" w:eastAsia="en-CA"/>
        </w:rPr>
        <w:t xml:space="preserve"> </w:t>
      </w:r>
    </w:p>
    <w:p w14:paraId="3FFD4D7E" w14:textId="1397372E" w:rsidR="00805D5C" w:rsidRPr="00BD219A" w:rsidRDefault="00542670" w:rsidP="00E97EBF">
      <w:pPr>
        <w:tabs>
          <w:tab w:val="clear" w:pos="360"/>
          <w:tab w:val="clear" w:pos="720"/>
          <w:tab w:val="clear" w:pos="1440"/>
          <w:tab w:val="clear" w:pos="1800"/>
          <w:tab w:val="left" w:pos="5760"/>
        </w:tabs>
        <w:spacing w:line="360" w:lineRule="auto"/>
        <w:jc w:val="center"/>
        <w:rPr>
          <w:rFonts w:ascii="Arial" w:hAnsi="Arial" w:cs="Arial"/>
          <w:spacing w:val="0"/>
          <w:sz w:val="19"/>
          <w:szCs w:val="19"/>
          <w:lang w:val="en-CA"/>
        </w:rPr>
      </w:pPr>
      <w:r w:rsidRPr="00BD219A">
        <w:rPr>
          <w:rFonts w:ascii="Arial" w:hAnsi="Arial"/>
          <w:b/>
          <w:color w:val="000000"/>
          <w:sz w:val="19"/>
          <w:szCs w:val="19"/>
          <w:lang w:val="en-CA" w:eastAsia="en-CA"/>
        </w:rPr>
        <w:t xml:space="preserve">There is a ban on the publication, broadcast or transmission of any information that could identify the complainant pursuant to s. 486.4 of the </w:t>
      </w:r>
      <w:r w:rsidRPr="00BD219A">
        <w:rPr>
          <w:rFonts w:ascii="Arial" w:hAnsi="Arial"/>
          <w:b/>
          <w:i/>
          <w:iCs/>
          <w:color w:val="000000"/>
          <w:sz w:val="19"/>
          <w:szCs w:val="19"/>
          <w:lang w:val="en-CA" w:eastAsia="en-CA"/>
        </w:rPr>
        <w:t>Criminal Code</w:t>
      </w:r>
      <w:r w:rsidRPr="00BD219A">
        <w:rPr>
          <w:rFonts w:ascii="Arial" w:hAnsi="Arial"/>
          <w:b/>
          <w:color w:val="000000"/>
          <w:sz w:val="19"/>
          <w:szCs w:val="19"/>
          <w:lang w:val="en-CA" w:eastAsia="en-CA"/>
        </w:rPr>
        <w:t>.</w:t>
      </w:r>
    </w:p>
    <w:p w14:paraId="73929FEE" w14:textId="77777777" w:rsidR="00E8293E" w:rsidRPr="00BD219A" w:rsidRDefault="00E8293E" w:rsidP="00D51281">
      <w:pPr>
        <w:pStyle w:val="Indextitle"/>
        <w:tabs>
          <w:tab w:val="clear" w:pos="900"/>
          <w:tab w:val="clear" w:pos="8640"/>
        </w:tabs>
        <w:ind w:left="0" w:firstLine="0"/>
        <w:rPr>
          <w:rFonts w:ascii="Arial" w:hAnsi="Arial" w:cs="Arial"/>
          <w:sz w:val="24"/>
          <w:szCs w:val="24"/>
        </w:rPr>
        <w:sectPr w:rsidR="00E8293E" w:rsidRPr="00BD219A" w:rsidSect="00CA24CF">
          <w:footerReference w:type="default" r:id="rId11"/>
          <w:type w:val="continuous"/>
          <w:pgSz w:w="12240" w:h="15840" w:code="1"/>
          <w:pgMar w:top="1440" w:right="1440" w:bottom="2160" w:left="2160" w:header="1440" w:footer="1752" w:gutter="0"/>
          <w:pgBorders w:zOrder="back">
            <w:top w:val="double" w:sz="4" w:space="20" w:color="auto"/>
            <w:left w:val="double" w:sz="4" w:space="31" w:color="auto"/>
            <w:bottom w:val="double" w:sz="4" w:space="31" w:color="auto"/>
            <w:right w:val="double" w:sz="4" w:space="31" w:color="auto"/>
          </w:pgBorders>
          <w:cols w:space="720"/>
          <w:docGrid w:linePitch="360"/>
        </w:sectPr>
      </w:pPr>
    </w:p>
    <w:p w14:paraId="5B0E6066" w14:textId="77777777" w:rsidR="008B072D" w:rsidRPr="00BD219A" w:rsidRDefault="008B072D" w:rsidP="00EA6E79">
      <w:pPr>
        <w:pStyle w:val="Index"/>
        <w:rPr>
          <w:rFonts w:ascii="Arial" w:hAnsi="Arial" w:cs="Arial"/>
          <w:sz w:val="24"/>
          <w:szCs w:val="24"/>
        </w:rPr>
      </w:pPr>
    </w:p>
    <w:p w14:paraId="51951B78" w14:textId="77777777" w:rsidR="00F529E1" w:rsidRPr="00BD219A" w:rsidRDefault="00F529E1" w:rsidP="00F529E1">
      <w:pPr>
        <w:pStyle w:val="Index"/>
        <w:jc w:val="center"/>
        <w:rPr>
          <w:rFonts w:ascii="Arial" w:hAnsi="Arial" w:cs="Arial"/>
          <w:b/>
          <w:sz w:val="24"/>
          <w:szCs w:val="24"/>
          <w:u w:val="single"/>
        </w:rPr>
      </w:pPr>
      <w:r w:rsidRPr="00BD219A">
        <w:rPr>
          <w:rFonts w:ascii="Arial" w:hAnsi="Arial" w:cs="Arial"/>
          <w:b/>
          <w:sz w:val="24"/>
          <w:szCs w:val="24"/>
          <w:u w:val="single"/>
        </w:rPr>
        <w:t>I N D E X</w:t>
      </w:r>
    </w:p>
    <w:p w14:paraId="604BB271" w14:textId="77777777" w:rsidR="00F529E1" w:rsidRPr="00BD219A" w:rsidRDefault="00F529E1" w:rsidP="00A54039">
      <w:pPr>
        <w:pStyle w:val="Index"/>
        <w:tabs>
          <w:tab w:val="clear" w:pos="360"/>
          <w:tab w:val="clear" w:pos="720"/>
          <w:tab w:val="clear" w:pos="1440"/>
          <w:tab w:val="clear" w:pos="1800"/>
          <w:tab w:val="clear" w:pos="2160"/>
          <w:tab w:val="clear" w:pos="4680"/>
          <w:tab w:val="clear" w:pos="9360"/>
          <w:tab w:val="left" w:pos="7920"/>
        </w:tabs>
        <w:rPr>
          <w:rFonts w:ascii="Arial" w:hAnsi="Arial" w:cs="Arial"/>
          <w:b/>
          <w:sz w:val="24"/>
          <w:szCs w:val="24"/>
        </w:rPr>
      </w:pPr>
      <w:r w:rsidRPr="00BD219A">
        <w:rPr>
          <w:rFonts w:ascii="Arial" w:hAnsi="Arial" w:cs="Arial"/>
          <w:b/>
          <w:sz w:val="24"/>
          <w:szCs w:val="24"/>
        </w:rPr>
        <w:tab/>
        <w:t>PAGE</w:t>
      </w:r>
    </w:p>
    <w:p w14:paraId="53098FD0" w14:textId="77777777" w:rsidR="00F529E1" w:rsidRDefault="00F529E1" w:rsidP="00F529E1">
      <w:pPr>
        <w:pStyle w:val="Index"/>
        <w:rPr>
          <w:rFonts w:ascii="Arial" w:hAnsi="Arial" w:cs="Arial"/>
          <w:sz w:val="24"/>
          <w:szCs w:val="24"/>
        </w:rPr>
      </w:pPr>
    </w:p>
    <w:p w14:paraId="299BB57E" w14:textId="77777777" w:rsidR="00E63BE5" w:rsidRDefault="00E63BE5" w:rsidP="00F529E1">
      <w:pPr>
        <w:pStyle w:val="Index"/>
        <w:rPr>
          <w:rFonts w:ascii="Arial" w:hAnsi="Arial" w:cs="Arial"/>
          <w:sz w:val="24"/>
          <w:szCs w:val="24"/>
        </w:rPr>
      </w:pPr>
    </w:p>
    <w:p w14:paraId="571F5B31" w14:textId="36B22C17" w:rsidR="00E63BE5" w:rsidRDefault="00E63BE5" w:rsidP="00E63BE5">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sidRPr="00E63BE5">
        <w:rPr>
          <w:rFonts w:ascii="Arial" w:hAnsi="Arial" w:cs="Arial"/>
          <w:b/>
          <w:bCs/>
          <w:sz w:val="24"/>
          <w:szCs w:val="24"/>
        </w:rPr>
        <w:t>SUBMISSIONS BY M. FANE</w:t>
      </w:r>
      <w:r w:rsidRPr="00BD219A">
        <w:rPr>
          <w:rFonts w:ascii="Arial" w:hAnsi="Arial" w:cs="Arial"/>
          <w:sz w:val="24"/>
          <w:szCs w:val="24"/>
        </w:rPr>
        <w:tab/>
      </w:r>
      <w:r>
        <w:rPr>
          <w:rFonts w:ascii="Arial" w:hAnsi="Arial" w:cs="Arial"/>
          <w:sz w:val="24"/>
          <w:szCs w:val="24"/>
        </w:rPr>
        <w:t>28</w:t>
      </w:r>
    </w:p>
    <w:p w14:paraId="526711B6" w14:textId="77777777" w:rsidR="00E63BE5" w:rsidRDefault="00E63BE5" w:rsidP="00F529E1">
      <w:pPr>
        <w:pStyle w:val="Index"/>
        <w:rPr>
          <w:rFonts w:ascii="Arial" w:hAnsi="Arial" w:cs="Arial"/>
          <w:sz w:val="24"/>
          <w:szCs w:val="24"/>
        </w:rPr>
      </w:pPr>
    </w:p>
    <w:p w14:paraId="148CE13B" w14:textId="77777777" w:rsidR="00A54039" w:rsidRPr="00BD219A" w:rsidRDefault="00A54039" w:rsidP="00A5403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p>
    <w:p w14:paraId="2F200CD4" w14:textId="77777777" w:rsidR="00F529E1" w:rsidRPr="00BD219A" w:rsidRDefault="00F529E1" w:rsidP="008936C3">
      <w:pPr>
        <w:pStyle w:val="Index"/>
        <w:tabs>
          <w:tab w:val="clear" w:pos="360"/>
          <w:tab w:val="clear" w:pos="720"/>
          <w:tab w:val="clear" w:pos="1440"/>
          <w:tab w:val="clear" w:pos="1800"/>
          <w:tab w:val="clear" w:pos="2160"/>
          <w:tab w:val="clear" w:pos="4680"/>
          <w:tab w:val="clear" w:pos="9360"/>
          <w:tab w:val="left" w:pos="7920"/>
        </w:tabs>
        <w:rPr>
          <w:rFonts w:ascii="Arial" w:hAnsi="Arial" w:cs="Arial"/>
          <w:b/>
          <w:sz w:val="24"/>
          <w:szCs w:val="24"/>
        </w:rPr>
      </w:pPr>
      <w:r w:rsidRPr="00BD219A">
        <w:rPr>
          <w:rFonts w:ascii="Arial" w:hAnsi="Arial" w:cs="Arial"/>
          <w:b/>
          <w:sz w:val="24"/>
          <w:szCs w:val="24"/>
        </w:rPr>
        <w:t>RULINGS, REASONS</w:t>
      </w:r>
    </w:p>
    <w:p w14:paraId="7B98EE90" w14:textId="77777777" w:rsidR="00F529E1" w:rsidRPr="00BD219A" w:rsidRDefault="00F529E1" w:rsidP="00F529E1">
      <w:pPr>
        <w:pStyle w:val="Index"/>
        <w:tabs>
          <w:tab w:val="clear" w:pos="360"/>
          <w:tab w:val="clear" w:pos="720"/>
          <w:tab w:val="clear" w:pos="1440"/>
          <w:tab w:val="clear" w:pos="1800"/>
          <w:tab w:val="clear" w:pos="2160"/>
          <w:tab w:val="clear" w:pos="4680"/>
          <w:tab w:val="clear" w:pos="9360"/>
          <w:tab w:val="left" w:pos="6480"/>
        </w:tabs>
        <w:rPr>
          <w:rFonts w:ascii="Arial" w:hAnsi="Arial" w:cs="Arial"/>
          <w:sz w:val="24"/>
          <w:szCs w:val="24"/>
        </w:rPr>
      </w:pPr>
    </w:p>
    <w:p w14:paraId="35050A71" w14:textId="0CF7286C" w:rsidR="00F529E1" w:rsidRDefault="00F529E1"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sidRPr="00BD219A">
        <w:rPr>
          <w:rFonts w:ascii="Arial" w:hAnsi="Arial" w:cs="Arial"/>
          <w:sz w:val="24"/>
          <w:szCs w:val="24"/>
        </w:rPr>
        <w:t xml:space="preserve">Order re ban on publication, s. </w:t>
      </w:r>
      <w:r w:rsidR="00744E92">
        <w:rPr>
          <w:rFonts w:ascii="Arial" w:hAnsi="Arial" w:cs="Arial"/>
          <w:sz w:val="24"/>
          <w:szCs w:val="24"/>
        </w:rPr>
        <w:t>486</w:t>
      </w:r>
      <w:r w:rsidRPr="00BD219A">
        <w:rPr>
          <w:rFonts w:ascii="Arial" w:hAnsi="Arial" w:cs="Arial"/>
          <w:sz w:val="24"/>
          <w:szCs w:val="24"/>
        </w:rPr>
        <w:t>(</w:t>
      </w:r>
      <w:r w:rsidR="00744E92">
        <w:rPr>
          <w:rFonts w:ascii="Arial" w:hAnsi="Arial" w:cs="Arial"/>
          <w:sz w:val="24"/>
          <w:szCs w:val="24"/>
        </w:rPr>
        <w:t>4</w:t>
      </w:r>
      <w:r w:rsidRPr="00BD219A">
        <w:rPr>
          <w:rFonts w:ascii="Arial" w:hAnsi="Arial" w:cs="Arial"/>
          <w:sz w:val="24"/>
          <w:szCs w:val="24"/>
        </w:rPr>
        <w:t>)</w:t>
      </w:r>
      <w:r w:rsidRPr="00BD219A">
        <w:rPr>
          <w:rFonts w:ascii="Arial" w:hAnsi="Arial" w:cs="Arial"/>
          <w:sz w:val="24"/>
          <w:szCs w:val="24"/>
        </w:rPr>
        <w:tab/>
        <w:t>2</w:t>
      </w:r>
    </w:p>
    <w:p w14:paraId="3DAE8F72" w14:textId="4F93D56A" w:rsidR="00744E92" w:rsidRDefault="00744E92"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Pr>
          <w:rFonts w:ascii="Arial" w:hAnsi="Arial" w:cs="Arial"/>
          <w:sz w:val="24"/>
          <w:szCs w:val="24"/>
        </w:rPr>
        <w:t xml:space="preserve">Order re transcript of decision </w:t>
      </w:r>
      <w:r>
        <w:rPr>
          <w:rFonts w:ascii="Arial" w:hAnsi="Arial" w:cs="Arial"/>
          <w:sz w:val="24"/>
          <w:szCs w:val="24"/>
        </w:rPr>
        <w:tab/>
        <w:t>2</w:t>
      </w:r>
    </w:p>
    <w:p w14:paraId="1367CCD0" w14:textId="6EC6E178" w:rsidR="003E59FC" w:rsidRPr="00BD219A" w:rsidRDefault="003E59FC"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Pr>
          <w:rFonts w:ascii="Arial" w:hAnsi="Arial" w:cs="Arial"/>
          <w:sz w:val="24"/>
          <w:szCs w:val="24"/>
        </w:rPr>
        <w:t xml:space="preserve">Reasons for decision </w:t>
      </w:r>
      <w:r>
        <w:rPr>
          <w:rFonts w:ascii="Arial" w:hAnsi="Arial" w:cs="Arial"/>
          <w:sz w:val="24"/>
          <w:szCs w:val="24"/>
        </w:rPr>
        <w:tab/>
        <w:t>2</w:t>
      </w:r>
    </w:p>
    <w:p w14:paraId="1D6E5BE8" w14:textId="1D90B019" w:rsidR="00F529E1" w:rsidRDefault="003E59FC"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Pr>
          <w:rFonts w:ascii="Arial" w:hAnsi="Arial" w:cs="Arial"/>
          <w:sz w:val="24"/>
          <w:szCs w:val="24"/>
        </w:rPr>
        <w:t xml:space="preserve">Decision </w:t>
      </w:r>
      <w:r w:rsidR="00F529E1" w:rsidRPr="00BD219A">
        <w:rPr>
          <w:rFonts w:ascii="Arial" w:hAnsi="Arial" w:cs="Arial"/>
          <w:sz w:val="24"/>
          <w:szCs w:val="24"/>
        </w:rPr>
        <w:tab/>
      </w:r>
      <w:r>
        <w:rPr>
          <w:rFonts w:ascii="Arial" w:hAnsi="Arial" w:cs="Arial"/>
          <w:sz w:val="24"/>
          <w:szCs w:val="24"/>
        </w:rPr>
        <w:t>26</w:t>
      </w:r>
    </w:p>
    <w:p w14:paraId="2A2BC0CB" w14:textId="71D924FF" w:rsidR="003E59FC" w:rsidRDefault="003E59FC"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Pr>
          <w:rFonts w:ascii="Arial" w:hAnsi="Arial" w:cs="Arial"/>
          <w:sz w:val="24"/>
          <w:szCs w:val="24"/>
        </w:rPr>
        <w:t>Ancillary orders</w:t>
      </w:r>
      <w:r>
        <w:rPr>
          <w:rFonts w:ascii="Arial" w:hAnsi="Arial" w:cs="Arial"/>
          <w:sz w:val="24"/>
          <w:szCs w:val="24"/>
        </w:rPr>
        <w:tab/>
        <w:t>27</w:t>
      </w:r>
    </w:p>
    <w:p w14:paraId="23088C72" w14:textId="55D010C5" w:rsidR="003E59FC" w:rsidRPr="00BD219A" w:rsidRDefault="003E59FC"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Pr>
          <w:rFonts w:ascii="Arial" w:hAnsi="Arial" w:cs="Arial"/>
          <w:sz w:val="24"/>
          <w:szCs w:val="24"/>
        </w:rPr>
        <w:t xml:space="preserve">Order re waiver of victim of crime surcharge </w:t>
      </w:r>
      <w:r>
        <w:rPr>
          <w:rFonts w:ascii="Arial" w:hAnsi="Arial" w:cs="Arial"/>
          <w:sz w:val="24"/>
          <w:szCs w:val="24"/>
        </w:rPr>
        <w:tab/>
        <w:t>28</w:t>
      </w:r>
    </w:p>
    <w:p w14:paraId="2DC8985E" w14:textId="77777777" w:rsidR="00E8293E" w:rsidRPr="00BD219A" w:rsidRDefault="00E8293E" w:rsidP="00E8293E">
      <w:pPr>
        <w:pStyle w:val="Index"/>
        <w:rPr>
          <w:rFonts w:ascii="Arial" w:hAnsi="Arial" w:cs="Arial"/>
          <w:sz w:val="24"/>
          <w:szCs w:val="24"/>
        </w:rPr>
        <w:sectPr w:rsidR="00E8293E" w:rsidRPr="00BD219A" w:rsidSect="00CA24CF">
          <w:headerReference w:type="default" r:id="rId12"/>
          <w:footerReference w:type="default" r:id="rId13"/>
          <w:pgSz w:w="12240" w:h="15840" w:code="1"/>
          <w:pgMar w:top="1440" w:right="1440" w:bottom="2160" w:left="2160" w:header="720" w:footer="1757" w:gutter="0"/>
          <w:pgBorders w:zOrder="back">
            <w:top w:val="double" w:sz="4" w:space="20" w:color="auto"/>
            <w:left w:val="double" w:sz="4" w:space="31" w:color="auto"/>
            <w:bottom w:val="double" w:sz="4" w:space="31" w:color="auto"/>
            <w:right w:val="double" w:sz="4" w:space="31" w:color="auto"/>
          </w:pgBorders>
          <w:pgNumType w:fmt="lowerRoman" w:start="1"/>
          <w:cols w:space="720"/>
          <w:docGrid w:linePitch="360"/>
        </w:sectPr>
      </w:pPr>
    </w:p>
    <w:p w14:paraId="36DB1CB3" w14:textId="75A40451" w:rsidR="003C5BA1" w:rsidRDefault="003C5BA1" w:rsidP="003C5BA1">
      <w:pPr>
        <w:pStyle w:val="Coll"/>
      </w:pPr>
      <w:r>
        <w:lastRenderedPageBreak/>
        <w:t xml:space="preserve">THE COURT:            Good morning. </w:t>
      </w:r>
    </w:p>
    <w:p w14:paraId="746639F0" w14:textId="33E67F8C" w:rsidR="00344BD9" w:rsidRDefault="00744E92" w:rsidP="00EC765F">
      <w:pPr>
        <w:pStyle w:val="Coll"/>
      </w:pPr>
      <w:r>
        <w:t xml:space="preserve">THE COURT:            So I will start by mentioning that we have on this matter a publication ban under 486.4 of the </w:t>
      </w:r>
      <w:r w:rsidRPr="00744E92">
        <w:rPr>
          <w:i/>
          <w:iCs/>
        </w:rPr>
        <w:t>Criminal Code</w:t>
      </w:r>
      <w:r>
        <w:t xml:space="preserve"> which prevents publication of any information which would reveal the identity of the complainant in this matter.  And I will refer to the victim by her initials N.C. throughout this decision.  I am going to order a transcript of this decision with the intention of having the decision published, and I may make minor adjustments to the transcript for things like case citations if necessary. </w:t>
      </w:r>
    </w:p>
    <w:p w14:paraId="4B9FAD7A" w14:textId="72AB883F" w:rsidR="00744E92" w:rsidRDefault="00744E92" w:rsidP="00744E92">
      <w:pPr>
        <w:pStyle w:val="Coll"/>
      </w:pPr>
      <w:r>
        <w:tab/>
      </w:r>
      <w:r>
        <w:tab/>
        <w:t>So by way of introduction, we are here today for a sentencing decision for Leon Alikamik</w:t>
      </w:r>
      <w:r w:rsidR="00F15A5A">
        <w:t>,</w:t>
      </w:r>
      <w:r>
        <w:t xml:space="preserve"> also known as Rhea Alikamik</w:t>
      </w:r>
      <w:r w:rsidR="00F15A5A">
        <w:t>,</w:t>
      </w:r>
      <w:r>
        <w:t xml:space="preserve"> who has pled guilty to one count of sexual assault under 271 of the </w:t>
      </w:r>
      <w:r w:rsidRPr="00744E92">
        <w:rPr>
          <w:i/>
          <w:iCs/>
        </w:rPr>
        <w:t>Criminal Code</w:t>
      </w:r>
      <w:r>
        <w:t xml:space="preserve"> and one count of breach of a 161 order.  The victim in this case was a child.  She was 15 years old at the time of the offence, which requires me to consider certain sentencing principles which I will address in my decision.  </w:t>
      </w:r>
    </w:p>
    <w:p w14:paraId="35EC63DC" w14:textId="73AD7CA3" w:rsidR="00344BD9" w:rsidRDefault="00744E92" w:rsidP="00EC765F">
      <w:pPr>
        <w:pStyle w:val="Coll"/>
      </w:pPr>
      <w:r>
        <w:tab/>
      </w:r>
      <w:r>
        <w:tab/>
        <w:t xml:space="preserve">Mr. Alikamik is a gender diverse individual.  His legal name is Rhea Alikamik.  He's a biological female, and he presented outwardly as a woman much of his life.  Sometime in the last few years, Mr. Alikamik has expressed he prefers to be called "Leon" and prefers male pronouns, which I will use throughout this decision. </w:t>
      </w:r>
    </w:p>
    <w:p w14:paraId="45991BE7" w14:textId="1C0027EB" w:rsidR="00744E92" w:rsidRDefault="00744E92" w:rsidP="00744E92">
      <w:pPr>
        <w:pStyle w:val="Coll"/>
      </w:pPr>
      <w:r>
        <w:lastRenderedPageBreak/>
        <w:tab/>
      </w:r>
      <w:r>
        <w:tab/>
      </w:r>
      <w:r w:rsidR="00A905E5">
        <w:t>I will first address the facts</w:t>
      </w:r>
      <w:r w:rsidR="00E33307">
        <w:rPr>
          <w:lang w:val="en-US"/>
        </w:rPr>
        <w:t>,</w:t>
      </w:r>
      <w:r w:rsidR="00A905E5">
        <w:t xml:space="preserve"> as set out in the agreed statement of facts submitted at the sentencing hearing.  Mr. Alikamik sexually assaulted the victim N.C. when he was 23 years old, and she was 15 years old.  The assaults took place over a number of months from August 2020 to November 2020.  </w:t>
      </w:r>
    </w:p>
    <w:p w14:paraId="6EF4DD11" w14:textId="65C68831" w:rsidR="00A905E5" w:rsidRDefault="00A905E5" w:rsidP="00744E92">
      <w:pPr>
        <w:pStyle w:val="Coll"/>
      </w:pPr>
      <w:r>
        <w:tab/>
      </w:r>
      <w:r>
        <w:tab/>
        <w:t xml:space="preserve">There is some background that is important to mention.  In May of 2019 Mr. Alikamik, then known as "Rhea Alikamik," was convicted of invitation to sexual touching contrary to </w:t>
      </w:r>
      <w:r w:rsidR="0071123E">
        <w:t>Section</w:t>
      </w:r>
      <w:r>
        <w:t xml:space="preserve"> 152 of the </w:t>
      </w:r>
      <w:r w:rsidRPr="00A905E5">
        <w:rPr>
          <w:i/>
          <w:iCs/>
        </w:rPr>
        <w:t>Criminal Code</w:t>
      </w:r>
      <w:r w:rsidR="00F15A5A">
        <w:t xml:space="preserve">, </w:t>
      </w:r>
      <w:r>
        <w:t xml:space="preserve">an offence wherein N.C. was also the victim.  </w:t>
      </w:r>
    </w:p>
    <w:p w14:paraId="716393D9" w14:textId="6757143A" w:rsidR="00A905E5" w:rsidRDefault="00A905E5" w:rsidP="00744E92">
      <w:pPr>
        <w:pStyle w:val="Coll"/>
      </w:pPr>
      <w:r>
        <w:tab/>
      </w:r>
      <w:r>
        <w:tab/>
        <w:t xml:space="preserve">At the time of the first offence N.C. was 13 years old.  In that case Mr. Alikamik was sentenced to 90 days imprisonment in addition to a three-year order under </w:t>
      </w:r>
      <w:r w:rsidR="0071123E">
        <w:t>Section</w:t>
      </w:r>
      <w:r>
        <w:t xml:space="preserve"> 161 of the </w:t>
      </w:r>
      <w:r w:rsidRPr="00A905E5">
        <w:rPr>
          <w:i/>
          <w:iCs/>
        </w:rPr>
        <w:t>Criminal Code</w:t>
      </w:r>
      <w:r>
        <w:t xml:space="preserve">, preventing him from being in contact with anyone under the age of 16 years.  </w:t>
      </w:r>
    </w:p>
    <w:p w14:paraId="6345F72B" w14:textId="7488A261" w:rsidR="00A905E5" w:rsidRDefault="00A905E5" w:rsidP="00744E92">
      <w:pPr>
        <w:pStyle w:val="Coll"/>
      </w:pPr>
      <w:r>
        <w:tab/>
      </w:r>
      <w:r>
        <w:tab/>
        <w:t xml:space="preserve">Despite the earlier conviction for an offence against N.C. and serving his time in jail, </w:t>
      </w:r>
      <w:r w:rsidR="00E33307">
        <w:br/>
      </w:r>
      <w:r>
        <w:t>Mr.</w:t>
      </w:r>
      <w:r w:rsidR="00E33307">
        <w:rPr>
          <w:lang w:val="en-US"/>
        </w:rPr>
        <w:t xml:space="preserve"> </w:t>
      </w:r>
      <w:r>
        <w:t>Alikamik re-established contact with N.C. in 2020 while the 161 order remained in place.  N.C. contacted him first in the summer of 2020.  Mr. Alikamik was back in his home of Ulukhaktok after being released from custody, and N.C. was living in Inuvik at the time.</w:t>
      </w:r>
    </w:p>
    <w:p w14:paraId="6ADCCE85" w14:textId="793378A7" w:rsidR="00A905E5" w:rsidRDefault="00A905E5" w:rsidP="00744E92">
      <w:pPr>
        <w:pStyle w:val="Coll"/>
      </w:pPr>
      <w:r>
        <w:tab/>
      </w:r>
      <w:r>
        <w:tab/>
        <w:t>In late August of 2020</w:t>
      </w:r>
      <w:r w:rsidR="00E33307">
        <w:rPr>
          <w:lang w:val="en-US"/>
        </w:rPr>
        <w:t>,</w:t>
      </w:r>
      <w:r>
        <w:t xml:space="preserve"> N.C. returned to Ulukhaktok and met with Mr. Alikamik in person.  </w:t>
      </w:r>
      <w:r w:rsidR="00E33307">
        <w:br/>
      </w:r>
      <w:r>
        <w:lastRenderedPageBreak/>
        <w:t>Mr.</w:t>
      </w:r>
      <w:r w:rsidR="00E33307">
        <w:rPr>
          <w:lang w:val="en-US"/>
        </w:rPr>
        <w:t xml:space="preserve"> </w:t>
      </w:r>
      <w:r>
        <w:t>Alikamik had sexual relations with N.C. on numerous occasions between August 2020 and November 2020.  The meetings between them would be coordinated by phone messaging each other back and forth, including sexually explicit text messages.</w:t>
      </w:r>
    </w:p>
    <w:p w14:paraId="44578A1F" w14:textId="16B6FC0A" w:rsidR="00A905E5" w:rsidRDefault="00A905E5" w:rsidP="00A905E5">
      <w:pPr>
        <w:pStyle w:val="Coll"/>
      </w:pPr>
      <w:r>
        <w:tab/>
      </w:r>
      <w:r>
        <w:tab/>
        <w:t xml:space="preserve">N.C. sent intimate images of herself to Mr. Alikamik via Facebook Messenger and other messaging applications.  These intimate images came to the attention of police when Facebook reported an upload thought to contain material that met the </w:t>
      </w:r>
      <w:r w:rsidRPr="00A905E5">
        <w:rPr>
          <w:i/>
          <w:iCs/>
        </w:rPr>
        <w:t>Criminal Code</w:t>
      </w:r>
      <w:r>
        <w:t xml:space="preserve"> definition of child pornography or child sex abuse material to the National Centre for Missing and Exploited Children.</w:t>
      </w:r>
    </w:p>
    <w:p w14:paraId="5B6FFE2A" w14:textId="5EE7A9D4" w:rsidR="00A905E5" w:rsidRDefault="00A905E5" w:rsidP="00A905E5">
      <w:pPr>
        <w:pStyle w:val="Coll"/>
      </w:pPr>
      <w:r>
        <w:tab/>
      </w:r>
      <w:r>
        <w:tab/>
        <w:t>The National Centre for Missing and Exploited Children is a nonprofit organization in the United States which acts as a clearing house for complaints of internet child exploitation.  It receives reports from American electronic service providers and forwards the information to the appropriate jurisdiction.</w:t>
      </w:r>
    </w:p>
    <w:p w14:paraId="64FBE093" w14:textId="70EE8864" w:rsidR="00A905E5" w:rsidRDefault="00A905E5" w:rsidP="00A905E5">
      <w:pPr>
        <w:pStyle w:val="Coll"/>
      </w:pPr>
      <w:r>
        <w:tab/>
      </w:r>
      <w:r>
        <w:tab/>
      </w:r>
      <w:r w:rsidR="000A2927">
        <w:t xml:space="preserve">The reports include access times, user account information, the user's IP address and the impugned media.  The report was linked to the home internet subscriber at Mr. Alikamik's residence.  </w:t>
      </w:r>
      <w:r w:rsidR="00E33307">
        <w:br/>
      </w:r>
      <w:r w:rsidR="000A2927">
        <w:t>Mr.</w:t>
      </w:r>
      <w:r w:rsidR="00E33307">
        <w:rPr>
          <w:lang w:val="en-US"/>
        </w:rPr>
        <w:t xml:space="preserve"> </w:t>
      </w:r>
      <w:r w:rsidR="000A2927">
        <w:t xml:space="preserve">Alikamik was arrested, and a phone located in his bedroom was seized incident to arrest.  </w:t>
      </w:r>
    </w:p>
    <w:p w14:paraId="41D6B1A8" w14:textId="550DB593" w:rsidR="000A2927" w:rsidRDefault="000A2927" w:rsidP="00A905E5">
      <w:pPr>
        <w:pStyle w:val="Coll"/>
      </w:pPr>
      <w:r>
        <w:tab/>
      </w:r>
      <w:r>
        <w:tab/>
        <w:t xml:space="preserve">A search warrant was obtained revealing that Mr. Alikamik's phone had photos of Mr. Alikamik </w:t>
      </w:r>
      <w:r>
        <w:lastRenderedPageBreak/>
        <w:t xml:space="preserve">engaged in sexual relations with N.C.  A categorization summary report of the child sex abuse material was prepared by the RCMP and appended to the agreed statement of facts.  </w:t>
      </w:r>
    </w:p>
    <w:p w14:paraId="6C1FCFD1" w14:textId="2E3D5D8E" w:rsidR="000A2927" w:rsidRDefault="000A2927" w:rsidP="00A905E5">
      <w:pPr>
        <w:pStyle w:val="Coll"/>
      </w:pPr>
      <w:r>
        <w:tab/>
      </w:r>
      <w:r>
        <w:tab/>
        <w:t>It includes written descriptions of the child sex abuse material images and reproductions of certain text messages exchanged between Mr. Alikamik and N.C.  The text messages describe invasive sexual contact between Mr. Alikamik and N.C.</w:t>
      </w:r>
      <w:r w:rsidR="00F15A5A">
        <w:t xml:space="preserve">, </w:t>
      </w:r>
      <w:r>
        <w:t>and the defence acknowledges that such sexual activity took place.</w:t>
      </w:r>
    </w:p>
    <w:p w14:paraId="36A961FC" w14:textId="4991D9CF" w:rsidR="000A2927" w:rsidRDefault="000A2927" w:rsidP="00A905E5">
      <w:pPr>
        <w:pStyle w:val="Coll"/>
      </w:pPr>
      <w:r>
        <w:tab/>
      </w:r>
      <w:r>
        <w:tab/>
        <w:t>Mr. Alikamik admits there were repeated instances of sexual relations and that there was invasive sexual contact between him and N.C. as suggested by the text messages.  In my view</w:t>
      </w:r>
      <w:r w:rsidR="00E33307">
        <w:rPr>
          <w:lang w:val="en-US"/>
        </w:rPr>
        <w:t>,</w:t>
      </w:r>
      <w:r>
        <w:t xml:space="preserve"> the conduct referred to in the text messages amounts to a major sexual assault.</w:t>
      </w:r>
    </w:p>
    <w:p w14:paraId="1E6C6B3E" w14:textId="0AEEF5B0" w:rsidR="000A2927" w:rsidRDefault="000A2927" w:rsidP="00A905E5">
      <w:pPr>
        <w:pStyle w:val="Coll"/>
      </w:pPr>
      <w:r>
        <w:tab/>
      </w:r>
      <w:r>
        <w:tab/>
        <w:t>According to Mr. Alikamik, he was in a romantic relationship with N.C. during the time period of the offences.  Mr. Alikamik was arrested and released on terms that included not possessing a cell phone and not contacting N.C.  The matter was set for preliminary inquiry on February 1, 2023.</w:t>
      </w:r>
    </w:p>
    <w:p w14:paraId="22BB3FF4" w14:textId="4C62CBAF" w:rsidR="00344BD9" w:rsidRDefault="000A2927" w:rsidP="00EC765F">
      <w:pPr>
        <w:pStyle w:val="Coll"/>
      </w:pPr>
      <w:r>
        <w:tab/>
      </w:r>
      <w:r>
        <w:tab/>
        <w:t xml:space="preserve">N.C. attended on that date and was prepared to testify.  At that time Mr. Alikamik communicated to the Court that he intended to plead guilty.  In December 2023 Mr. Alikamik was arrested </w:t>
      </w:r>
      <w:r>
        <w:lastRenderedPageBreak/>
        <w:t>and confirmed to RCMP that he had been using a cell phone in breach of his conditions.  A guilty plea was entered on the sexual assault and 161 offences on October 4, 2024, and the sentencing hearing took place on May 27, 2025.</w:t>
      </w:r>
    </w:p>
    <w:p w14:paraId="1111238E" w14:textId="358B9E99" w:rsidR="00E33307" w:rsidRDefault="000A2927" w:rsidP="00A905E5">
      <w:pPr>
        <w:pStyle w:val="Coll"/>
      </w:pPr>
      <w:r>
        <w:tab/>
      </w:r>
      <w:r>
        <w:tab/>
        <w:t xml:space="preserve">I will first address the accused's circumstances.  Mr. Alikamik submitted both a </w:t>
      </w:r>
      <w:r w:rsidRPr="00F15A5A">
        <w:rPr>
          <w:i/>
          <w:iCs/>
        </w:rPr>
        <w:t xml:space="preserve">Gladue </w:t>
      </w:r>
      <w:r>
        <w:t xml:space="preserve">report and a forensic psychiatry </w:t>
      </w:r>
      <w:r w:rsidR="00344BD9">
        <w:t xml:space="preserve">report </w:t>
      </w:r>
      <w:r>
        <w:t xml:space="preserve">written by Dr. Cynthia Baxter during the sentencing hearing.  I will refer to the forensic psychiatry report as the "Baxter report" in my decision.  </w:t>
      </w:r>
      <w:r w:rsidR="00EF0A91">
        <w:t xml:space="preserve">I rely on both of these sources in summarizing the accused's circumstances.  I will not repeat all of the details in these reports but have considered them carefully.  </w:t>
      </w:r>
    </w:p>
    <w:p w14:paraId="18600ECC" w14:textId="0E38A574" w:rsidR="00EF0A91" w:rsidRDefault="00E33307" w:rsidP="00A905E5">
      <w:pPr>
        <w:pStyle w:val="Coll"/>
      </w:pPr>
      <w:r>
        <w:tab/>
      </w:r>
      <w:r>
        <w:tab/>
      </w:r>
      <w:r w:rsidR="00EF0A91">
        <w:t>In terms of his background, Mr. Alikamik is an Indigenous person from Ulukhaktok, Northwest Territories.  He was the third of four children born to his biological parents.  Immediately upon his birth</w:t>
      </w:r>
      <w:r>
        <w:rPr>
          <w:lang w:val="en-US"/>
        </w:rPr>
        <w:t>,</w:t>
      </w:r>
      <w:r w:rsidR="00EF0A91">
        <w:t xml:space="preserve"> he was custom-adopted by his paternal aunt and her husband, who he refers to as his "parents."  He was raised in Ulukhaktok</w:t>
      </w:r>
      <w:r>
        <w:rPr>
          <w:lang w:val="en-US"/>
        </w:rPr>
        <w:t>,</w:t>
      </w:r>
      <w:r w:rsidR="00EF0A91">
        <w:t xml:space="preserve"> and has lived there his entire life.  He has a close relationship with his family, including his maternal grandparents.  He participated in traditional activities</w:t>
      </w:r>
      <w:r>
        <w:rPr>
          <w:lang w:val="en-US"/>
        </w:rPr>
        <w:t>,</w:t>
      </w:r>
      <w:r w:rsidR="00EF0A91">
        <w:t xml:space="preserve"> like hunting with his grandparents</w:t>
      </w:r>
      <w:r w:rsidR="00344BD9">
        <w:t>,</w:t>
      </w:r>
      <w:r w:rsidR="00EF0A91">
        <w:t xml:space="preserve"> throughout his life.  </w:t>
      </w:r>
    </w:p>
    <w:p w14:paraId="734DCC73" w14:textId="39D8B5B8" w:rsidR="00EF0A91" w:rsidRDefault="00EF0A91" w:rsidP="00A905E5">
      <w:pPr>
        <w:pStyle w:val="Coll"/>
      </w:pPr>
      <w:r>
        <w:tab/>
      </w:r>
      <w:r>
        <w:tab/>
        <w:t xml:space="preserve">Counsel for Mr. Alikamik points out that like other communities in the NWT, Ulukhaktok continues to feel the effects of colonialism, and the </w:t>
      </w:r>
      <w:r>
        <w:lastRenderedPageBreak/>
        <w:t xml:space="preserve">people living there experience challenges that impact their standard of living and quality of life.  This includes challenges in accessing healthcare and other services. </w:t>
      </w:r>
    </w:p>
    <w:p w14:paraId="72FA660C" w14:textId="6EDCC786" w:rsidR="00EF0A91" w:rsidRDefault="00EF0A91" w:rsidP="00A905E5">
      <w:pPr>
        <w:pStyle w:val="Coll"/>
      </w:pPr>
      <w:r>
        <w:tab/>
      </w:r>
      <w:r>
        <w:tab/>
        <w:t xml:space="preserve">Mr. Alikamik did not attend residential school, but his grandmother did.  There is some evidence in the Baxter report and the </w:t>
      </w:r>
      <w:r w:rsidRPr="00EF0A91">
        <w:rPr>
          <w:i/>
          <w:iCs/>
        </w:rPr>
        <w:t>Gladue</w:t>
      </w:r>
      <w:r>
        <w:t xml:space="preserve"> report that he was exposed to parental substance abuse and domestic violence during his childhood.  </w:t>
      </w:r>
    </w:p>
    <w:p w14:paraId="5477E81C" w14:textId="7FF320AB" w:rsidR="00EF0A91" w:rsidRDefault="00EF0A91" w:rsidP="00A905E5">
      <w:pPr>
        <w:pStyle w:val="Coll"/>
      </w:pPr>
      <w:r>
        <w:tab/>
      </w:r>
      <w:r>
        <w:tab/>
        <w:t>He described sometimes "drinking to forget" during his teenage years and reports some incidents of binge</w:t>
      </w:r>
      <w:r w:rsidR="00E33307">
        <w:rPr>
          <w:lang w:val="en-US"/>
        </w:rPr>
        <w:t>-</w:t>
      </w:r>
      <w:r>
        <w:t>drinking.  But overall, there is no evidence of persistent substance abuse issues and no link between alcohol use and the offences committed.</w:t>
      </w:r>
    </w:p>
    <w:p w14:paraId="11AFDDCA" w14:textId="5483F1D6" w:rsidR="00EF0A91" w:rsidRDefault="00EF0A91" w:rsidP="00A905E5">
      <w:pPr>
        <w:pStyle w:val="Coll"/>
      </w:pPr>
      <w:r>
        <w:tab/>
      </w:r>
      <w:r>
        <w:tab/>
        <w:t>Mr. Alikamik did not attend school regularly and reports that his parents did not care if he attended or not.  He left school at age 18 after a few years of attempting grade 10.  After leaving school</w:t>
      </w:r>
      <w:r w:rsidR="00E33307">
        <w:rPr>
          <w:lang w:val="en-US"/>
        </w:rPr>
        <w:t>,</w:t>
      </w:r>
      <w:r>
        <w:t xml:space="preserve"> </w:t>
      </w:r>
      <w:r w:rsidR="00E33307">
        <w:br/>
      </w:r>
      <w:r>
        <w:t>Mr.</w:t>
      </w:r>
      <w:r w:rsidR="00E33307">
        <w:rPr>
          <w:lang w:val="en-US"/>
        </w:rPr>
        <w:t xml:space="preserve"> </w:t>
      </w:r>
      <w:r>
        <w:t>Alikamik continued his outdoor pursuits, including hunting and helping his grandparents.</w:t>
      </w:r>
    </w:p>
    <w:p w14:paraId="209B9C49" w14:textId="67AAAF0D" w:rsidR="00EF0A91" w:rsidRDefault="00EF0A91" w:rsidP="00A905E5">
      <w:pPr>
        <w:pStyle w:val="Coll"/>
      </w:pPr>
      <w:r>
        <w:tab/>
      </w:r>
      <w:r>
        <w:tab/>
        <w:t>To earn money he participated in spring and summer community clean</w:t>
      </w:r>
      <w:r w:rsidR="00E33307">
        <w:rPr>
          <w:lang w:val="en-US"/>
        </w:rPr>
        <w:t>-</w:t>
      </w:r>
      <w:r>
        <w:t xml:space="preserve">ups and the sale of seal skins.  He has always lived with his family, so he does not need to worry about rent or food.  In terms of his current status, Mr. Alikamik is not currently employed.  The </w:t>
      </w:r>
      <w:r w:rsidRPr="00EF0A91">
        <w:rPr>
          <w:i/>
          <w:iCs/>
        </w:rPr>
        <w:t>Gladue</w:t>
      </w:r>
      <w:r>
        <w:t xml:space="preserve"> report notes he is mechanically inclined and has skills to fix machines.  He also likes to cook.  He has expressed a desire to pursue employment in </w:t>
      </w:r>
      <w:r>
        <w:lastRenderedPageBreak/>
        <w:t>either of these fields in the future.  His culture is important to him</w:t>
      </w:r>
      <w:r w:rsidR="00F15A5A">
        <w:t>,</w:t>
      </w:r>
      <w:r>
        <w:t xml:space="preserve"> and he is capable and skilled while out on the land.  </w:t>
      </w:r>
    </w:p>
    <w:p w14:paraId="0FA52C6D" w14:textId="7FC32F6A" w:rsidR="00EF0A91" w:rsidRDefault="00EF0A91" w:rsidP="00A905E5">
      <w:pPr>
        <w:pStyle w:val="Coll"/>
      </w:pPr>
      <w:r>
        <w:tab/>
      </w:r>
      <w:r>
        <w:tab/>
        <w:t xml:space="preserve">In recent months Mr. Alikamik has experienced some health challenges that impacted his ability to walk.  He has seen a neurologist, and the medical report indicated the diagnosis was unclear but "favoured functional neurological disorder."  </w:t>
      </w:r>
    </w:p>
    <w:p w14:paraId="27431E8C" w14:textId="338C56CD" w:rsidR="00EF0A91" w:rsidRDefault="00EF0A91" w:rsidP="00A905E5">
      <w:pPr>
        <w:pStyle w:val="Coll"/>
      </w:pPr>
      <w:r>
        <w:tab/>
      </w:r>
      <w:r>
        <w:tab/>
        <w:t xml:space="preserve">The medical evidence does not reveal what is causing his symptoms, but it is suspected that they may be related to stressors in his life.  He was having ongoing challenges with mobility and continuing rehabilitation at the time the </w:t>
      </w:r>
      <w:r w:rsidRPr="00EF0A91">
        <w:rPr>
          <w:i/>
          <w:iCs/>
        </w:rPr>
        <w:t>Gladue</w:t>
      </w:r>
      <w:r>
        <w:t xml:space="preserve"> report was submitted in May of 2025.  </w:t>
      </w:r>
    </w:p>
    <w:p w14:paraId="3859CD0A" w14:textId="3183297F" w:rsidR="00680ECB" w:rsidRDefault="00EF0A91" w:rsidP="00A905E5">
      <w:pPr>
        <w:pStyle w:val="Coll"/>
      </w:pPr>
      <w:r>
        <w:tab/>
      </w:r>
      <w:r>
        <w:tab/>
        <w:t>Mr. Alikamik was born female and now identifies as male.  He shared very little of how this impacts his life.  He indicated to Dr. Baxter that he is not interested in surgery and that he is not bothered when people treat him as a female.  He reports that friends and family are supportive of his gender identity</w:t>
      </w:r>
      <w:r w:rsidR="00680ECB">
        <w:t>,</w:t>
      </w:r>
      <w:r>
        <w:t xml:space="preserve"> and he has not experienced </w:t>
      </w:r>
      <w:r w:rsidR="00680ECB">
        <w:t xml:space="preserve">bullying or harassment based on his gender expression.  </w:t>
      </w:r>
    </w:p>
    <w:p w14:paraId="40D80280" w14:textId="4CC35438" w:rsidR="00EF0A91" w:rsidRDefault="00680ECB" w:rsidP="00A905E5">
      <w:pPr>
        <w:pStyle w:val="Coll"/>
      </w:pPr>
      <w:r>
        <w:tab/>
      </w:r>
      <w:r>
        <w:tab/>
        <w:t xml:space="preserve">The materials do indicate a certain lack of accountability or remorse by Mr. Alikamik.  In the </w:t>
      </w:r>
      <w:r w:rsidRPr="00680ECB">
        <w:rPr>
          <w:i/>
          <w:iCs/>
        </w:rPr>
        <w:t>Gladue</w:t>
      </w:r>
      <w:r>
        <w:t xml:space="preserve"> report the writer asked him to share how he felt about the current offences, and he said, "I don't know,".  He was also asked if he regrets the events that led to </w:t>
      </w:r>
      <w:r>
        <w:lastRenderedPageBreak/>
        <w:t xml:space="preserve">the offences, to which he replied, "yeah".  </w:t>
      </w:r>
    </w:p>
    <w:p w14:paraId="16E09DBC" w14:textId="5B72C624" w:rsidR="00680ECB" w:rsidRDefault="00680ECB" w:rsidP="00A905E5">
      <w:pPr>
        <w:pStyle w:val="Coll"/>
      </w:pPr>
      <w:r>
        <w:tab/>
      </w:r>
      <w:r>
        <w:tab/>
        <w:t>When asked what specifically he regrets, he said, "I don't know".  He declined to speak at the sentencing hearing.  In the Baxter report it is noted Mr. Alikamik believed that he and N.C. were in a relationship, that N.C. was the pursuer and he told Dr.</w:t>
      </w:r>
      <w:r w:rsidR="00F15A5A">
        <w:t> </w:t>
      </w:r>
      <w:r>
        <w:t>Baxter that "the way she was, she wasn't that young".</w:t>
      </w:r>
    </w:p>
    <w:p w14:paraId="1A033262" w14:textId="02E4DC31" w:rsidR="008654EB" w:rsidRDefault="00680ECB" w:rsidP="00A905E5">
      <w:pPr>
        <w:pStyle w:val="Coll"/>
      </w:pPr>
      <w:r>
        <w:tab/>
      </w:r>
      <w:r>
        <w:tab/>
        <w:t xml:space="preserve">Given this evidence, it is unclear whether he appreciates the seriousness of the offences.  </w:t>
      </w:r>
      <w:r w:rsidR="008654EB">
        <w:t>In terms of risk assessment</w:t>
      </w:r>
      <w:r w:rsidR="00344BD9">
        <w:t xml:space="preserve"> </w:t>
      </w:r>
      <w:r w:rsidR="008654EB">
        <w:t>the Baxter report indicates that:</w:t>
      </w:r>
    </w:p>
    <w:p w14:paraId="0E57D4C2" w14:textId="15280F7F" w:rsidR="00680ECB" w:rsidRDefault="00344BD9" w:rsidP="008654EB">
      <w:pPr>
        <w:pStyle w:val="Quote1"/>
      </w:pPr>
      <w:r>
        <w:t>“</w:t>
      </w:r>
      <w:r w:rsidR="008654EB">
        <w:t>Mr. Alikamik does not present as a predatory manipulative individual who is exploitative in nature.  Rather, he appears to be an unsophisticated person with limited life skills and experience and more of a follower.</w:t>
      </w:r>
      <w:r>
        <w:t>”</w:t>
      </w:r>
      <w:r w:rsidR="008654EB">
        <w:t xml:space="preserve">  </w:t>
      </w:r>
    </w:p>
    <w:p w14:paraId="2D07B9BF" w14:textId="0D53972B" w:rsidR="008654EB" w:rsidRDefault="008654EB" w:rsidP="008654EB">
      <w:pPr>
        <w:pStyle w:val="unquote"/>
      </w:pPr>
      <w:r>
        <w:t>Further, the Baxter report concludes that:</w:t>
      </w:r>
    </w:p>
    <w:p w14:paraId="0F84F2EE" w14:textId="40667C3E" w:rsidR="00F15A5A" w:rsidRDefault="00344BD9" w:rsidP="008654EB">
      <w:pPr>
        <w:pStyle w:val="Quote1"/>
      </w:pPr>
      <w:r>
        <w:t>“</w:t>
      </w:r>
      <w:r w:rsidR="008654EB">
        <w:t xml:space="preserve">Mr. Alikamik has not fulfilled the </w:t>
      </w:r>
    </w:p>
    <w:p w14:paraId="5DBD4AF7" w14:textId="72C87AAA" w:rsidR="008654EB" w:rsidRDefault="008654EB" w:rsidP="008654EB">
      <w:pPr>
        <w:pStyle w:val="Quote1"/>
      </w:pPr>
      <w:r>
        <w:t>DSM-V</w:t>
      </w:r>
      <w:r w:rsidR="00F15A5A">
        <w:t> </w:t>
      </w:r>
      <w:r>
        <w:t>diagnostic criteria for any psychiatric disorder and also does not suffer from pedophilia disorder.</w:t>
      </w:r>
      <w:r w:rsidR="00344BD9">
        <w:t>”</w:t>
      </w:r>
      <w:r>
        <w:t xml:space="preserve"> </w:t>
      </w:r>
    </w:p>
    <w:p w14:paraId="0488CAA5" w14:textId="77777777" w:rsidR="00EC765F" w:rsidRDefault="008654EB" w:rsidP="00EC765F">
      <w:pPr>
        <w:pStyle w:val="unquote"/>
      </w:pPr>
      <w:r>
        <w:t>Overall, Dr. Baxter concludes that Mr. Alikamik is a low risk for future offences against children and future sexual offences.  The Crown does not challenge this conclusion.</w:t>
      </w:r>
    </w:p>
    <w:p w14:paraId="07505D20" w14:textId="1D6E40B3" w:rsidR="00344BD9" w:rsidRDefault="00EC765F" w:rsidP="00EC765F">
      <w:pPr>
        <w:pStyle w:val="unquote"/>
      </w:pPr>
      <w:r>
        <w:t>Regarding counsel’s</w:t>
      </w:r>
      <w:r w:rsidR="008654EB">
        <w:t xml:space="preserve"> positions on sentencing, the </w:t>
      </w:r>
      <w:r w:rsidR="008654EB">
        <w:lastRenderedPageBreak/>
        <w:t xml:space="preserve">Crown submits that three to four years of imprisonment is appropriate and seeks a three-year-global sentence for both counts.  The defence seeks two years less a day served as a conditional sentence.  </w:t>
      </w:r>
    </w:p>
    <w:p w14:paraId="31D8D746" w14:textId="7FF7776A" w:rsidR="00281943" w:rsidRDefault="00EC765F" w:rsidP="008654EB">
      <w:pPr>
        <w:pStyle w:val="unquote"/>
      </w:pPr>
      <w:r>
        <w:tab/>
      </w:r>
      <w:r w:rsidR="008654EB">
        <w:t xml:space="preserve">The purpose and principles of sentencing are set out in the </w:t>
      </w:r>
      <w:r w:rsidR="008654EB" w:rsidRPr="008654EB">
        <w:rPr>
          <w:i/>
          <w:iCs/>
        </w:rPr>
        <w:t>Criminal Code</w:t>
      </w:r>
      <w:r w:rsidR="008654EB">
        <w:t xml:space="preserve">.  The purposes of sentencing are specifically outlined in </w:t>
      </w:r>
      <w:r w:rsidR="0071123E">
        <w:t>Section</w:t>
      </w:r>
      <w:r w:rsidR="008654EB">
        <w:t xml:space="preserve"> 718 of the </w:t>
      </w:r>
      <w:r w:rsidR="008654EB" w:rsidRPr="008654EB">
        <w:rPr>
          <w:i/>
          <w:iCs/>
        </w:rPr>
        <w:t>Criminal Code</w:t>
      </w:r>
      <w:r w:rsidR="008654EB">
        <w:t>, and they are a) to denounce</w:t>
      </w:r>
      <w:r w:rsidR="00281943">
        <w:t xml:space="preserve"> unlawful conduct and the harm done to victims or to the community that is caused by unlawful conduct</w:t>
      </w:r>
      <w:r w:rsidR="00E33307">
        <w:rPr>
          <w:lang w:val="en-US"/>
        </w:rPr>
        <w:t>, b</w:t>
      </w:r>
      <w:r w:rsidR="00281943">
        <w:t xml:space="preserve">) </w:t>
      </w:r>
      <w:r w:rsidR="00E33307">
        <w:rPr>
          <w:lang w:val="en-US"/>
        </w:rPr>
        <w:t>t</w:t>
      </w:r>
      <w:r w:rsidR="00281943">
        <w:t xml:space="preserve">o deter the offender and other persons from committing offences, c) to separate offenders from society where necessary, d) to assist in rehabilitating offenders, e) to provide reparations for harm done to victims or to the community and f) to promote a sense of responsibility in offenders and acknowledgement of the harm done to victims or to the community.  </w:t>
      </w:r>
    </w:p>
    <w:p w14:paraId="5CE0D5EA" w14:textId="0A831084" w:rsidR="00281943" w:rsidRDefault="00281943" w:rsidP="008654EB">
      <w:pPr>
        <w:pStyle w:val="unquote"/>
      </w:pPr>
      <w:r>
        <w:tab/>
        <w:t>The fundamental principle of sentencing is that a sentence must be proportionate to the gravity of the offence and the degree of responsibility of the offender.  This Court has consistently stated that for the crime of sexual assault, the principles of sentencing to be primarily considered are deterrence and denunciation.</w:t>
      </w:r>
    </w:p>
    <w:p w14:paraId="54DC7248" w14:textId="314E7867" w:rsidR="00281943" w:rsidRDefault="00281943" w:rsidP="008654EB">
      <w:pPr>
        <w:pStyle w:val="unquote"/>
      </w:pPr>
      <w:r>
        <w:tab/>
        <w:t xml:space="preserve">When it comes to abuse against children, these are also the primary sentencing principles as set out in </w:t>
      </w:r>
      <w:r w:rsidR="0071123E">
        <w:t>Section</w:t>
      </w:r>
      <w:r>
        <w:t xml:space="preserve"> 718.01 of the </w:t>
      </w:r>
      <w:r w:rsidRPr="00281943">
        <w:rPr>
          <w:i/>
          <w:iCs/>
        </w:rPr>
        <w:t>Criminal Code</w:t>
      </w:r>
      <w:r>
        <w:t xml:space="preserve">.  In </w:t>
      </w:r>
      <w:r w:rsidRPr="00281943">
        <w:rPr>
          <w:i/>
          <w:iCs/>
        </w:rPr>
        <w:t xml:space="preserve">R v </w:t>
      </w:r>
      <w:r w:rsidRPr="00281943">
        <w:rPr>
          <w:i/>
          <w:iCs/>
        </w:rPr>
        <w:lastRenderedPageBreak/>
        <w:t>Friesen</w:t>
      </w:r>
      <w:r>
        <w:t xml:space="preserve">, 2020 SCC 9, the Supreme Court of Canada reviews sentencing principles for sexual offences against children. </w:t>
      </w:r>
    </w:p>
    <w:p w14:paraId="50F6D5CA" w14:textId="77777777" w:rsidR="00281943" w:rsidRDefault="00281943" w:rsidP="008654EB">
      <w:pPr>
        <w:pStyle w:val="unquote"/>
      </w:pPr>
      <w:r>
        <w:tab/>
      </w:r>
      <w:r w:rsidRPr="00281943">
        <w:rPr>
          <w:i/>
          <w:iCs/>
        </w:rPr>
        <w:t>Friesen</w:t>
      </w:r>
      <w:r>
        <w:t xml:space="preserve"> emphasizes proportionality.  It demands that courts consider the harmfulness and wrongfulness of sexual violence against children and that the gravity of the offence be understood and reflected in the sentences imposed.  </w:t>
      </w:r>
    </w:p>
    <w:p w14:paraId="669381A6" w14:textId="08DD2F6C" w:rsidR="00281943" w:rsidRDefault="00281943" w:rsidP="00344BD9">
      <w:pPr>
        <w:pStyle w:val="unquote"/>
      </w:pPr>
      <w:r>
        <w:rPr>
          <w:i/>
          <w:iCs/>
        </w:rPr>
        <w:tab/>
      </w:r>
      <w:r w:rsidRPr="00281943">
        <w:rPr>
          <w:i/>
          <w:iCs/>
        </w:rPr>
        <w:t>Friesen</w:t>
      </w:r>
      <w:r>
        <w:t xml:space="preserve"> is also relied on to support increases in sentences for sexual violence against children with the two following principles identified at paragraphs 106 and 107 of that decision</w:t>
      </w:r>
      <w:r w:rsidR="00344BD9">
        <w:t xml:space="preserve">: i) </w:t>
      </w:r>
      <w:r>
        <w:t>Upward departure from prior precedents and sentencing ranges may well be required to impose a proportionate sentence</w:t>
      </w:r>
      <w:r w:rsidR="00344BD9">
        <w:t>;</w:t>
      </w:r>
      <w:r>
        <w:t xml:space="preserve">, and </w:t>
      </w:r>
      <w:r w:rsidR="00344BD9">
        <w:t xml:space="preserve">ii) </w:t>
      </w:r>
      <w:r>
        <w:t xml:space="preserve">sexual offences against children should generally be punished more severely than sexual offences against adults.  </w:t>
      </w:r>
    </w:p>
    <w:p w14:paraId="0BB21A0A" w14:textId="409F87EF" w:rsidR="00281943" w:rsidRDefault="00281943" w:rsidP="008654EB">
      <w:pPr>
        <w:pStyle w:val="unquote"/>
      </w:pPr>
      <w:r>
        <w:rPr>
          <w:i/>
          <w:iCs/>
        </w:rPr>
        <w:tab/>
      </w:r>
      <w:r>
        <w:t xml:space="preserve">In this jurisdiction there is an established starting point of three years for a major sexual assault against an adult victim.  Relying on </w:t>
      </w:r>
      <w:r w:rsidRPr="00281943">
        <w:rPr>
          <w:i/>
          <w:iCs/>
        </w:rPr>
        <w:t>R v Bishop</w:t>
      </w:r>
      <w:r>
        <w:t xml:space="preserve">, 2024 NWTSC 16 and applying the principles from </w:t>
      </w:r>
      <w:r w:rsidRPr="00281943">
        <w:rPr>
          <w:i/>
          <w:iCs/>
        </w:rPr>
        <w:t>Friesen</w:t>
      </w:r>
      <w:r>
        <w:t>, I accept that generally sentences should be increased from the established three-year starting point when sentencing for a sexual offence against children.</w:t>
      </w:r>
    </w:p>
    <w:p w14:paraId="1C0D0613" w14:textId="5D5597E5" w:rsidR="00344BD9" w:rsidRDefault="00281943" w:rsidP="00EC765F">
      <w:pPr>
        <w:pStyle w:val="unquote"/>
      </w:pPr>
      <w:r>
        <w:tab/>
        <w:t xml:space="preserve">In </w:t>
      </w:r>
      <w:r w:rsidRPr="00281943">
        <w:rPr>
          <w:i/>
          <w:iCs/>
        </w:rPr>
        <w:t>Bishop</w:t>
      </w:r>
      <w:r w:rsidR="00E33307">
        <w:rPr>
          <w:i/>
          <w:iCs/>
          <w:lang w:val="en-US"/>
        </w:rPr>
        <w:t>,</w:t>
      </w:r>
      <w:r>
        <w:t xml:space="preserve"> this Court considered that a four-year starting point may be more appropriate in light of </w:t>
      </w:r>
      <w:r w:rsidRPr="00344BD9">
        <w:rPr>
          <w:i/>
          <w:iCs/>
        </w:rPr>
        <w:t>Friesen</w:t>
      </w:r>
      <w:r>
        <w:t xml:space="preserve">, and I have considered this in my decision.  </w:t>
      </w:r>
      <w:r>
        <w:lastRenderedPageBreak/>
        <w:t>In determining a fair sentence I must also take into account mitigating or aggravating factors as well as other considerations such as collateral consequences and the principle of restraint.</w:t>
      </w:r>
    </w:p>
    <w:p w14:paraId="3AEABCF7" w14:textId="3021DDB2" w:rsidR="00281943" w:rsidRDefault="00281943" w:rsidP="008654EB">
      <w:pPr>
        <w:pStyle w:val="unquote"/>
      </w:pPr>
      <w:r>
        <w:tab/>
      </w:r>
      <w:r w:rsidR="00846C6C">
        <w:t>I will begin by identifying the mitigating factors in this case.  The guilty plea is a significant mitigating factor.  Notice of the guilty plea came on the day of the preliminary inquiry, which is not considered early</w:t>
      </w:r>
      <w:r w:rsidR="00DF2E1C">
        <w:t>,</w:t>
      </w:r>
      <w:r w:rsidR="00846C6C">
        <w:t xml:space="preserve"> but ultimately the complainant was not required to testify, and Mr. Alikamik is entitled </w:t>
      </w:r>
      <w:r w:rsidR="00DF2E1C">
        <w:t xml:space="preserve">to </w:t>
      </w:r>
      <w:r w:rsidR="00846C6C">
        <w:t xml:space="preserve">significant credit for this.  </w:t>
      </w:r>
    </w:p>
    <w:p w14:paraId="7D083D37" w14:textId="2AC84FA3" w:rsidR="00846C6C" w:rsidRDefault="00846C6C" w:rsidP="008654EB">
      <w:pPr>
        <w:pStyle w:val="unquote"/>
      </w:pPr>
      <w:r>
        <w:tab/>
        <w:t>Theoretically, a guilty plea is also an opportunity for accountability and remorse</w:t>
      </w:r>
      <w:r w:rsidR="00DF2E1C">
        <w:t>,</w:t>
      </w:r>
      <w:r>
        <w:t xml:space="preserve"> although that is not obvious in this particular case.  As I have reviewed, the comments made by Mr. Alikamik to both the </w:t>
      </w:r>
      <w:r w:rsidRPr="00846C6C">
        <w:rPr>
          <w:i/>
          <w:iCs/>
        </w:rPr>
        <w:t>Gladue</w:t>
      </w:r>
      <w:r>
        <w:t xml:space="preserve"> writer and Dr. Baxter show some lack of accountability.  His comment that "the way she was, she wasn't that young" shows some lack of appreciation for the seriousness of the offence.</w:t>
      </w:r>
    </w:p>
    <w:p w14:paraId="6741CC6C" w14:textId="2838CA04" w:rsidR="00846C6C" w:rsidRDefault="00846C6C" w:rsidP="008654EB">
      <w:pPr>
        <w:pStyle w:val="unquote"/>
      </w:pPr>
      <w:r>
        <w:tab/>
      </w:r>
      <w:r w:rsidR="00FE754C">
        <w:t xml:space="preserve">The defence also points to the parties being in a relationship, which has been characterized as </w:t>
      </w:r>
      <w:r w:rsidR="00FE754C" w:rsidRPr="00FE754C">
        <w:rPr>
          <w:i/>
          <w:iCs/>
        </w:rPr>
        <w:t>de facto</w:t>
      </w:r>
      <w:r w:rsidR="00FE754C">
        <w:t xml:space="preserve"> consent in the case law</w:t>
      </w:r>
      <w:r w:rsidR="00AD0F93">
        <w:t>,</w:t>
      </w:r>
      <w:r w:rsidR="00FE754C">
        <w:t xml:space="preserve"> as true consent is not possible given N.C.'s age.  Mr. Alikamik's counsel concedes that so-called </w:t>
      </w:r>
      <w:r w:rsidR="00FE754C" w:rsidRPr="00FE754C">
        <w:rPr>
          <w:i/>
          <w:iCs/>
        </w:rPr>
        <w:t>de facto</w:t>
      </w:r>
      <w:r w:rsidR="00FE754C">
        <w:t xml:space="preserve"> consent is not a mitigating factor in this case, and they acknowledge that at 15 years old, N.C. was not able to consent in law.</w:t>
      </w:r>
    </w:p>
    <w:p w14:paraId="47C4CDC0" w14:textId="3961A381" w:rsidR="00FE754C" w:rsidRDefault="00FE754C" w:rsidP="008654EB">
      <w:pPr>
        <w:pStyle w:val="unquote"/>
      </w:pPr>
      <w:r>
        <w:lastRenderedPageBreak/>
        <w:tab/>
        <w:t xml:space="preserve">In the Alberta Court of Appeal case of </w:t>
      </w:r>
      <w:r w:rsidRPr="00FE754C">
        <w:rPr>
          <w:i/>
          <w:iCs/>
        </w:rPr>
        <w:t>R v Hajar</w:t>
      </w:r>
      <w:r>
        <w:t>, 2016 ABCA 222, the Court noted that historically a child's "</w:t>
      </w:r>
      <w:r w:rsidRPr="00FE754C">
        <w:rPr>
          <w:i/>
          <w:iCs/>
        </w:rPr>
        <w:t>de facto</w:t>
      </w:r>
      <w:r>
        <w:t xml:space="preserve"> consent" was used as a mitigating factor on sentencing, but the Court disagreed with this and took the opportunity to denounce that approach in their decision.</w:t>
      </w:r>
    </w:p>
    <w:p w14:paraId="51328620" w14:textId="3221DD20" w:rsidR="00FE754C" w:rsidRDefault="00FE754C" w:rsidP="008654EB">
      <w:pPr>
        <w:pStyle w:val="unquote"/>
      </w:pPr>
      <w:r>
        <w:tab/>
        <w:t xml:space="preserve">Treating </w:t>
      </w:r>
      <w:r w:rsidRPr="00DF2E1C">
        <w:rPr>
          <w:i/>
          <w:iCs/>
        </w:rPr>
        <w:t>de facto</w:t>
      </w:r>
      <w:r>
        <w:t xml:space="preserve"> consent as a mitigating factor assumes that the harm to the child has somehow lessened by the fact that the child was a willing participant.  The Court in </w:t>
      </w:r>
      <w:r w:rsidRPr="00FE754C">
        <w:rPr>
          <w:i/>
          <w:iCs/>
        </w:rPr>
        <w:t>Hajar</w:t>
      </w:r>
      <w:r>
        <w:t xml:space="preserve"> explains why this assumption is wrong</w:t>
      </w:r>
      <w:r w:rsidR="00DF2E1C">
        <w:t>,</w:t>
      </w:r>
      <w:r>
        <w:t xml:space="preserve"> and Justice Charbonneau took the same approach in the case of </w:t>
      </w:r>
      <w:r w:rsidRPr="00FE754C">
        <w:rPr>
          <w:i/>
          <w:iCs/>
        </w:rPr>
        <w:t>R v Lafferty</w:t>
      </w:r>
      <w:r>
        <w:t xml:space="preserve">, 2019 NWTSC 38. </w:t>
      </w:r>
    </w:p>
    <w:p w14:paraId="48CA9942" w14:textId="7A2505F3" w:rsidR="00FE754C" w:rsidRDefault="00FE754C" w:rsidP="008654EB">
      <w:pPr>
        <w:pStyle w:val="unquote"/>
      </w:pPr>
      <w:r>
        <w:tab/>
        <w:t>Despite this</w:t>
      </w:r>
      <w:r w:rsidR="00E33307">
        <w:rPr>
          <w:lang w:val="en-US"/>
        </w:rPr>
        <w:t>,</w:t>
      </w:r>
      <w:r>
        <w:t xml:space="preserve"> the defence argues there is a relationship of genuine affection that should be treated as a mitigating factor.  This is possible in certain circumstances</w:t>
      </w:r>
      <w:r w:rsidR="00DF2E1C">
        <w:t>,</w:t>
      </w:r>
      <w:r>
        <w:t xml:space="preserve"> albeit rare ones.  The accused bears the onus of proving that is the case on a balance of probabilities.  The only information the Court has about the relationship is that it went on for several months and that it was sexual in nature. </w:t>
      </w:r>
    </w:p>
    <w:p w14:paraId="03B0C9CE" w14:textId="55B5191E" w:rsidR="00FE754C" w:rsidRDefault="00FE754C" w:rsidP="008654EB">
      <w:pPr>
        <w:pStyle w:val="unquote"/>
      </w:pPr>
      <w:r>
        <w:tab/>
        <w:t xml:space="preserve">That burden of proof has not been satisfied, and as such, the consensual or affectionate nature of their relationship cannot be treated as a mitigating factor.  However, I do note the sexual contact was not violent or coercive, and in that sense the circumstances are not aggravating. </w:t>
      </w:r>
    </w:p>
    <w:p w14:paraId="7A236D9C" w14:textId="638164F0" w:rsidR="00FE754C" w:rsidRDefault="00FE754C" w:rsidP="008654EB">
      <w:pPr>
        <w:pStyle w:val="unquote"/>
      </w:pPr>
      <w:r>
        <w:lastRenderedPageBreak/>
        <w:tab/>
        <w:t>The defence also notes that it was N.C. who sent explicit text messages via Facebook Messenger, and these were not solicited by Mr.</w:t>
      </w:r>
      <w:r w:rsidR="00DF2E1C">
        <w:t> </w:t>
      </w:r>
      <w:r>
        <w:t>Alikamik and in submissions called N.C. a</w:t>
      </w:r>
      <w:r w:rsidR="00AD0F93">
        <w:t xml:space="preserve">n </w:t>
      </w:r>
      <w:r>
        <w:t xml:space="preserve">"equal participant".  </w:t>
      </w:r>
    </w:p>
    <w:p w14:paraId="3313B737" w14:textId="4914813E" w:rsidR="00FE754C" w:rsidRDefault="00FE754C" w:rsidP="008654EB">
      <w:pPr>
        <w:pStyle w:val="unquote"/>
      </w:pPr>
      <w:r>
        <w:tab/>
        <w:t xml:space="preserve">I do not agree that N.C. contacting Mr. Alikamik first demonstrates an absence of aggravating circumstances and do not find this particularly relevant.  I agree with the Crown's comments that it is the sole responsibility of adults in the community to not engage in sexual activity with children.  </w:t>
      </w:r>
    </w:p>
    <w:p w14:paraId="00F0B167" w14:textId="2AFD87F8" w:rsidR="00FE754C" w:rsidRDefault="00FE754C" w:rsidP="008654EB">
      <w:pPr>
        <w:pStyle w:val="unquote"/>
      </w:pPr>
      <w:r>
        <w:tab/>
        <w:t xml:space="preserve">In terms of aggravating factors, the fact that this is an offence against a child is identified as an aggravating factor in 718.2(2)(1) of the </w:t>
      </w:r>
      <w:r w:rsidRPr="00FE754C">
        <w:rPr>
          <w:i/>
          <w:iCs/>
        </w:rPr>
        <w:t>Criminal Code</w:t>
      </w:r>
      <w:r>
        <w:t>.  Sexual relations between the parties took place over a number of months, and it is agreed that there were numerous instances of sexual activity.  This is also an aggravating factor.</w:t>
      </w:r>
    </w:p>
    <w:p w14:paraId="7135DB80" w14:textId="77777777" w:rsidR="00DF2E1C" w:rsidRDefault="00FE754C" w:rsidP="008654EB">
      <w:pPr>
        <w:pStyle w:val="unquote"/>
      </w:pPr>
      <w:r>
        <w:tab/>
        <w:t>The relationship between N.C. and Mr. Alikamik was first commenced when she was only 13 years old.  This was an intentional course of conduct involving a child.  Mr. Alikamik was aware of her age, her lack of ability to consent and in fact was under a court order not to contact children under 16.</w:t>
      </w:r>
      <w:r w:rsidR="00DF2E1C">
        <w:t xml:space="preserve">  </w:t>
      </w:r>
      <w:r>
        <w:t xml:space="preserve">It was unlawful for him to be communicating with N.C. at all, and he knew this but proceeded anyway.  </w:t>
      </w:r>
    </w:p>
    <w:p w14:paraId="78DD199B" w14:textId="56DFB111" w:rsidR="00FE754C" w:rsidRDefault="00DF2E1C" w:rsidP="008654EB">
      <w:pPr>
        <w:pStyle w:val="unquote"/>
      </w:pPr>
      <w:r>
        <w:lastRenderedPageBreak/>
        <w:tab/>
      </w:r>
      <w:r w:rsidR="00FE754C">
        <w:t>Further, this is his second sexual offence against a child and the revictimization of N.C.  The Crown also points out that there was a luring aspect to the offence in which Mr. Alikamik and N.C. used text messages and messaging apps to communicate sexually explicit messages and images.</w:t>
      </w:r>
    </w:p>
    <w:p w14:paraId="01B5F994" w14:textId="7131B5DC" w:rsidR="00FE754C" w:rsidRDefault="00FE754C" w:rsidP="008654EB">
      <w:pPr>
        <w:pStyle w:val="unquote"/>
      </w:pPr>
      <w:r>
        <w:tab/>
        <w:t xml:space="preserve">I also view this as somewhat aggravating </w:t>
      </w:r>
      <w:r w:rsidR="007065AF">
        <w:t xml:space="preserve">given the comments of the Court in cases like </w:t>
      </w:r>
      <w:r w:rsidR="007065AF" w:rsidRPr="007065AF">
        <w:rPr>
          <w:i/>
          <w:iCs/>
        </w:rPr>
        <w:t>R v Sutherland</w:t>
      </w:r>
      <w:r w:rsidR="007065AF">
        <w:t xml:space="preserve">, 2019 NWTSC 45 and </w:t>
      </w:r>
      <w:r w:rsidR="007065AF" w:rsidRPr="007065AF">
        <w:rPr>
          <w:i/>
          <w:iCs/>
        </w:rPr>
        <w:t>R v Par</w:t>
      </w:r>
      <w:r w:rsidR="00AD0F93">
        <w:rPr>
          <w:i/>
          <w:iCs/>
        </w:rPr>
        <w:t>adee</w:t>
      </w:r>
      <w:r w:rsidR="007065AF">
        <w:t xml:space="preserve">, 2013 ABCA 41.  Further, </w:t>
      </w:r>
      <w:r w:rsidR="007065AF" w:rsidRPr="007065AF">
        <w:rPr>
          <w:i/>
          <w:iCs/>
        </w:rPr>
        <w:t>Friesen</w:t>
      </w:r>
      <w:r w:rsidR="007065AF">
        <w:t xml:space="preserve"> is clear that the fact a relationship was facilitated by technology can be taken into account on sentencing.  </w:t>
      </w:r>
    </w:p>
    <w:p w14:paraId="32BEFB53" w14:textId="7205C1BF" w:rsidR="00AD0F93" w:rsidRPr="00EC765F" w:rsidRDefault="007065AF" w:rsidP="00EC765F">
      <w:pPr>
        <w:pStyle w:val="unquote"/>
        <w:rPr>
          <w:lang w:val="en-US"/>
        </w:rPr>
      </w:pPr>
      <w:r>
        <w:tab/>
        <w:t xml:space="preserve">There are some other considerations in this case.  The defence argues there are collateral consequences arising that the Court should consider.  They relate to both Mr. Alikamik's gender diversity and Mr. Alikamik's health condition.  I rely on </w:t>
      </w:r>
      <w:r w:rsidR="00AD0F93" w:rsidRPr="00AD0F93">
        <w:rPr>
          <w:i/>
          <w:iCs/>
        </w:rPr>
        <w:t>R v.</w:t>
      </w:r>
      <w:r w:rsidR="00AD0F93">
        <w:t xml:space="preserve"> </w:t>
      </w:r>
      <w:r w:rsidRPr="007065AF">
        <w:rPr>
          <w:i/>
          <w:iCs/>
        </w:rPr>
        <w:t>Suter</w:t>
      </w:r>
      <w:r>
        <w:t xml:space="preserve">, 2018 SCC 34 regarding collateral consequences.  At paragraph 46 of </w:t>
      </w:r>
      <w:r w:rsidRPr="00DF2E1C">
        <w:rPr>
          <w:i/>
          <w:iCs/>
        </w:rPr>
        <w:t>Suter</w:t>
      </w:r>
      <w:r>
        <w:t>, the Court notes</w:t>
      </w:r>
      <w:r w:rsidR="00AD0F93">
        <w:t xml:space="preserve"> </w:t>
      </w:r>
      <w:r w:rsidRPr="007065AF">
        <w:rPr>
          <w:lang w:val="en-US"/>
        </w:rPr>
        <w:t>sentencing is a highly individualized process</w:t>
      </w:r>
      <w:r w:rsidR="00AD0F93">
        <w:rPr>
          <w:lang w:val="en-US"/>
        </w:rPr>
        <w:t xml:space="preserve"> and</w:t>
      </w:r>
      <w:r>
        <w:rPr>
          <w:lang w:val="en-US"/>
        </w:rPr>
        <w:t xml:space="preserve"> states</w:t>
      </w:r>
      <w:r w:rsidR="00AD0F93">
        <w:rPr>
          <w:lang w:val="en-US"/>
        </w:rPr>
        <w:t>:</w:t>
      </w:r>
    </w:p>
    <w:p w14:paraId="62D58182" w14:textId="51AB496E" w:rsidR="00AD0F93" w:rsidRDefault="00AD0F93" w:rsidP="00EC765F">
      <w:pPr>
        <w:pStyle w:val="Quote1"/>
      </w:pPr>
      <w:r>
        <w:t>“</w:t>
      </w:r>
      <w:r w:rsidR="007065AF" w:rsidRPr="007065AF">
        <w:t xml:space="preserve">Tailoring sentences to the circumstances of the offence and the offender may require the sentencing judge to look at collateral consequences. </w:t>
      </w:r>
      <w:r w:rsidR="007065AF">
        <w:t xml:space="preserve"> </w:t>
      </w:r>
      <w:r w:rsidR="007065AF" w:rsidRPr="007065AF">
        <w:t>Examining collateral consequences enables a sentencing judge to craft a proportionate sentence in a given case by taking into account</w:t>
      </w:r>
      <w:r w:rsidR="007065AF">
        <w:t xml:space="preserve"> </w:t>
      </w:r>
      <w:r w:rsidR="007065AF" w:rsidRPr="007065AF">
        <w:rPr>
          <w:i/>
          <w:iCs/>
        </w:rPr>
        <w:t>all</w:t>
      </w:r>
      <w:r w:rsidR="007065AF">
        <w:t xml:space="preserve"> </w:t>
      </w:r>
      <w:r w:rsidR="007065AF" w:rsidRPr="007065AF">
        <w:t xml:space="preserve">the relevant </w:t>
      </w:r>
      <w:r w:rsidR="007065AF" w:rsidRPr="007065AF">
        <w:lastRenderedPageBreak/>
        <w:t>circumstances related to the offence and the offender.</w:t>
      </w:r>
      <w:r>
        <w:t>”</w:t>
      </w:r>
    </w:p>
    <w:p w14:paraId="04B5CB24" w14:textId="73FFDE1A" w:rsidR="00AD0F93" w:rsidRDefault="007065AF" w:rsidP="00EC765F">
      <w:pPr>
        <w:pStyle w:val="unquote"/>
      </w:pPr>
      <w:r>
        <w:t xml:space="preserve">The Court in </w:t>
      </w:r>
      <w:r w:rsidRPr="00DF2E1C">
        <w:rPr>
          <w:i/>
          <w:iCs/>
        </w:rPr>
        <w:t>Suter</w:t>
      </w:r>
      <w:r>
        <w:t xml:space="preserve"> defines a collateral consequence at paragraph 47 as:</w:t>
      </w:r>
    </w:p>
    <w:p w14:paraId="46214E27" w14:textId="33ECE219" w:rsidR="00AD0F93" w:rsidRDefault="00AD0F93" w:rsidP="00EC765F">
      <w:pPr>
        <w:pStyle w:val="Quote1"/>
        <w:rPr>
          <w:lang w:val="en-US"/>
        </w:rPr>
      </w:pPr>
      <w:r>
        <w:t>“…</w:t>
      </w:r>
      <w:r w:rsidR="007065AF" w:rsidRPr="007065AF">
        <w:rPr>
          <w:lang w:val="en-US"/>
        </w:rPr>
        <w:t>any consequence arising from the commission of an offence, the conviction for an offence, or the sentence imposed for an offence that impacts the offender.</w:t>
      </w:r>
      <w:r>
        <w:rPr>
          <w:lang w:val="en-US"/>
        </w:rPr>
        <w:t>”</w:t>
      </w:r>
    </w:p>
    <w:p w14:paraId="1EA50FFF" w14:textId="72FF9059" w:rsidR="00AD0F93" w:rsidRDefault="007065AF" w:rsidP="00EC765F">
      <w:pPr>
        <w:pStyle w:val="unquote"/>
      </w:pPr>
      <w:r>
        <w:rPr>
          <w:lang w:val="en-US"/>
        </w:rPr>
        <w:t xml:space="preserve">Examples are </w:t>
      </w:r>
      <w:r>
        <w:t xml:space="preserve">physical, emotional, </w:t>
      </w:r>
      <w:r w:rsidR="0071123E">
        <w:t>social,</w:t>
      </w:r>
      <w:r>
        <w:t xml:space="preserve"> or financial consequences.  This concept of proportionality was also discussed in </w:t>
      </w:r>
      <w:r w:rsidRPr="007065AF">
        <w:rPr>
          <w:i/>
          <w:iCs/>
        </w:rPr>
        <w:t>R v Hills</w:t>
      </w:r>
      <w:r>
        <w:t xml:space="preserve">, 2023 SCC 2 where the Court applied the principles from </w:t>
      </w:r>
      <w:r w:rsidRPr="007065AF">
        <w:rPr>
          <w:i/>
          <w:iCs/>
        </w:rPr>
        <w:t>Suter</w:t>
      </w:r>
      <w:r>
        <w:t xml:space="preserve"> and stated</w:t>
      </w:r>
      <w:r w:rsidR="00AD0F93">
        <w:t>:</w:t>
      </w:r>
    </w:p>
    <w:p w14:paraId="72A1E7FC" w14:textId="61DD6FA9" w:rsidR="00AD0F93" w:rsidRPr="00EC765F" w:rsidRDefault="00AD0F93" w:rsidP="00EC765F">
      <w:pPr>
        <w:pStyle w:val="unquote"/>
        <w:ind w:left="2880"/>
        <w:rPr>
          <w:lang w:val="en-US"/>
        </w:rPr>
      </w:pPr>
      <w:r>
        <w:t>“</w:t>
      </w:r>
      <w:r w:rsidR="007065AF">
        <w:t>they</w:t>
      </w:r>
      <w:r>
        <w:t xml:space="preserve"> </w:t>
      </w:r>
      <w:r w:rsidR="007065AF" w:rsidRPr="007065AF">
        <w:rPr>
          <w:lang w:val="en-US"/>
        </w:rPr>
        <w:t>should consider the effect of a sentence on the </w:t>
      </w:r>
      <w:r w:rsidR="007065AF" w:rsidRPr="007065AF">
        <w:rPr>
          <w:i/>
          <w:iCs/>
          <w:lang w:val="en-US"/>
        </w:rPr>
        <w:t>particular </w:t>
      </w:r>
      <w:r w:rsidR="007065AF" w:rsidRPr="007065AF">
        <w:rPr>
          <w:lang w:val="en-US"/>
        </w:rPr>
        <w:t xml:space="preserve">offender. </w:t>
      </w:r>
      <w:r w:rsidR="007065AF">
        <w:rPr>
          <w:lang w:val="en-US"/>
        </w:rPr>
        <w:t xml:space="preserve"> </w:t>
      </w:r>
      <w:r w:rsidR="007065AF" w:rsidRPr="007065AF">
        <w:rPr>
          <w:lang w:val="en-US"/>
        </w:rPr>
        <w:t>The principle of proportionality implies that where the impact of imprisonment is greater on a particular offender, a reduction in sentence may be appropriate</w:t>
      </w:r>
      <w:r w:rsidR="007065AF">
        <w:rPr>
          <w:lang w:val="en-US"/>
        </w:rPr>
        <w:t xml:space="preserve">. </w:t>
      </w:r>
      <w:r>
        <w:rPr>
          <w:lang w:val="en-US"/>
        </w:rPr>
        <w:t>“</w:t>
      </w:r>
    </w:p>
    <w:p w14:paraId="79F902BA" w14:textId="79E6523F" w:rsidR="007065AF" w:rsidRDefault="007065AF" w:rsidP="007065AF">
      <w:pPr>
        <w:pStyle w:val="unquote"/>
      </w:pPr>
      <w:r>
        <w:t>These comments were made in the context of considering a mandatory minimum sentence</w:t>
      </w:r>
      <w:r w:rsidR="00DF2E1C">
        <w:t xml:space="preserve">, </w:t>
      </w:r>
      <w:r>
        <w:t>but the defence asserts the principles are equally applicable to sentencing in this case as well.</w:t>
      </w:r>
    </w:p>
    <w:p w14:paraId="7DF876BB" w14:textId="77777777" w:rsidR="00AD0F93" w:rsidRDefault="007065AF" w:rsidP="00AD0F93">
      <w:pPr>
        <w:pStyle w:val="unquote"/>
      </w:pPr>
      <w:r>
        <w:tab/>
        <w:t xml:space="preserve">In </w:t>
      </w:r>
      <w:r w:rsidRPr="007065AF">
        <w:rPr>
          <w:i/>
          <w:iCs/>
        </w:rPr>
        <w:t>Hills</w:t>
      </w:r>
      <w:r>
        <w:t xml:space="preserve"> the examples of offenders in law enforcement and those suffering from disabilities are cited as examples of offenders who may have a comparatively harsher experience of imprisonment.  </w:t>
      </w:r>
    </w:p>
    <w:p w14:paraId="49D05577" w14:textId="408F15F2" w:rsidR="00D42377" w:rsidRDefault="00AD0F93" w:rsidP="00AD0F93">
      <w:pPr>
        <w:pStyle w:val="unquote"/>
      </w:pPr>
      <w:r>
        <w:lastRenderedPageBreak/>
        <w:tab/>
      </w:r>
      <w:r w:rsidR="00D42377">
        <w:t>I will speak first to the issue of gender diversity. In this case the defence argues and the Crown concedes that Mr. Alikamik's gender diversity is a collateral consequence on his sentencing.  Essentially, the defence submits that Mr. Alikamik's experience in a correctional institution will be more difficult for him as a gender diverse individual than it would be for a cis-gendered individual.</w:t>
      </w:r>
    </w:p>
    <w:p w14:paraId="253FAD4C" w14:textId="77777777" w:rsidR="00D42377" w:rsidRDefault="00D42377" w:rsidP="007065AF">
      <w:pPr>
        <w:pStyle w:val="unquote"/>
      </w:pPr>
      <w:r>
        <w:tab/>
        <w:t xml:space="preserve">I agree that the binary nature of correctional facilities, that is men's institutions and women's institutions, does not necessarily align with the modern understanding of gender as a nonbinary concept.  I accept, therefore, that incarceration will impact a gender-diverse offender differently than a </w:t>
      </w:r>
    </w:p>
    <w:p w14:paraId="43A8D02D" w14:textId="5CE5C403" w:rsidR="00D42377" w:rsidRDefault="00D42377" w:rsidP="007065AF">
      <w:pPr>
        <w:pStyle w:val="unquote"/>
      </w:pPr>
      <w:r>
        <w:t>cis-gendered offender.</w:t>
      </w:r>
    </w:p>
    <w:p w14:paraId="723B172D" w14:textId="77777777" w:rsidR="00D42377" w:rsidRDefault="00D42377" w:rsidP="007065AF">
      <w:pPr>
        <w:pStyle w:val="unquote"/>
      </w:pPr>
      <w:r>
        <w:tab/>
        <w:t xml:space="preserve">The Crown submitted evidence regarding the policies of the Correctional Service of Canada.  They also submitted information received from a parole officer which speaks to these policies.  </w:t>
      </w:r>
    </w:p>
    <w:p w14:paraId="7DC72F7B" w14:textId="77777777" w:rsidR="00DF2E1C" w:rsidRDefault="00D42377" w:rsidP="007065AF">
      <w:pPr>
        <w:pStyle w:val="unquote"/>
      </w:pPr>
      <w:r>
        <w:tab/>
        <w:t xml:space="preserve">The Correctional Service of Canada policy mandates that the circumstances of </w:t>
      </w:r>
    </w:p>
    <w:p w14:paraId="706547B3" w14:textId="58CAB643" w:rsidR="00D42377" w:rsidRDefault="00D42377" w:rsidP="007065AF">
      <w:pPr>
        <w:pStyle w:val="unquote"/>
      </w:pPr>
      <w:r>
        <w:t>gender-diverse inmates be considered and creates a process for assessment of needs, placement in the appropriate facility and implementing any necessary accommodations</w:t>
      </w:r>
      <w:r w:rsidR="00AD0F93">
        <w:t xml:space="preserve">, </w:t>
      </w:r>
      <w:r>
        <w:t xml:space="preserve">with an overall priority to the health and safety of inmates.  </w:t>
      </w:r>
    </w:p>
    <w:p w14:paraId="74C02EC3" w14:textId="0D27681A" w:rsidR="00D42377" w:rsidRDefault="00D42377" w:rsidP="007065AF">
      <w:pPr>
        <w:pStyle w:val="unquote"/>
      </w:pPr>
      <w:r>
        <w:tab/>
        <w:t xml:space="preserve">The defence submitted an academic </w:t>
      </w:r>
      <w:r>
        <w:lastRenderedPageBreak/>
        <w:t xml:space="preserve">paper written by a criminal defence lawyer outlining some of the challenges experienced by gender-diverse inmates.  The paper identifies increased risk of violence, strip searches and administrative segregation for gender-diverse inmates.  </w:t>
      </w:r>
    </w:p>
    <w:p w14:paraId="3D6A3EAE" w14:textId="77FC5150" w:rsidR="00AD0F93" w:rsidRDefault="00D42377" w:rsidP="00AD0F93">
      <w:pPr>
        <w:pStyle w:val="unquote"/>
      </w:pPr>
      <w:r>
        <w:tab/>
        <w:t xml:space="preserve">This was produced at the sentencing hearing to support a reduction in sentence based on Mr. Alikamik's gender diversity.  I accept that some of the challenges identified in the paper exist, but it is difficult to determine how prevalent these issues are and how they will factor into this particular </w:t>
      </w:r>
      <w:r w:rsidR="0071123E">
        <w:t>case. The</w:t>
      </w:r>
      <w:r>
        <w:t xml:space="preserve"> report is of limited evidentiary value as it was not entered through a witness and is largely the opinion of the writer.  </w:t>
      </w:r>
    </w:p>
    <w:p w14:paraId="55B98EDA" w14:textId="5E954625" w:rsidR="00D42377" w:rsidRDefault="00AD0F93" w:rsidP="00AD0F93">
      <w:pPr>
        <w:pStyle w:val="unquote"/>
      </w:pPr>
      <w:r>
        <w:tab/>
      </w:r>
      <w:r w:rsidR="00D42377">
        <w:t xml:space="preserve">In this case my understanding is that the options would be to place Mr. Alikamik in a women's facility that does not align with his gender identity or to be placed in a male facility, likely with certain restrictions which are not known at this time.  His views and preferences would be sought prior to placement. </w:t>
      </w:r>
    </w:p>
    <w:p w14:paraId="6018732D" w14:textId="593A5DB3" w:rsidR="00D42377" w:rsidRDefault="00D42377" w:rsidP="00D42377">
      <w:pPr>
        <w:pStyle w:val="unquote"/>
      </w:pPr>
      <w:r>
        <w:tab/>
        <w:t>Overall, the extent to which gender diversity is a collateral consequence will depend on the facts of each individual case where it arises.  In this case and on these facts I accept the impact of incarceration is somewhat greater on Mr. Alikamik due to his gender diversity.</w:t>
      </w:r>
    </w:p>
    <w:p w14:paraId="4D6F6AC0" w14:textId="1425A04F" w:rsidR="00D42377" w:rsidRDefault="00D42377" w:rsidP="00D42377">
      <w:pPr>
        <w:pStyle w:val="unquote"/>
      </w:pPr>
      <w:r>
        <w:tab/>
        <w:t xml:space="preserve">In terms of his health condition, there is </w:t>
      </w:r>
      <w:r>
        <w:lastRenderedPageBreak/>
        <w:t>some evidence as discussed of Mr. Alikamik's recent health challenges.  The cause is largely unknown, but he has suffered from sort of neurological event in February of 202</w:t>
      </w:r>
      <w:r w:rsidR="008E1ED7">
        <w:t>5 which led to limited mobility and limb functioning and required him to be sent to Alberta for treatment.</w:t>
      </w:r>
    </w:p>
    <w:p w14:paraId="2A28270A" w14:textId="4242333F" w:rsidR="008E1ED7" w:rsidRDefault="008E1ED7" w:rsidP="00D42377">
      <w:pPr>
        <w:pStyle w:val="unquote"/>
      </w:pPr>
      <w:r>
        <w:tab/>
        <w:t xml:space="preserve">The defence argues that a period of incarceration will interfere with his ongoing rehabilitation.  The medical evidence is somewhat scant.  The diagnosis is not definitive.  The doctor who treated him in March of 2025 thought his neurological symptoms may have been triggered by life stressors at that time. </w:t>
      </w:r>
    </w:p>
    <w:p w14:paraId="030D27A9" w14:textId="4667D210" w:rsidR="008E1ED7" w:rsidRDefault="008E1ED7" w:rsidP="00D42377">
      <w:pPr>
        <w:pStyle w:val="unquote"/>
      </w:pPr>
      <w:r>
        <w:tab/>
        <w:t>The doctors did not identify any specific ongoing treatment beyond continuing rehabilitation and further indicated he was progressing fast in terms of his mobility.  His precise rehabilitation needs are not clear.  I do, however, acknowledge there may be some ongoing mobility issues requiring rehabilitation and have factored this into my sentencing decision.</w:t>
      </w:r>
    </w:p>
    <w:p w14:paraId="7B0476BC" w14:textId="29FFF123" w:rsidR="008E1ED7" w:rsidRDefault="008E1ED7" w:rsidP="00D42377">
      <w:pPr>
        <w:pStyle w:val="unquote"/>
      </w:pPr>
      <w:r>
        <w:tab/>
        <w:t xml:space="preserve">Mr. Alikamik is Indigenous, which requires me to consider the principles in </w:t>
      </w:r>
      <w:r w:rsidR="00EC765F" w:rsidRPr="00EC765F">
        <w:rPr>
          <w:i/>
          <w:iCs/>
        </w:rPr>
        <w:t>R. v</w:t>
      </w:r>
      <w:r w:rsidR="00EC765F">
        <w:t xml:space="preserve"> </w:t>
      </w:r>
      <w:r w:rsidRPr="008E1ED7">
        <w:rPr>
          <w:i/>
          <w:iCs/>
        </w:rPr>
        <w:t>Gladue</w:t>
      </w:r>
      <w:r>
        <w:t xml:space="preserve"> and</w:t>
      </w:r>
      <w:r w:rsidR="00EC765F">
        <w:t xml:space="preserve"> </w:t>
      </w:r>
      <w:r w:rsidR="00EC765F" w:rsidRPr="00EC765F">
        <w:rPr>
          <w:i/>
          <w:iCs/>
        </w:rPr>
        <w:t>R. v.</w:t>
      </w:r>
      <w:r w:rsidR="00EC765F">
        <w:t xml:space="preserve"> </w:t>
      </w:r>
      <w:r w:rsidRPr="008E1ED7">
        <w:rPr>
          <w:i/>
          <w:iCs/>
        </w:rPr>
        <w:t>Ipeelee</w:t>
      </w:r>
      <w:r>
        <w:t xml:space="preserve"> and apply restraint in my sentencing decision.  I must consider the circumstances of the offender and their moral blameworthiness in the context of our colonial history and its impact to Indigenous people and communities.</w:t>
      </w:r>
    </w:p>
    <w:p w14:paraId="665D073D" w14:textId="6E45D5CF" w:rsidR="008E1ED7" w:rsidRDefault="008E1ED7" w:rsidP="00D42377">
      <w:pPr>
        <w:pStyle w:val="unquote"/>
      </w:pPr>
      <w:r>
        <w:lastRenderedPageBreak/>
        <w:tab/>
        <w:t>In this context I must consider all available sanctions short of incarceration with consideration to the overincarceration of Indigenous people in Canada.  As mentioned</w:t>
      </w:r>
      <w:r w:rsidR="0045244A">
        <w:t>,</w:t>
      </w:r>
      <w:r>
        <w:t xml:space="preserve"> there was a </w:t>
      </w:r>
      <w:r w:rsidRPr="008E1ED7">
        <w:rPr>
          <w:i/>
          <w:iCs/>
        </w:rPr>
        <w:t>Gladue</w:t>
      </w:r>
      <w:r>
        <w:t xml:space="preserve"> report submitted in this case.  Mr. Alikamik's Indigenous heritage and the impact of colonialism on his remote community are discussed.</w:t>
      </w:r>
    </w:p>
    <w:p w14:paraId="2BF555D1" w14:textId="27E153D7" w:rsidR="00EC765F" w:rsidRDefault="008E1ED7" w:rsidP="00EC765F">
      <w:pPr>
        <w:pStyle w:val="unquote"/>
      </w:pPr>
      <w:r>
        <w:tab/>
        <w:t>There is some evidence that his grandmother and people in his community were sent to residential school.  There is evidence of violence and alcohol abuse in his home as a child.  He identifies having little support in attending and completing school.  He also identifies challenges with access to services such as healthcare in his community.  I have considered this factual context, and it has influenced my ultimate sentencing decision.</w:t>
      </w:r>
    </w:p>
    <w:p w14:paraId="7DA5EB9E" w14:textId="77777777" w:rsidR="00AD0F93" w:rsidRDefault="008E1ED7" w:rsidP="00D42377">
      <w:pPr>
        <w:pStyle w:val="unquote"/>
      </w:pPr>
      <w:r>
        <w:tab/>
        <w:t xml:space="preserve">I will speak now about the availability of a conditional sentence order.  The defence has asked for a conditional sentence.  They rely on the </w:t>
      </w:r>
      <w:r w:rsidRPr="008E1ED7">
        <w:rPr>
          <w:i/>
          <w:iCs/>
        </w:rPr>
        <w:t>Lafferty</w:t>
      </w:r>
      <w:r>
        <w:t xml:space="preserve"> case, which confirms it is an available sentence.  </w:t>
      </w:r>
    </w:p>
    <w:p w14:paraId="5773ED30" w14:textId="1106D48B" w:rsidR="00AD0F93" w:rsidRDefault="00AD0F93" w:rsidP="00AD0F93">
      <w:pPr>
        <w:pStyle w:val="unquote"/>
      </w:pPr>
      <w:r>
        <w:tab/>
      </w:r>
      <w:r w:rsidR="0071123E">
        <w:t>Section</w:t>
      </w:r>
      <w:r w:rsidR="008E1ED7">
        <w:t xml:space="preserve"> 742.1 of the </w:t>
      </w:r>
      <w:r w:rsidR="008E1ED7" w:rsidRPr="0045244A">
        <w:rPr>
          <w:i/>
          <w:iCs/>
        </w:rPr>
        <w:t>Criminal Code</w:t>
      </w:r>
      <w:r w:rsidR="008E1ED7">
        <w:t xml:space="preserve"> prescribes a number of conditions that must be met before a conditional sentence is available to the Court.</w:t>
      </w:r>
      <w:r>
        <w:t xml:space="preserve"> </w:t>
      </w:r>
      <w:r w:rsidR="008E1ED7">
        <w:t xml:space="preserve">One of them is that a sentence of less than two years must be imposed. </w:t>
      </w:r>
    </w:p>
    <w:p w14:paraId="02C2B652" w14:textId="7E2573E4" w:rsidR="008E1ED7" w:rsidRDefault="00AD0F93" w:rsidP="00AD0F93">
      <w:pPr>
        <w:pStyle w:val="unquote"/>
      </w:pPr>
      <w:r>
        <w:tab/>
      </w:r>
      <w:r w:rsidR="008E1ED7">
        <w:t xml:space="preserve">Further, the option of a conditional sentence must be considered in light of </w:t>
      </w:r>
      <w:r>
        <w:t xml:space="preserve">the courts </w:t>
      </w:r>
      <w:r>
        <w:lastRenderedPageBreak/>
        <w:t xml:space="preserve">messaging in </w:t>
      </w:r>
      <w:r w:rsidR="008E1ED7" w:rsidRPr="008E1ED7">
        <w:rPr>
          <w:i/>
          <w:iCs/>
        </w:rPr>
        <w:t>Friesen</w:t>
      </w:r>
      <w:r w:rsidR="008E1ED7">
        <w:t xml:space="preserve"> and also should be guided by cases from this jurisdiction, such as </w:t>
      </w:r>
      <w:r w:rsidR="008E1ED7" w:rsidRPr="008E1ED7">
        <w:rPr>
          <w:i/>
          <w:iCs/>
        </w:rPr>
        <w:t>Lafferty</w:t>
      </w:r>
      <w:r w:rsidR="008E1ED7">
        <w:t xml:space="preserve">, </w:t>
      </w:r>
      <w:r w:rsidR="008E1ED7" w:rsidRPr="008E1ED7">
        <w:rPr>
          <w:i/>
          <w:iCs/>
        </w:rPr>
        <w:t>Bishop</w:t>
      </w:r>
      <w:r w:rsidR="008E1ED7">
        <w:t xml:space="preserve"> and </w:t>
      </w:r>
      <w:r w:rsidR="008E1ED7" w:rsidRPr="008E1ED7">
        <w:rPr>
          <w:i/>
          <w:iCs/>
        </w:rPr>
        <w:t>R v M.W.</w:t>
      </w:r>
      <w:r w:rsidR="008E1ED7">
        <w:t>, 2025 NWTSC 17, which the Crown relies on.</w:t>
      </w:r>
    </w:p>
    <w:p w14:paraId="2C19D1CC" w14:textId="77777777" w:rsidR="00D4303E" w:rsidRDefault="008E1ED7" w:rsidP="00D4303E">
      <w:pPr>
        <w:pStyle w:val="unquote"/>
      </w:pPr>
      <w:r>
        <w:tab/>
        <w:t xml:space="preserve">In the </w:t>
      </w:r>
      <w:r w:rsidRPr="008E1ED7">
        <w:rPr>
          <w:i/>
          <w:iCs/>
        </w:rPr>
        <w:t>Lafferty</w:t>
      </w:r>
      <w:r>
        <w:t xml:space="preserve"> case the accused had sexual intercourse with two 14-year-old victims when he was 25 years old.  In relation to the first victim, it was a one-time event.  In relation to the second victim, there were multiple incidents of sexual intercourse over a few months with the accused asserting they were in a relationship.</w:t>
      </w:r>
      <w:r w:rsidR="00D4303E">
        <w:t xml:space="preserve"> </w:t>
      </w:r>
      <w:r>
        <w:t xml:space="preserve">On one occasion there was violence towards the victim.  He was an Indigenous offender.  The accused was sentenced to a global </w:t>
      </w:r>
      <w:r w:rsidR="0045244A">
        <w:t xml:space="preserve">sentence </w:t>
      </w:r>
      <w:r>
        <w:t xml:space="preserve">of 3.5 years </w:t>
      </w:r>
      <w:r w:rsidR="00A4643B">
        <w:t>for both assaults.  This case was pre-</w:t>
      </w:r>
      <w:r w:rsidR="00A4643B" w:rsidRPr="00A4643B">
        <w:rPr>
          <w:i/>
          <w:iCs/>
        </w:rPr>
        <w:t>Friesen</w:t>
      </w:r>
      <w:r w:rsidR="00A4643B">
        <w:t xml:space="preserve">.  </w:t>
      </w:r>
    </w:p>
    <w:p w14:paraId="3FF6D275" w14:textId="53A06CC6" w:rsidR="00A4643B" w:rsidRDefault="00D4303E" w:rsidP="00D4303E">
      <w:pPr>
        <w:pStyle w:val="unquote"/>
      </w:pPr>
      <w:r>
        <w:tab/>
      </w:r>
      <w:r w:rsidR="00A4643B">
        <w:t xml:space="preserve">In the case of </w:t>
      </w:r>
      <w:r w:rsidR="00A4643B" w:rsidRPr="00A4643B">
        <w:rPr>
          <w:i/>
          <w:iCs/>
        </w:rPr>
        <w:t>Bishop</w:t>
      </w:r>
      <w:r w:rsidR="00A4643B">
        <w:t xml:space="preserve"> the accused sexually assaulted an eight-year-old girl after offering her a ride in his car.  He was an Indigenous offender.  In this case there were factors such as ill health and his lack of understanding of English, which were factored into the sentencing decision and resulted in a 45-month sentence.  This case was post-</w:t>
      </w:r>
      <w:r w:rsidR="00A4643B" w:rsidRPr="00A4643B">
        <w:rPr>
          <w:i/>
          <w:iCs/>
        </w:rPr>
        <w:t>Friesen</w:t>
      </w:r>
      <w:r w:rsidR="00A4643B">
        <w:t xml:space="preserve">.  </w:t>
      </w:r>
    </w:p>
    <w:p w14:paraId="716BBA26" w14:textId="785C468A" w:rsidR="00A4643B" w:rsidRDefault="00A4643B" w:rsidP="00D4303E">
      <w:pPr>
        <w:pStyle w:val="unquote"/>
      </w:pPr>
      <w:r>
        <w:tab/>
        <w:t xml:space="preserve">In the case of </w:t>
      </w:r>
      <w:r w:rsidRPr="00A4643B">
        <w:rPr>
          <w:i/>
          <w:iCs/>
        </w:rPr>
        <w:t>M.W.</w:t>
      </w:r>
      <w:r>
        <w:t xml:space="preserve"> the accused was 18 and the victim was 20.  The sentence was 20 months plus two years of probation.  In this case even though the sentence was 20 months, the Court declined to impose a conditional sentence as it would not be consistent with the principles and purposes of </w:t>
      </w:r>
      <w:r>
        <w:lastRenderedPageBreak/>
        <w:t>sentencing.</w:t>
      </w:r>
      <w:r w:rsidR="00D4303E">
        <w:t xml:space="preserve"> </w:t>
      </w:r>
      <w:r>
        <w:t xml:space="preserve">Specifically, the Court found that a conditional sentence would not be adequate to denounce the conduct and reflect the immense harm it causes in our communities.  In </w:t>
      </w:r>
      <w:r w:rsidRPr="00D7611E">
        <w:rPr>
          <w:i/>
          <w:iCs/>
        </w:rPr>
        <w:t>M.W.</w:t>
      </w:r>
      <w:r>
        <w:t xml:space="preserve"> Justice Charbonneau stated:</w:t>
      </w:r>
    </w:p>
    <w:p w14:paraId="56EBE84B" w14:textId="71C353E5" w:rsidR="00A4643B" w:rsidRDefault="00D4303E" w:rsidP="00A4643B">
      <w:pPr>
        <w:pStyle w:val="Quote1"/>
        <w:rPr>
          <w:lang w:val="en-US"/>
        </w:rPr>
      </w:pPr>
      <w:r>
        <w:rPr>
          <w:lang w:val="en-CA"/>
        </w:rPr>
        <w:t>“</w:t>
      </w:r>
      <w:r w:rsidR="00D7611E">
        <w:rPr>
          <w:lang w:val="en-CA"/>
        </w:rPr>
        <w:t>--</w:t>
      </w:r>
      <w:r w:rsidR="00A4643B" w:rsidRPr="00A4643B">
        <w:rPr>
          <w:lang w:val="en-CA"/>
        </w:rPr>
        <w:t xml:space="preserve"> it not open to me in law to set aside deterrence as a sentencing objective, I am bound to treat it as a primary sentencing objective.</w:t>
      </w:r>
      <w:r w:rsidR="00A4643B">
        <w:rPr>
          <w:lang w:val="en-CA"/>
        </w:rPr>
        <w:t xml:space="preserve">  … </w:t>
      </w:r>
      <w:r w:rsidR="00A4643B" w:rsidRPr="00A4643B">
        <w:rPr>
          <w:lang w:val="en-CA"/>
        </w:rPr>
        <w:t xml:space="preserve"> If I thought only of what would be better for Mr. M.W., I would no doubt allow him to serve his sentence in the community</w:t>
      </w:r>
      <w:r w:rsidR="00A4643B">
        <w:rPr>
          <w:lang w:val="en-CA"/>
        </w:rPr>
        <w:t xml:space="preserve"> …</w:t>
      </w:r>
      <w:r w:rsidR="00A4643B" w:rsidRPr="00A4643B">
        <w:rPr>
          <w:lang w:val="en-CA"/>
        </w:rPr>
        <w:t xml:space="preserve"> </w:t>
      </w:r>
      <w:r w:rsidR="00A4643B">
        <w:rPr>
          <w:lang w:val="en-CA"/>
        </w:rPr>
        <w:t xml:space="preserve"> </w:t>
      </w:r>
      <w:r w:rsidR="00A4643B" w:rsidRPr="00A4643B">
        <w:rPr>
          <w:lang w:val="en-US"/>
        </w:rPr>
        <w:t>If I placed his rehabilitation ahead of other sentencing objectives, the choice would be obvious and easy.</w:t>
      </w:r>
      <w:r w:rsidR="00A4643B">
        <w:rPr>
          <w:lang w:val="en-US"/>
        </w:rPr>
        <w:t xml:space="preserve"> </w:t>
      </w:r>
      <w:r>
        <w:rPr>
          <w:lang w:val="en-US"/>
        </w:rPr>
        <w:t>“</w:t>
      </w:r>
    </w:p>
    <w:p w14:paraId="50054BAC" w14:textId="2ECD882F" w:rsidR="00A4643B" w:rsidRDefault="00A4643B" w:rsidP="00A4643B">
      <w:pPr>
        <w:pStyle w:val="unquote"/>
      </w:pPr>
      <w:r>
        <w:t>I agree with Justice Charbonneau's comments.  If I only thought of what was best for Mr. Alikamik, of course it would be to let him serve his sentence in his community.  But the law tells me that cannot be my only consideration</w:t>
      </w:r>
      <w:r w:rsidR="00D7611E">
        <w:t xml:space="preserve"> e</w:t>
      </w:r>
      <w:r>
        <w:t xml:space="preserve">specially in a case such as this where we are dealing with a sexual offence against a child where the principles of denunciation and deterrence must be given primary consideration.  </w:t>
      </w:r>
    </w:p>
    <w:p w14:paraId="175786BB" w14:textId="2165B14B" w:rsidR="00A4643B" w:rsidRDefault="00A4643B" w:rsidP="00EC765F">
      <w:pPr>
        <w:pStyle w:val="unquote"/>
      </w:pPr>
      <w:r>
        <w:tab/>
        <w:t xml:space="preserve">I will also address the cases relied on by the defence.  Specifically, </w:t>
      </w:r>
      <w:r w:rsidRPr="00A4643B">
        <w:rPr>
          <w:i/>
          <w:iCs/>
        </w:rPr>
        <w:t>R v Pauloosie</w:t>
      </w:r>
      <w:r>
        <w:t>, 2022 NUCA 3 from the Nunavut Court of Appeal.  This is another post-</w:t>
      </w:r>
      <w:r w:rsidRPr="00A4643B">
        <w:rPr>
          <w:i/>
          <w:iCs/>
        </w:rPr>
        <w:t>Friesen</w:t>
      </w:r>
      <w:r>
        <w:t xml:space="preserve"> case.  In </w:t>
      </w:r>
      <w:r w:rsidRPr="00A4643B">
        <w:rPr>
          <w:i/>
          <w:iCs/>
        </w:rPr>
        <w:t>Pauloosie</w:t>
      </w:r>
      <w:r>
        <w:t xml:space="preserve"> the offender was 20</w:t>
      </w:r>
      <w:r w:rsidR="00D7611E">
        <w:t>,</w:t>
      </w:r>
      <w:r>
        <w:t xml:space="preserve"> and the victim was 12 at the time of the offence.  The </w:t>
      </w:r>
      <w:r>
        <w:lastRenderedPageBreak/>
        <w:t xml:space="preserve">relationship initiated over social media, and the two had sexual intercourse.  The offender admitted having sex with the victim but argued an honest mistaken belief that she was at least 16 years old.  He was convicted on four counts of sexual interference.  He was sentence to two years less a day for each count to be served concurrently, and a conditional sentence was imposed. </w:t>
      </w:r>
    </w:p>
    <w:p w14:paraId="5DF1E455" w14:textId="52AB8E4E" w:rsidR="00A4643B" w:rsidRDefault="00A4643B" w:rsidP="00A4643B">
      <w:pPr>
        <w:pStyle w:val="unquote"/>
      </w:pPr>
      <w:r>
        <w:tab/>
        <w:t xml:space="preserve">This sentencing decision was appealed by the Crown, and ultimately the Court of Appeal upheld the sentence of two years less a day.  Although the underlying facts of the case are similar to the one before me, in my view the </w:t>
      </w:r>
      <w:r w:rsidRPr="00A4643B">
        <w:rPr>
          <w:i/>
          <w:iCs/>
        </w:rPr>
        <w:t>Pauloosie</w:t>
      </w:r>
      <w:r>
        <w:t xml:space="preserve"> decision has limited application.  </w:t>
      </w:r>
    </w:p>
    <w:p w14:paraId="215A1329" w14:textId="77777777" w:rsidR="00D4303E" w:rsidRDefault="00A4643B" w:rsidP="00A4643B">
      <w:pPr>
        <w:pStyle w:val="unquote"/>
      </w:pPr>
      <w:r>
        <w:tab/>
        <w:t>In its decision the Court of Appeal was focused on providing deference to the sentencing judge and considered only whether she exercised her discretion reasonably.  This is different than the Court of Appeal explicitly endorsing the sentencing result.</w:t>
      </w:r>
    </w:p>
    <w:p w14:paraId="6A1106FC" w14:textId="201A9D93" w:rsidR="008B6B85" w:rsidRDefault="00D4303E" w:rsidP="00D4303E">
      <w:pPr>
        <w:pStyle w:val="unquote"/>
      </w:pPr>
      <w:r>
        <w:tab/>
      </w:r>
      <w:r w:rsidR="00C14B44">
        <w:t xml:space="preserve">The defence also relies on a case from the Ontario Court of Justice called </w:t>
      </w:r>
      <w:r w:rsidR="00C14B44" w:rsidRPr="00C14B44">
        <w:rPr>
          <w:i/>
          <w:iCs/>
        </w:rPr>
        <w:t>R v S.E.</w:t>
      </w:r>
      <w:r w:rsidR="00C14B44">
        <w:t xml:space="preserve">, 2023 ONSC 6259.  </w:t>
      </w:r>
      <w:r w:rsidR="008B6B85">
        <w:t xml:space="preserve">The Court in this case acknowledged the guidance from </w:t>
      </w:r>
      <w:r w:rsidR="008B6B85" w:rsidRPr="00D7611E">
        <w:rPr>
          <w:i/>
          <w:iCs/>
        </w:rPr>
        <w:t>Friesen</w:t>
      </w:r>
      <w:r w:rsidR="008B6B85">
        <w:t xml:space="preserve"> but found that there were</w:t>
      </w:r>
      <w:r>
        <w:t xml:space="preserve"> “e</w:t>
      </w:r>
      <w:r w:rsidR="008B6B85">
        <w:t>xceptional circumstances</w:t>
      </w:r>
      <w:r>
        <w:t xml:space="preserve">” </w:t>
      </w:r>
      <w:r w:rsidR="008B6B85">
        <w:t>which justified a sentence of two year</w:t>
      </w:r>
      <w:r w:rsidR="00D7611E">
        <w:t>s</w:t>
      </w:r>
      <w:r w:rsidR="008B6B85">
        <w:t xml:space="preserve"> to be served as a conditional sentence in the community.  It was a case of historical abuse with the offences taking place 27 years prior to the sentencing, and the accused had lived a seemingly </w:t>
      </w:r>
      <w:r w:rsidR="008B6B85">
        <w:lastRenderedPageBreak/>
        <w:t>pro-social life in the interim.</w:t>
      </w:r>
      <w:r>
        <w:t xml:space="preserve"> </w:t>
      </w:r>
      <w:r w:rsidR="008B6B85">
        <w:t xml:space="preserve">The accused had no criminal record.  He expressed genuine remorse.  He was a victim of sexual abuse himself and experienced chronic mental health struggles throughout his life.  This case is clearly distinguishable on the facts.  Further, it is not in line with the aforementioned cases from this jurisdiction which I do rely on. </w:t>
      </w:r>
    </w:p>
    <w:p w14:paraId="6670CCE5" w14:textId="3DF070E4" w:rsidR="008B6B85" w:rsidRDefault="008B6B85" w:rsidP="008B6B85">
      <w:pPr>
        <w:pStyle w:val="unquote"/>
        <w:rPr>
          <w:lang w:val="en-CA"/>
        </w:rPr>
      </w:pPr>
      <w:r>
        <w:tab/>
        <w:t xml:space="preserve">Appended to the </w:t>
      </w:r>
      <w:r w:rsidRPr="008B6B85">
        <w:rPr>
          <w:i/>
          <w:iCs/>
        </w:rPr>
        <w:t>S.E.</w:t>
      </w:r>
      <w:r>
        <w:t xml:space="preserve"> case is a list of other cases, including those with conditional sentences which the defence also mentioned.  None of these cases are from this jurisdiction, and all of them are </w:t>
      </w:r>
      <w:r>
        <w:rPr>
          <w:lang w:val="en-CA"/>
        </w:rPr>
        <w:t>distinguishable on their facts.  I do not find them particularly persuasive in the circumstances.</w:t>
      </w:r>
    </w:p>
    <w:p w14:paraId="44DE1A14" w14:textId="2C439F5B" w:rsidR="008B6B85" w:rsidRDefault="008B6B85" w:rsidP="008B6B85">
      <w:pPr>
        <w:pStyle w:val="unquote"/>
        <w:rPr>
          <w:lang w:val="en-CA"/>
        </w:rPr>
      </w:pPr>
      <w:r>
        <w:rPr>
          <w:lang w:val="en-CA"/>
        </w:rPr>
        <w:tab/>
        <w:t xml:space="preserve">In this case I am tasked with balancing the severity of sexual offences against children with Mr. Alikamik's personal circumstances.  I simply cannot achieve proportionality with a sentence less than two years, and as such, a conditional sentence is not an option. </w:t>
      </w:r>
    </w:p>
    <w:p w14:paraId="254AE991" w14:textId="1E224520" w:rsidR="008B6B85" w:rsidRDefault="008B6B85" w:rsidP="008B6B85">
      <w:pPr>
        <w:pStyle w:val="unquote"/>
        <w:rPr>
          <w:lang w:val="en-CA"/>
        </w:rPr>
      </w:pPr>
      <w:r>
        <w:rPr>
          <w:lang w:val="en-CA"/>
        </w:rPr>
        <w:tab/>
        <w:t xml:space="preserve">This is largely due to the Court's messaging in </w:t>
      </w:r>
      <w:r w:rsidRPr="00D7611E">
        <w:rPr>
          <w:i/>
          <w:iCs/>
          <w:lang w:val="en-CA"/>
        </w:rPr>
        <w:t>Friesen</w:t>
      </w:r>
      <w:r>
        <w:rPr>
          <w:lang w:val="en-CA"/>
        </w:rPr>
        <w:t>, the recent jurisprudence from this Court and the aggravating factors that are present in this case, which</w:t>
      </w:r>
      <w:r w:rsidR="00D4303E">
        <w:rPr>
          <w:lang w:val="en-CA"/>
        </w:rPr>
        <w:t xml:space="preserve"> include the facts that</w:t>
      </w:r>
      <w:r>
        <w:rPr>
          <w:lang w:val="en-CA"/>
        </w:rPr>
        <w:t xml:space="preserve"> this is a second sexual offence against a child, this is a second sexual offence against the same victim, the victim's age was known to Mr. Alikamik, </w:t>
      </w:r>
      <w:r w:rsidR="00D4303E">
        <w:rPr>
          <w:lang w:val="en-CA"/>
        </w:rPr>
        <w:t xml:space="preserve">and </w:t>
      </w:r>
      <w:r>
        <w:rPr>
          <w:lang w:val="en-CA"/>
        </w:rPr>
        <w:t xml:space="preserve">this offence effectively continues the victimization of this complainant from age </w:t>
      </w:r>
      <w:r>
        <w:rPr>
          <w:lang w:val="en-CA"/>
        </w:rPr>
        <w:lastRenderedPageBreak/>
        <w:t xml:space="preserve">13 through to age 15.  </w:t>
      </w:r>
    </w:p>
    <w:p w14:paraId="1840C15D" w14:textId="627FB18F" w:rsidR="008B6B85" w:rsidRDefault="008B6B85" w:rsidP="008B6B85">
      <w:pPr>
        <w:pStyle w:val="unquote"/>
        <w:rPr>
          <w:lang w:val="en-CA"/>
        </w:rPr>
      </w:pPr>
      <w:r>
        <w:rPr>
          <w:lang w:val="en-CA"/>
        </w:rPr>
        <w:tab/>
        <w:t>Mr. Alikamik was aware of the age of legal consent evidenced by his earlier conviction for which he served a period of incarceration.  The victim was under a condition not to contact persons under 16 years of age when the offence was committed.  There were multiple incidents of sexual contact over a number of months.</w:t>
      </w:r>
    </w:p>
    <w:p w14:paraId="06D1EF7C" w14:textId="77777777" w:rsidR="00D4303E" w:rsidRDefault="008B6B85" w:rsidP="008B6B85">
      <w:pPr>
        <w:pStyle w:val="unquote"/>
        <w:rPr>
          <w:lang w:val="en-CA"/>
        </w:rPr>
      </w:pPr>
      <w:r>
        <w:rPr>
          <w:lang w:val="en-CA"/>
        </w:rPr>
        <w:tab/>
      </w:r>
      <w:r w:rsidR="00231A0B">
        <w:rPr>
          <w:lang w:val="en-CA"/>
        </w:rPr>
        <w:t>There was a element of luring to the offence in that texts and messaging apps were used to exchange sexually explicit messages and images.  Given these factors, I am conscious of the sentencing objectives of denunciation and deterrence as a priority.</w:t>
      </w:r>
    </w:p>
    <w:p w14:paraId="71EE3CC5" w14:textId="31F5173D" w:rsidR="00D7611E" w:rsidRDefault="00D4303E" w:rsidP="00D4303E">
      <w:pPr>
        <w:pStyle w:val="unquote"/>
        <w:rPr>
          <w:lang w:val="en-CA"/>
        </w:rPr>
      </w:pPr>
      <w:r>
        <w:rPr>
          <w:lang w:val="en-CA"/>
        </w:rPr>
        <w:tab/>
      </w:r>
      <w:r w:rsidR="00231A0B">
        <w:rPr>
          <w:lang w:val="en-CA"/>
        </w:rPr>
        <w:t>Despite the aggravating factors noted, there are a number of reasons to exercise restraint in this case.</w:t>
      </w:r>
      <w:r w:rsidR="00EC765F">
        <w:rPr>
          <w:lang w:val="en-CA"/>
        </w:rPr>
        <w:t xml:space="preserve"> There</w:t>
      </w:r>
      <w:r w:rsidR="00231A0B">
        <w:rPr>
          <w:lang w:val="en-CA"/>
        </w:rPr>
        <w:t xml:space="preserve"> was a guilty plea, which is significant.  There are collateral consequences to be taken into account, in particular, relating to the accused's gender diversity and the related impacts of incarceration and his medical condition and rehabilitation needs.  Mr. Alikamik is a low risk to offend in the future and does not appear to be a threat to other persons in his community as evidenced by the Baxter report.  </w:t>
      </w:r>
    </w:p>
    <w:p w14:paraId="6D3DDF54" w14:textId="2365C5E2" w:rsidR="00EC765F" w:rsidRDefault="00D7611E" w:rsidP="00EC765F">
      <w:pPr>
        <w:pStyle w:val="unquote"/>
        <w:rPr>
          <w:lang w:val="en-CA"/>
        </w:rPr>
      </w:pPr>
      <w:r>
        <w:rPr>
          <w:lang w:val="en-CA"/>
        </w:rPr>
        <w:tab/>
      </w:r>
      <w:r w:rsidR="00231A0B">
        <w:rPr>
          <w:lang w:val="en-CA"/>
        </w:rPr>
        <w:t>Mr. Alikamik is an Indigenous offender</w:t>
      </w:r>
      <w:r>
        <w:rPr>
          <w:lang w:val="en-CA"/>
        </w:rPr>
        <w:t>,</w:t>
      </w:r>
      <w:r w:rsidR="00231A0B">
        <w:rPr>
          <w:lang w:val="en-CA"/>
        </w:rPr>
        <w:t xml:space="preserve"> and of course, I am required to take judicial notice of the systemic and background factors that have had an impact on Indigenous people in this country, which </w:t>
      </w:r>
      <w:r w:rsidR="00231A0B">
        <w:rPr>
          <w:lang w:val="en-CA"/>
        </w:rPr>
        <w:lastRenderedPageBreak/>
        <w:t xml:space="preserve">reduce his overall blameworthiness.  I also have evidence from the </w:t>
      </w:r>
      <w:r w:rsidR="00231A0B" w:rsidRPr="00EC765F">
        <w:rPr>
          <w:lang w:val="en-CA"/>
        </w:rPr>
        <w:t>Gladue</w:t>
      </w:r>
      <w:r w:rsidR="00231A0B" w:rsidRPr="00231A0B">
        <w:rPr>
          <w:i/>
          <w:iCs/>
          <w:lang w:val="en-CA"/>
        </w:rPr>
        <w:t xml:space="preserve"> </w:t>
      </w:r>
      <w:r w:rsidR="00231A0B">
        <w:rPr>
          <w:lang w:val="en-CA"/>
        </w:rPr>
        <w:t>report that speaks to his personal circumstances and supports applying restraint in these circumstances.</w:t>
      </w:r>
    </w:p>
    <w:p w14:paraId="17282B3E" w14:textId="5594DE44" w:rsidR="00231A0B" w:rsidRDefault="00D4303E" w:rsidP="008B6B85">
      <w:pPr>
        <w:pStyle w:val="unquote"/>
        <w:rPr>
          <w:lang w:val="en-CA"/>
        </w:rPr>
      </w:pPr>
      <w:r>
        <w:rPr>
          <w:lang w:val="en-CA"/>
        </w:rPr>
        <w:tab/>
      </w:r>
      <w:r w:rsidR="00EC765F">
        <w:rPr>
          <w:lang w:val="en-CA"/>
        </w:rPr>
        <w:t>C</w:t>
      </w:r>
      <w:r w:rsidR="00231A0B">
        <w:rPr>
          <w:lang w:val="en-CA"/>
        </w:rPr>
        <w:t xml:space="preserve">onsidering all of these factors, I have determined 30 months to be a fair sentence.  </w:t>
      </w:r>
    </w:p>
    <w:p w14:paraId="1C5BEF37" w14:textId="475015CE" w:rsidR="00231A0B" w:rsidRDefault="00231A0B" w:rsidP="008B6B85">
      <w:pPr>
        <w:pStyle w:val="unquote"/>
        <w:rPr>
          <w:lang w:val="en-CA"/>
        </w:rPr>
      </w:pPr>
      <w:r>
        <w:rPr>
          <w:lang w:val="en-CA"/>
        </w:rPr>
        <w:tab/>
        <w:t>Mr. Alikamik, I cannot see you so if you could please stand up, sir.  Mr. Alikamik, I hereby sentence you to a term of imprisonment of 30 months.  This represents 30 months for the sexual assault and three months for the 161 breach, to be served concurrently.  You can sit down, please.  Thank you.</w:t>
      </w:r>
    </w:p>
    <w:p w14:paraId="791510E3" w14:textId="72AECB29" w:rsidR="00231A0B" w:rsidRDefault="00231A0B" w:rsidP="008B6B85">
      <w:pPr>
        <w:pStyle w:val="unquote"/>
        <w:rPr>
          <w:lang w:val="en-CA"/>
        </w:rPr>
      </w:pPr>
      <w:r>
        <w:rPr>
          <w:lang w:val="en-CA"/>
        </w:rPr>
        <w:tab/>
        <w:t>Given Mr. Alikamik's circumstances and his counsel's request, I will recommend that Mr.</w:t>
      </w:r>
      <w:r w:rsidR="003E59FC">
        <w:rPr>
          <w:lang w:val="en-CA"/>
        </w:rPr>
        <w:t> </w:t>
      </w:r>
      <w:r>
        <w:rPr>
          <w:lang w:val="en-CA"/>
        </w:rPr>
        <w:t>Alikamik be given the opportunity to serve his sentence in a territorial facility where he can continue to practise his culture and be closer to his family ties</w:t>
      </w:r>
      <w:r w:rsidR="003E59FC">
        <w:rPr>
          <w:lang w:val="en-CA"/>
        </w:rPr>
        <w:t xml:space="preserve">.  The warrant of committal shall be endorsed with a strong recommendation to this effect although this is only a recommendation, and I cannot direct where an offender is ultimately placed. </w:t>
      </w:r>
    </w:p>
    <w:p w14:paraId="43151D10" w14:textId="77777777" w:rsidR="003E59FC" w:rsidRDefault="003E59FC" w:rsidP="008B6B85">
      <w:pPr>
        <w:pStyle w:val="unquote"/>
        <w:rPr>
          <w:lang w:val="en-CA"/>
        </w:rPr>
      </w:pPr>
      <w:r>
        <w:rPr>
          <w:lang w:val="en-CA"/>
        </w:rPr>
        <w:tab/>
        <w:t xml:space="preserve">I wish to also address the ancillary orders.  My understanding is the Crown is not seeking a further 161 order.  </w:t>
      </w:r>
    </w:p>
    <w:p w14:paraId="405DAFFC" w14:textId="71D1365E" w:rsidR="003E59FC" w:rsidRDefault="003E59FC" w:rsidP="008B6B85">
      <w:pPr>
        <w:pStyle w:val="unquote"/>
        <w:rPr>
          <w:lang w:val="en-CA"/>
        </w:rPr>
      </w:pPr>
      <w:r>
        <w:rPr>
          <w:lang w:val="en-CA"/>
        </w:rPr>
        <w:tab/>
        <w:t>Can you confirm that, Mr. Fane?</w:t>
      </w:r>
    </w:p>
    <w:p w14:paraId="71F4DD59" w14:textId="725A596A" w:rsidR="003E59FC" w:rsidRDefault="003E59FC" w:rsidP="003E59FC">
      <w:pPr>
        <w:pStyle w:val="Coll"/>
      </w:pPr>
      <w:r>
        <w:t xml:space="preserve">M. FANE:            That's correct.  </w:t>
      </w:r>
    </w:p>
    <w:p w14:paraId="4406D162" w14:textId="03F1B0A7" w:rsidR="003E59FC" w:rsidRDefault="003E59FC" w:rsidP="003E59FC">
      <w:pPr>
        <w:pStyle w:val="Coll"/>
      </w:pPr>
      <w:r>
        <w:t xml:space="preserve">THE COURT:            I will impose a firearms prohibition </w:t>
      </w:r>
      <w:r>
        <w:lastRenderedPageBreak/>
        <w:t xml:space="preserve">pursuant to </w:t>
      </w:r>
      <w:r w:rsidR="0071123E">
        <w:t>Section</w:t>
      </w:r>
      <w:r>
        <w:t xml:space="preserve"> 109 of the </w:t>
      </w:r>
      <w:r w:rsidRPr="003E59FC">
        <w:rPr>
          <w:i/>
          <w:iCs/>
        </w:rPr>
        <w:t>Criminal Code</w:t>
      </w:r>
      <w:r>
        <w:t xml:space="preserve"> ending 10 years following Mr. Alikamik's release.  </w:t>
      </w:r>
    </w:p>
    <w:p w14:paraId="680A2A3D" w14:textId="74FBBF4C" w:rsidR="003E59FC" w:rsidRDefault="003E59FC" w:rsidP="003E59FC">
      <w:pPr>
        <w:pStyle w:val="Coll"/>
      </w:pPr>
      <w:r>
        <w:tab/>
      </w:r>
      <w:r>
        <w:tab/>
        <w:t xml:space="preserve">And I wanted to ask, Ms. Peeler, are you seeking a hunting exemption in this instance?  Given the background information I thought you might. </w:t>
      </w:r>
    </w:p>
    <w:p w14:paraId="4FA8AC23" w14:textId="242625BA" w:rsidR="003E59FC" w:rsidRDefault="003E59FC" w:rsidP="003E59FC">
      <w:pPr>
        <w:pStyle w:val="Coll"/>
      </w:pPr>
      <w:r>
        <w:t xml:space="preserve">A. PEELER:            I -- yes, I would be seeking that he be allowed to apply for that exemption.  </w:t>
      </w:r>
    </w:p>
    <w:p w14:paraId="69C43129" w14:textId="64EC629F" w:rsidR="003E59FC" w:rsidRDefault="003E59FC" w:rsidP="003E59FC">
      <w:pPr>
        <w:pStyle w:val="Coll"/>
      </w:pPr>
      <w:r>
        <w:t xml:space="preserve">THE COURT:            All right.  </w:t>
      </w:r>
    </w:p>
    <w:p w14:paraId="109F3462" w14:textId="62EDF1BC" w:rsidR="003E59FC" w:rsidRDefault="003E59FC" w:rsidP="003E59FC">
      <w:pPr>
        <w:pStyle w:val="Coll"/>
      </w:pPr>
      <w:r>
        <w:tab/>
      </w:r>
      <w:r>
        <w:tab/>
        <w:t>Crown have any issues?</w:t>
      </w:r>
    </w:p>
    <w:p w14:paraId="737FE637" w14:textId="68996648" w:rsidR="003E59FC" w:rsidRDefault="003E59FC" w:rsidP="003E59FC">
      <w:pPr>
        <w:pStyle w:val="Coll"/>
      </w:pPr>
      <w:r>
        <w:t xml:space="preserve">M. FANE:            [indiscernible - away from microphone] for the Crown, Your Honour.  </w:t>
      </w:r>
    </w:p>
    <w:p w14:paraId="515C1D4A" w14:textId="57C555AB" w:rsidR="003E59FC" w:rsidRDefault="003E59FC" w:rsidP="003E59FC">
      <w:pPr>
        <w:pStyle w:val="Coll"/>
      </w:pPr>
      <w:r>
        <w:t xml:space="preserve">THE COURT:            All right.  So just noting </w:t>
      </w:r>
      <w:r w:rsidR="00D4303E">
        <w:t xml:space="preserve">a </w:t>
      </w:r>
      <w:r>
        <w:t xml:space="preserve">DNA order pursuant to 487.051 of the </w:t>
      </w:r>
      <w:r w:rsidRPr="003E59FC">
        <w:rPr>
          <w:i/>
          <w:iCs/>
        </w:rPr>
        <w:t>Criminal Code</w:t>
      </w:r>
      <w:r w:rsidR="00D4303E">
        <w:t xml:space="preserve"> is also ordered</w:t>
      </w:r>
      <w:r>
        <w:t xml:space="preserve">.  And no communication with the victim N.C. during the period of incarceration pursuant to 743.21 of the </w:t>
      </w:r>
      <w:r w:rsidRPr="003E59FC">
        <w:rPr>
          <w:i/>
          <w:iCs/>
        </w:rPr>
        <w:t>Criminal Code</w:t>
      </w:r>
      <w:r>
        <w:t xml:space="preserve">.  </w:t>
      </w:r>
      <w:r w:rsidR="00D4303E">
        <w:t>It</w:t>
      </w:r>
      <w:r>
        <w:t xml:space="preserve"> is also mandatory that I make an order requiring Mr. Alikamik to comply with the </w:t>
      </w:r>
      <w:r w:rsidRPr="003E59FC">
        <w:rPr>
          <w:i/>
          <w:iCs/>
        </w:rPr>
        <w:t>Sex Offender Information Registration Act</w:t>
      </w:r>
      <w:r>
        <w:t xml:space="preserve"> for 20 years.  </w:t>
      </w:r>
    </w:p>
    <w:p w14:paraId="4C39C5F1" w14:textId="12D9D26E" w:rsidR="003E59FC" w:rsidRDefault="003E59FC" w:rsidP="003E59FC">
      <w:pPr>
        <w:pStyle w:val="Coll"/>
      </w:pPr>
      <w:r>
        <w:tab/>
      </w:r>
      <w:r>
        <w:tab/>
        <w:t xml:space="preserve">And there is a victim surcharge.  I wonder if counsel has a position on that.  </w:t>
      </w:r>
    </w:p>
    <w:p w14:paraId="30195645" w14:textId="53CA4A29" w:rsidR="003E59FC" w:rsidRDefault="003E59FC" w:rsidP="003E59FC">
      <w:pPr>
        <w:pStyle w:val="Coll"/>
      </w:pPr>
      <w:r>
        <w:t>A. PEELER:            I would ask that it be waived due to hardship given Mr. Alikamik has not been employed and will be in custody.</w:t>
      </w:r>
    </w:p>
    <w:p w14:paraId="21CE034A" w14:textId="6D01C545" w:rsidR="003E59FC" w:rsidRDefault="003E59FC" w:rsidP="003E59FC">
      <w:pPr>
        <w:pStyle w:val="Coll"/>
      </w:pPr>
      <w:r>
        <w:t xml:space="preserve">M. FANE:            And I endorse that, Your Honour.  </w:t>
      </w:r>
    </w:p>
    <w:p w14:paraId="52E9C136" w14:textId="1184EDF7" w:rsidR="003E59FC" w:rsidRDefault="003E59FC" w:rsidP="003E59FC">
      <w:pPr>
        <w:pStyle w:val="Coll"/>
      </w:pPr>
      <w:r>
        <w:t xml:space="preserve">THE COURT:            All right.  So the victim surcharge will be waived, given the position of counsel and consent of the Crown.  And I believe that is everything we need to </w:t>
      </w:r>
      <w:r>
        <w:lastRenderedPageBreak/>
        <w:t xml:space="preserve">deal with today.  </w:t>
      </w:r>
    </w:p>
    <w:p w14:paraId="7DC82013" w14:textId="1BB7CECD" w:rsidR="003E59FC" w:rsidRDefault="003E59FC" w:rsidP="003E59FC">
      <w:pPr>
        <w:pStyle w:val="NewExam"/>
      </w:pPr>
      <w:r>
        <w:t>SUBMISSIONS BY M. FANE:</w:t>
      </w:r>
    </w:p>
    <w:p w14:paraId="211C6D1A" w14:textId="6863E721" w:rsidR="003E59FC" w:rsidRDefault="003E59FC" w:rsidP="003E59FC">
      <w:pPr>
        <w:pStyle w:val="Coll"/>
      </w:pPr>
      <w:r>
        <w:t xml:space="preserve">M. FANE:            Sorry, not to derail things, Your Honour, and I should have kept my sentencing notes from what my submissions were at the time of sentencing.  And just given the prior </w:t>
      </w:r>
      <w:r w:rsidR="0071123E">
        <w:t>Section</w:t>
      </w:r>
      <w:r>
        <w:t xml:space="preserve"> 152 offence, I'm not sure if it isn't a mandatorily lifetime registration period for this sort </w:t>
      </w:r>
      <w:r w:rsidR="00873F0B">
        <w:br/>
      </w:r>
      <w:r>
        <w:t>of --</w:t>
      </w:r>
    </w:p>
    <w:p w14:paraId="1F151416" w14:textId="31D30946" w:rsidR="003E59FC" w:rsidRDefault="003E59FC" w:rsidP="003E59FC">
      <w:pPr>
        <w:pStyle w:val="Coll"/>
      </w:pPr>
      <w:r>
        <w:t>THE COURT:            Okay.  I am --</w:t>
      </w:r>
    </w:p>
    <w:p w14:paraId="15FE3B5B" w14:textId="2E0333F7" w:rsidR="003E59FC" w:rsidRDefault="003E59FC" w:rsidP="003E59FC">
      <w:pPr>
        <w:pStyle w:val="Coll"/>
      </w:pPr>
      <w:r>
        <w:t xml:space="preserve">M. FANE:            I have to just pull up my </w:t>
      </w:r>
      <w:r w:rsidRPr="003E59FC">
        <w:rPr>
          <w:i/>
          <w:iCs/>
        </w:rPr>
        <w:t>Criminal Code</w:t>
      </w:r>
      <w:r>
        <w:t xml:space="preserve">.  </w:t>
      </w:r>
    </w:p>
    <w:p w14:paraId="151A615B" w14:textId="5D261A58" w:rsidR="003E59FC" w:rsidRDefault="003E59FC" w:rsidP="003E59FC">
      <w:pPr>
        <w:pStyle w:val="Coll"/>
      </w:pPr>
      <w:r>
        <w:t xml:space="preserve">THE COURT:            I will take a look as well.  </w:t>
      </w:r>
    </w:p>
    <w:p w14:paraId="61549F78" w14:textId="3AEB867E" w:rsidR="003E59FC" w:rsidRDefault="003E59FC" w:rsidP="003E59FC">
      <w:pPr>
        <w:pStyle w:val="Coll"/>
      </w:pPr>
      <w:r>
        <w:t xml:space="preserve">M. FANE:            It's just very handily right here.  </w:t>
      </w:r>
    </w:p>
    <w:p w14:paraId="2863EF68" w14:textId="01746F8E" w:rsidR="003E59FC" w:rsidRDefault="003E59FC" w:rsidP="003E59FC">
      <w:pPr>
        <w:pStyle w:val="Coll"/>
      </w:pPr>
      <w:r>
        <w:t>A. PEELER:            Sorry, I couldn't hear what the Crown was saying.</w:t>
      </w:r>
    </w:p>
    <w:p w14:paraId="1707F919" w14:textId="471EC007" w:rsidR="003E59FC" w:rsidRDefault="003E59FC" w:rsidP="003E59FC">
      <w:pPr>
        <w:pStyle w:val="Coll"/>
      </w:pPr>
      <w:r>
        <w:t xml:space="preserve">THE COURT:            The Crown had mentioned given there was a prior conviction </w:t>
      </w:r>
      <w:r w:rsidR="00B274FB">
        <w:t>for invitation to sexual touching that there is perhaps to be a lifetime registry requirement as opposed to a 20-year requirement.  Do you have any knowledge of that, Ms. Peeler?</w:t>
      </w:r>
    </w:p>
    <w:p w14:paraId="05027DE4" w14:textId="4864DE83" w:rsidR="00B274FB" w:rsidRDefault="00B274FB" w:rsidP="00B274FB">
      <w:pPr>
        <w:pStyle w:val="Coll"/>
      </w:pPr>
      <w:r>
        <w:t xml:space="preserve">A. PEELER:            I don't and my internet is very slow, so I'm having difficulty looking it up.  </w:t>
      </w:r>
    </w:p>
    <w:p w14:paraId="0E32B65F" w14:textId="449FBF89" w:rsidR="00B274FB" w:rsidRDefault="00B274FB" w:rsidP="00B274FB">
      <w:pPr>
        <w:pStyle w:val="Coll"/>
      </w:pPr>
      <w:r>
        <w:t xml:space="preserve">THE COURT:            Okay.  We are both just taking a look at our </w:t>
      </w:r>
      <w:r w:rsidRPr="00B274FB">
        <w:rPr>
          <w:i/>
          <w:iCs/>
        </w:rPr>
        <w:t>Codes</w:t>
      </w:r>
      <w:r>
        <w:t xml:space="preserve"> now.  </w:t>
      </w:r>
    </w:p>
    <w:p w14:paraId="6BBB0639" w14:textId="02777BF3" w:rsidR="00B274FB" w:rsidRDefault="00B274FB" w:rsidP="00B274FB">
      <w:pPr>
        <w:pStyle w:val="Coll"/>
      </w:pPr>
      <w:r>
        <w:tab/>
      </w:r>
      <w:r>
        <w:tab/>
        <w:t xml:space="preserve">I think you might be right, Mr. Fane.  </w:t>
      </w:r>
    </w:p>
    <w:p w14:paraId="12712934" w14:textId="35C5FC18" w:rsidR="00D7611E" w:rsidRDefault="00B274FB" w:rsidP="00B274FB">
      <w:pPr>
        <w:pStyle w:val="Coll"/>
      </w:pPr>
      <w:r>
        <w:t xml:space="preserve">M. FANE:            It's a primary designated offence, which it is.  Invitation to sexual touching is a primary designated </w:t>
      </w:r>
      <w:r>
        <w:lastRenderedPageBreak/>
        <w:t>offence, Your Honour, and so under 490.013(3) -- or sub</w:t>
      </w:r>
      <w:r w:rsidR="0071123E">
        <w:rPr>
          <w:lang w:val="en-US"/>
        </w:rPr>
        <w:t>s</w:t>
      </w:r>
      <w:r w:rsidR="0071123E">
        <w:t>ection</w:t>
      </w:r>
      <w:r>
        <w:t xml:space="preserve"> (5), an order made applies for life if the person was previously convicted of a primary designated offence</w:t>
      </w:r>
      <w:r w:rsidR="00D7611E">
        <w:t xml:space="preserve"> a</w:t>
      </w:r>
      <w:r>
        <w:t xml:space="preserve">nd is or was at the time the subject of an order or obligation under this other act of Parliament.  </w:t>
      </w:r>
    </w:p>
    <w:p w14:paraId="78EF107A" w14:textId="20E69F3E" w:rsidR="00B274FB" w:rsidRDefault="00D7611E" w:rsidP="00B274FB">
      <w:pPr>
        <w:pStyle w:val="Coll"/>
      </w:pPr>
      <w:r>
        <w:tab/>
      </w:r>
      <w:r>
        <w:tab/>
      </w:r>
      <w:r w:rsidR="00B274FB">
        <w:t xml:space="preserve">So both criterion apply, that both disjuncts -- Alikamik having been convicted previously of the 152 offence and also concurrently being on the </w:t>
      </w:r>
      <w:r w:rsidR="00B274FB" w:rsidRPr="00B274FB">
        <w:rPr>
          <w:i/>
          <w:iCs/>
        </w:rPr>
        <w:t>Registration Act</w:t>
      </w:r>
      <w:r w:rsidR="00B274FB">
        <w:t xml:space="preserve"> obligation.  Therefore, as I understand it, Your Honour, it's obligatory for it to be a lifetime order.  </w:t>
      </w:r>
    </w:p>
    <w:p w14:paraId="15F60359" w14:textId="21FB7BBB" w:rsidR="00B274FB" w:rsidRDefault="00B274FB" w:rsidP="00B274FB">
      <w:pPr>
        <w:pStyle w:val="Coll"/>
      </w:pPr>
      <w:r>
        <w:t>THE COURT:            Do you have a position on this, Ms. Peeler?</w:t>
      </w:r>
    </w:p>
    <w:p w14:paraId="297ECE0F" w14:textId="6B0F9882" w:rsidR="00B274FB" w:rsidRDefault="00B274FB" w:rsidP="00B274FB">
      <w:pPr>
        <w:pStyle w:val="Coll"/>
      </w:pPr>
      <w:r>
        <w:t xml:space="preserve">A. PEELER:            No, sorry.  I didn't hear everything the Crown said.  </w:t>
      </w:r>
    </w:p>
    <w:p w14:paraId="7EACECF2" w14:textId="0A6CBB78" w:rsidR="00B274FB" w:rsidRDefault="00B274FB" w:rsidP="00B274FB">
      <w:pPr>
        <w:pStyle w:val="Coll"/>
      </w:pPr>
      <w:r>
        <w:t xml:space="preserve">THE COURT:            Okay.  And if I understand </w:t>
      </w:r>
      <w:r w:rsidR="005A1E84">
        <w:t xml:space="preserve">-- </w:t>
      </w:r>
      <w:r>
        <w:t xml:space="preserve">maybe you do not have your </w:t>
      </w:r>
      <w:r w:rsidRPr="00B274FB">
        <w:rPr>
          <w:i/>
          <w:iCs/>
        </w:rPr>
        <w:t>Code</w:t>
      </w:r>
      <w:r>
        <w:t xml:space="preserve"> with you</w:t>
      </w:r>
      <w:r w:rsidR="005A1E84">
        <w:t xml:space="preserve"> --</w:t>
      </w:r>
      <w:r>
        <w:t xml:space="preserve"> he is referring to </w:t>
      </w:r>
      <w:r w:rsidR="0071123E">
        <w:t>Section</w:t>
      </w:r>
      <w:r>
        <w:t xml:space="preserve"> 490.013 of the </w:t>
      </w:r>
      <w:r w:rsidRPr="00B274FB">
        <w:rPr>
          <w:i/>
          <w:iCs/>
        </w:rPr>
        <w:t>Criminal Code</w:t>
      </w:r>
      <w:r>
        <w:t>, specifically sub</w:t>
      </w:r>
      <w:r w:rsidR="0071123E">
        <w:rPr>
          <w:lang w:val="en-US"/>
        </w:rPr>
        <w:t>s</w:t>
      </w:r>
      <w:r w:rsidR="0071123E">
        <w:t>ection</w:t>
      </w:r>
      <w:r>
        <w:t xml:space="preserve"> (5), which indicates that an order made under a 490.012(1) or 3 applies for life if the person has been previously convicted of a primary offence and/or at the time was the subject of an order obligation under this or another act.</w:t>
      </w:r>
      <w:r w:rsidR="005A1E84">
        <w:t xml:space="preserve">  </w:t>
      </w:r>
      <w:r>
        <w:tab/>
      </w:r>
      <w:r>
        <w:tab/>
        <w:t xml:space="preserve">And so he is saying essentially both those criteria have been met and as such, the registry requirement should be a lifetime requirement.  </w:t>
      </w:r>
    </w:p>
    <w:p w14:paraId="701C41F8" w14:textId="4781C734" w:rsidR="00B274FB" w:rsidRDefault="00B274FB" w:rsidP="00B274FB">
      <w:pPr>
        <w:pStyle w:val="Coll"/>
      </w:pPr>
      <w:r>
        <w:lastRenderedPageBreak/>
        <w:t xml:space="preserve">A. PEELER:            Certainly, if that's what the law says, then </w:t>
      </w:r>
      <w:r w:rsidR="005A1E84">
        <w:t>I can't</w:t>
      </w:r>
      <w:r>
        <w:t xml:space="preserve"> …</w:t>
      </w:r>
    </w:p>
    <w:p w14:paraId="1D922919" w14:textId="410C53AD" w:rsidR="00B274FB" w:rsidRDefault="00B274FB" w:rsidP="00B274FB">
      <w:pPr>
        <w:pStyle w:val="Coll"/>
      </w:pPr>
      <w:r>
        <w:t>THE COURT:            All right.  So I am --</w:t>
      </w:r>
    </w:p>
    <w:p w14:paraId="546983E2" w14:textId="6835F600" w:rsidR="00B274FB" w:rsidRDefault="00B274FB" w:rsidP="00B274FB">
      <w:pPr>
        <w:pStyle w:val="Coll"/>
      </w:pPr>
      <w:r>
        <w:t xml:space="preserve">A. PEELER:            -- argue with it.  </w:t>
      </w:r>
    </w:p>
    <w:p w14:paraId="1796FE30" w14:textId="77777777" w:rsidR="005A1E84" w:rsidRDefault="00B274FB" w:rsidP="00B274FB">
      <w:pPr>
        <w:pStyle w:val="Coll"/>
      </w:pPr>
      <w:r>
        <w:t xml:space="preserve">THE COURT:            All right.  So I am going to adjust my direction based on those submissions and indicate that it's a lifetime obligation rather than the 20 years.  </w:t>
      </w:r>
    </w:p>
    <w:p w14:paraId="23280CDA" w14:textId="6D0035E5" w:rsidR="00B274FB" w:rsidRDefault="005A1E84" w:rsidP="00B274FB">
      <w:pPr>
        <w:pStyle w:val="Coll"/>
      </w:pPr>
      <w:r>
        <w:tab/>
      </w:r>
      <w:r>
        <w:tab/>
      </w:r>
      <w:r w:rsidR="00B274FB">
        <w:t>Is there anything further, counsel, that we need to address?</w:t>
      </w:r>
    </w:p>
    <w:p w14:paraId="03CBDFFA" w14:textId="0A321036" w:rsidR="00B274FB" w:rsidRDefault="00B274FB" w:rsidP="00B274FB">
      <w:pPr>
        <w:pStyle w:val="Coll"/>
      </w:pPr>
      <w:r>
        <w:t xml:space="preserve">M. FANE:            Not from the Crown.  Thank you, Your Honour. </w:t>
      </w:r>
    </w:p>
    <w:p w14:paraId="3288E2AD" w14:textId="019C0561" w:rsidR="00B274FB" w:rsidRDefault="00B274FB" w:rsidP="00B274FB">
      <w:pPr>
        <w:pStyle w:val="Coll"/>
      </w:pPr>
      <w:r>
        <w:t xml:space="preserve">THE COURT:            Thank you.  All right.  </w:t>
      </w:r>
    </w:p>
    <w:p w14:paraId="09E5BD1C" w14:textId="7CAEAE35" w:rsidR="00B274FB" w:rsidRDefault="00B274FB" w:rsidP="00B274FB">
      <w:pPr>
        <w:pStyle w:val="Coll"/>
      </w:pPr>
      <w:r>
        <w:tab/>
      </w:r>
      <w:r>
        <w:tab/>
        <w:t xml:space="preserve">So, Mr. Alikamik, I do wish you good luck.  Thank you, and I am sure your counsel will be in touch.  </w:t>
      </w:r>
    </w:p>
    <w:p w14:paraId="58F05239" w14:textId="380FFDEE" w:rsidR="00B274FB" w:rsidRDefault="00B274FB" w:rsidP="00B274FB">
      <w:pPr>
        <w:pStyle w:val="Coll"/>
      </w:pPr>
      <w:r>
        <w:tab/>
      </w:r>
      <w:r>
        <w:tab/>
        <w:t>And thank you both, counsel</w:t>
      </w:r>
      <w:r w:rsidR="00D4303E">
        <w:t>.</w:t>
      </w:r>
    </w:p>
    <w:p w14:paraId="66C7BEAF" w14:textId="286EEB68" w:rsidR="00B274FB" w:rsidRDefault="00B274FB" w:rsidP="00B274FB">
      <w:pPr>
        <w:pStyle w:val="Coll"/>
      </w:pPr>
      <w:r>
        <w:t xml:space="preserve">M. FANE:            Thank you, Your Honour.  And I thank my friend.  </w:t>
      </w:r>
    </w:p>
    <w:p w14:paraId="33C370E4" w14:textId="343EDD9D" w:rsidR="00580F47" w:rsidRPr="00A4643B" w:rsidRDefault="00580F47" w:rsidP="00580F47">
      <w:pPr>
        <w:pStyle w:val="Coll"/>
      </w:pPr>
      <w:r>
        <w:t xml:space="preserve">THE CLERK:            All rise.  </w:t>
      </w:r>
    </w:p>
    <w:p w14:paraId="1F9426ED" w14:textId="326B42E0" w:rsidR="005A45EC" w:rsidRDefault="005A45EC" w:rsidP="00D9195E">
      <w:pPr>
        <w:pStyle w:val="OTR"/>
        <w:rPr>
          <w:rFonts w:cs="Arial"/>
          <w:lang w:val="en-CA"/>
        </w:rPr>
      </w:pPr>
    </w:p>
    <w:p w14:paraId="34548AE4" w14:textId="77777777" w:rsidR="0071123E" w:rsidRDefault="0071123E" w:rsidP="00D9195E">
      <w:pPr>
        <w:pStyle w:val="OTR"/>
        <w:rPr>
          <w:rFonts w:cs="Arial"/>
          <w:lang w:val="en-CA"/>
        </w:rPr>
      </w:pPr>
    </w:p>
    <w:p w14:paraId="0FF52C33" w14:textId="77777777" w:rsidR="0071123E" w:rsidRDefault="0071123E" w:rsidP="00D9195E">
      <w:pPr>
        <w:pStyle w:val="OTR"/>
        <w:rPr>
          <w:rFonts w:cs="Arial"/>
          <w:lang w:val="en-CA"/>
        </w:rPr>
      </w:pPr>
    </w:p>
    <w:p w14:paraId="371E38F4" w14:textId="77777777" w:rsidR="0071123E" w:rsidRDefault="0071123E" w:rsidP="00D9195E">
      <w:pPr>
        <w:pStyle w:val="OTR"/>
        <w:rPr>
          <w:rFonts w:cs="Arial"/>
          <w:lang w:val="en-CA"/>
        </w:rPr>
      </w:pPr>
    </w:p>
    <w:p w14:paraId="5C64EB4F" w14:textId="77777777" w:rsidR="0071123E" w:rsidRDefault="0071123E" w:rsidP="00D9195E">
      <w:pPr>
        <w:pStyle w:val="OTR"/>
        <w:rPr>
          <w:rFonts w:cs="Arial"/>
          <w:lang w:val="en-CA"/>
        </w:rPr>
      </w:pPr>
    </w:p>
    <w:p w14:paraId="3D1A016D" w14:textId="77777777" w:rsidR="0071123E" w:rsidRDefault="0071123E" w:rsidP="00D9195E">
      <w:pPr>
        <w:pStyle w:val="OTR"/>
        <w:rPr>
          <w:rFonts w:cs="Arial"/>
          <w:lang w:val="en-CA"/>
        </w:rPr>
      </w:pPr>
    </w:p>
    <w:p w14:paraId="65C905A4" w14:textId="77777777" w:rsidR="0071123E" w:rsidRDefault="0071123E" w:rsidP="00D9195E">
      <w:pPr>
        <w:pStyle w:val="OTR"/>
        <w:rPr>
          <w:rFonts w:cs="Arial"/>
          <w:lang w:val="en-CA"/>
        </w:rPr>
      </w:pPr>
    </w:p>
    <w:p w14:paraId="0205A20B" w14:textId="77777777" w:rsidR="0071123E" w:rsidRDefault="0071123E" w:rsidP="00D9195E">
      <w:pPr>
        <w:pStyle w:val="OTR"/>
        <w:rPr>
          <w:rFonts w:cs="Arial"/>
          <w:lang w:val="en-CA"/>
        </w:rPr>
      </w:pPr>
    </w:p>
    <w:p w14:paraId="6BF365B4" w14:textId="77777777" w:rsidR="0071123E" w:rsidRDefault="0071123E" w:rsidP="00D9195E">
      <w:pPr>
        <w:pStyle w:val="OTR"/>
        <w:rPr>
          <w:rFonts w:cs="Arial"/>
          <w:lang w:val="en-CA"/>
        </w:rPr>
      </w:pPr>
    </w:p>
    <w:p w14:paraId="238D2510" w14:textId="77777777" w:rsidR="0071123E" w:rsidRPr="00BD219A" w:rsidRDefault="0071123E" w:rsidP="00D9195E">
      <w:pPr>
        <w:pStyle w:val="OTR"/>
        <w:rPr>
          <w:rFonts w:cs="Arial"/>
          <w:b w:val="0"/>
          <w:lang w:val="en-CA"/>
        </w:rPr>
      </w:pPr>
    </w:p>
    <w:p w14:paraId="0E3FC2A0" w14:textId="4D8306AB" w:rsidR="00BD219A" w:rsidRDefault="00BD219A" w:rsidP="00BD219A">
      <w:pPr>
        <w:tabs>
          <w:tab w:val="clear" w:pos="360"/>
        </w:tabs>
        <w:spacing w:line="396" w:lineRule="auto"/>
        <w:ind w:left="720"/>
        <w:rPr>
          <w:rFonts w:ascii="Arial" w:hAnsi="Arial" w:cs="Arial"/>
          <w:b/>
          <w:bCs/>
          <w:color w:val="000000"/>
          <w:spacing w:val="0"/>
          <w:sz w:val="24"/>
          <w:lang w:val="en-CA"/>
        </w:rPr>
      </w:pPr>
      <w:r>
        <w:rPr>
          <w:rFonts w:ascii="Arial" w:hAnsi="Arial" w:cs="Arial"/>
          <w:b/>
          <w:bCs/>
          <w:color w:val="000000"/>
          <w:spacing w:val="0"/>
          <w:sz w:val="24"/>
          <w:lang w:val="en-CA"/>
        </w:rPr>
        <w:t xml:space="preserve">CERTIFICATE OF TRANSCRIPT </w:t>
      </w:r>
    </w:p>
    <w:p w14:paraId="3F1A3311" w14:textId="77777777" w:rsidR="00BD219A" w:rsidRDefault="00BD219A" w:rsidP="00BD219A">
      <w:pPr>
        <w:tabs>
          <w:tab w:val="clear" w:pos="360"/>
        </w:tabs>
        <w:spacing w:line="396" w:lineRule="auto"/>
        <w:ind w:left="720"/>
        <w:rPr>
          <w:rFonts w:ascii="Arial" w:hAnsi="Arial" w:cs="Arial"/>
          <w:color w:val="000000"/>
          <w:spacing w:val="0"/>
          <w:sz w:val="24"/>
          <w:lang w:val="en-CA"/>
        </w:rPr>
      </w:pPr>
      <w:bookmarkStart w:id="0" w:name="_Hlk40776886"/>
      <w:bookmarkStart w:id="1" w:name="_Hlk15487900"/>
      <w:bookmarkStart w:id="2" w:name="_Hlk46321225"/>
      <w:r>
        <w:rPr>
          <w:rFonts w:ascii="Arial" w:hAnsi="Arial" w:cs="Arial"/>
          <w:color w:val="000000"/>
          <w:spacing w:val="0"/>
          <w:sz w:val="24"/>
          <w:lang w:val="en-CA"/>
        </w:rPr>
        <w:t xml:space="preserve">Veritext Legal Solutions, Canada, the undersigned, hereby certify that the foregoing pages are a complete and accurate transcript of the proceedings transcribed from the audio recording to the best of our skill and ability.  </w:t>
      </w:r>
    </w:p>
    <w:p w14:paraId="6B25DCD4" w14:textId="7C735053" w:rsidR="00BD219A" w:rsidRDefault="0071123E" w:rsidP="00BD219A">
      <w:pPr>
        <w:tabs>
          <w:tab w:val="clear" w:pos="360"/>
        </w:tabs>
        <w:spacing w:line="396" w:lineRule="auto"/>
        <w:ind w:left="720"/>
        <w:rPr>
          <w:rFonts w:ascii="Arial" w:hAnsi="Arial" w:cs="Arial"/>
          <w:color w:val="000000"/>
          <w:spacing w:val="0"/>
          <w:sz w:val="24"/>
          <w:lang w:val="en-CA"/>
        </w:rPr>
      </w:pPr>
      <w:r w:rsidRPr="0071123E">
        <w:rPr>
          <w:rFonts w:ascii="Arial" w:hAnsi="Arial" w:cs="Arial"/>
          <w:color w:val="000000"/>
          <w:spacing w:val="0"/>
          <w:sz w:val="24"/>
          <w:lang w:val="en-CA"/>
        </w:rPr>
        <w:t>Judicial amendments have been applied to this transcript.</w:t>
      </w:r>
    </w:p>
    <w:p w14:paraId="2695A010" w14:textId="77777777" w:rsidR="00BD219A" w:rsidRDefault="00BD219A" w:rsidP="00BD219A">
      <w:pPr>
        <w:tabs>
          <w:tab w:val="clear" w:pos="360"/>
        </w:tabs>
        <w:spacing w:line="396" w:lineRule="auto"/>
        <w:ind w:left="720"/>
        <w:rPr>
          <w:rFonts w:ascii="Arial" w:hAnsi="Arial" w:cs="Arial"/>
          <w:color w:val="000000"/>
          <w:spacing w:val="0"/>
          <w:sz w:val="24"/>
          <w:lang w:val="en-CA"/>
        </w:rPr>
      </w:pPr>
    </w:p>
    <w:p w14:paraId="552A40C8" w14:textId="55142D5C" w:rsidR="00BD219A" w:rsidRDefault="00BD219A" w:rsidP="00BD219A">
      <w:pPr>
        <w:spacing w:line="396" w:lineRule="auto"/>
        <w:ind w:left="720"/>
        <w:rPr>
          <w:rFonts w:ascii="Arial" w:hAnsi="Arial" w:cs="Arial"/>
          <w:color w:val="000000"/>
          <w:spacing w:val="0"/>
          <w:sz w:val="24"/>
          <w:lang w:val="en-CA"/>
        </w:rPr>
      </w:pPr>
      <w:r>
        <w:rPr>
          <w:rFonts w:ascii="Arial" w:hAnsi="Arial" w:cs="Arial"/>
          <w:color w:val="000000"/>
          <w:spacing w:val="0"/>
          <w:sz w:val="24"/>
          <w:lang w:val="en-CA"/>
        </w:rPr>
        <w:t xml:space="preserve">Dated at the City of Toronto, in the Province of Ontario, this </w:t>
      </w:r>
      <w:r w:rsidR="0071123E">
        <w:rPr>
          <w:rFonts w:ascii="Arial" w:hAnsi="Arial" w:cs="Arial"/>
          <w:color w:val="000000"/>
          <w:spacing w:val="0"/>
          <w:sz w:val="24"/>
          <w:lang w:val="en-CA"/>
        </w:rPr>
        <w:t>17th</w:t>
      </w:r>
      <w:r>
        <w:rPr>
          <w:rFonts w:ascii="Arial" w:hAnsi="Arial" w:cs="Arial"/>
          <w:color w:val="000000"/>
          <w:spacing w:val="0"/>
          <w:sz w:val="24"/>
          <w:lang w:val="en-CA"/>
        </w:rPr>
        <w:t xml:space="preserve"> day of </w:t>
      </w:r>
      <w:r w:rsidR="0071123E">
        <w:rPr>
          <w:rFonts w:ascii="Arial" w:hAnsi="Arial" w:cs="Arial"/>
          <w:color w:val="000000"/>
          <w:spacing w:val="0"/>
          <w:sz w:val="24"/>
          <w:lang w:val="en-CA"/>
        </w:rPr>
        <w:t>November</w:t>
      </w:r>
      <w:r>
        <w:rPr>
          <w:rFonts w:ascii="Arial" w:hAnsi="Arial" w:cs="Arial"/>
          <w:color w:val="000000"/>
          <w:spacing w:val="0"/>
          <w:sz w:val="24"/>
          <w:lang w:val="en-CA"/>
        </w:rPr>
        <w:t>, 2025.</w:t>
      </w:r>
    </w:p>
    <w:p w14:paraId="5104109F" w14:textId="77777777" w:rsidR="00BD219A" w:rsidRDefault="00BD219A" w:rsidP="00BD219A">
      <w:pPr>
        <w:spacing w:line="396" w:lineRule="auto"/>
        <w:ind w:left="720"/>
        <w:rPr>
          <w:rFonts w:ascii="Arial" w:hAnsi="Arial" w:cs="Arial"/>
          <w:sz w:val="24"/>
          <w:lang w:val="en-CA"/>
        </w:rPr>
      </w:pPr>
      <w:bookmarkStart w:id="3" w:name="_Hlk95132258"/>
    </w:p>
    <w:p w14:paraId="23FE870B" w14:textId="77777777" w:rsidR="00BD219A" w:rsidRDefault="00BD219A" w:rsidP="00BD219A">
      <w:pPr>
        <w:spacing w:line="396" w:lineRule="auto"/>
        <w:ind w:left="720"/>
        <w:rPr>
          <w:rFonts w:ascii="Arial" w:hAnsi="Arial" w:cs="Arial"/>
          <w:sz w:val="24"/>
          <w:lang w:val="en-CA"/>
        </w:rPr>
      </w:pPr>
    </w:p>
    <w:p w14:paraId="768F7E52" w14:textId="77777777" w:rsidR="00BD219A" w:rsidRDefault="00BD219A" w:rsidP="00BD219A">
      <w:pPr>
        <w:tabs>
          <w:tab w:val="clear" w:pos="360"/>
          <w:tab w:val="clear" w:pos="720"/>
        </w:tabs>
        <w:spacing w:line="360" w:lineRule="auto"/>
        <w:ind w:left="1440" w:hanging="720"/>
        <w:rPr>
          <w:rFonts w:ascii="Script MT Bold" w:hAnsi="Script MT Bold" w:cs="Arial"/>
          <w:noProof/>
          <w:color w:val="0070C0"/>
          <w:sz w:val="32"/>
          <w:szCs w:val="32"/>
          <w:lang w:val="x-none" w:eastAsia="x-none"/>
        </w:rPr>
      </w:pPr>
      <w:r>
        <w:rPr>
          <w:rFonts w:ascii="Script MT Bold" w:hAnsi="Script MT Bold" w:cs="Arial"/>
          <w:noProof/>
          <w:color w:val="0070C0"/>
          <w:sz w:val="32"/>
          <w:szCs w:val="32"/>
          <w:lang w:val="x-none" w:eastAsia="x-none"/>
        </w:rPr>
        <w:t xml:space="preserve">Veritext </w:t>
      </w:r>
      <w:r>
        <w:rPr>
          <w:rFonts w:ascii="Script MT Bold" w:hAnsi="Script MT Bold" w:cs="Arial"/>
          <w:noProof/>
          <w:color w:val="0070C0"/>
          <w:sz w:val="32"/>
          <w:szCs w:val="32"/>
          <w:lang w:eastAsia="x-none"/>
        </w:rPr>
        <w:t xml:space="preserve">Legal Solutions, </w:t>
      </w:r>
      <w:r>
        <w:rPr>
          <w:rFonts w:ascii="Script MT Bold" w:hAnsi="Script MT Bold" w:cs="Arial"/>
          <w:noProof/>
          <w:color w:val="0070C0"/>
          <w:sz w:val="32"/>
          <w:szCs w:val="32"/>
          <w:lang w:val="x-none" w:eastAsia="x-none"/>
        </w:rPr>
        <w:t>Canada</w:t>
      </w:r>
    </w:p>
    <w:p w14:paraId="79EDFB02" w14:textId="77777777" w:rsidR="00BD219A" w:rsidRDefault="00BD219A" w:rsidP="00BD219A">
      <w:pPr>
        <w:tabs>
          <w:tab w:val="clear" w:pos="360"/>
          <w:tab w:val="clear" w:pos="720"/>
        </w:tabs>
        <w:spacing w:line="360" w:lineRule="auto"/>
        <w:ind w:left="1440" w:hanging="720"/>
        <w:rPr>
          <w:rFonts w:ascii="Script MT Bold" w:hAnsi="Script MT Bold" w:cs="Arial"/>
          <w:noProof/>
          <w:sz w:val="32"/>
          <w:szCs w:val="32"/>
          <w:lang w:val="x-none" w:eastAsia="x-none"/>
        </w:rPr>
      </w:pPr>
      <w:r>
        <w:rPr>
          <w:rFonts w:ascii="Script MT Bold" w:hAnsi="Script MT Bold" w:cs="Arial"/>
          <w:noProof/>
          <w:sz w:val="32"/>
          <w:szCs w:val="32"/>
          <w:lang w:val="x-none" w:eastAsia="x-none"/>
        </w:rPr>
        <w:t>____________________________________</w:t>
      </w:r>
    </w:p>
    <w:p w14:paraId="4715EB3C" w14:textId="0B47B147" w:rsidR="00AF4076" w:rsidRDefault="00BD219A" w:rsidP="00873F0B">
      <w:pPr>
        <w:tabs>
          <w:tab w:val="clear" w:pos="360"/>
        </w:tabs>
        <w:spacing w:line="360" w:lineRule="auto"/>
        <w:rPr>
          <w:rFonts w:ascii="Arial" w:hAnsi="Arial" w:cs="Arial"/>
          <w:sz w:val="24"/>
          <w:lang w:eastAsia="x-none"/>
        </w:rPr>
      </w:pPr>
      <w:r>
        <w:rPr>
          <w:lang w:val="x-none" w:eastAsia="x-none"/>
        </w:rPr>
        <w:tab/>
      </w:r>
      <w:r>
        <w:rPr>
          <w:rFonts w:ascii="Arial" w:hAnsi="Arial" w:cs="Arial"/>
          <w:sz w:val="24"/>
          <w:lang w:eastAsia="x-none"/>
        </w:rPr>
        <w:t>Veritext Legal Solutions, Canada</w:t>
      </w:r>
      <w:bookmarkEnd w:id="0"/>
      <w:bookmarkEnd w:id="1"/>
      <w:bookmarkEnd w:id="2"/>
      <w:bookmarkEnd w:id="3"/>
      <w:r w:rsidR="00873F0B">
        <w:rPr>
          <w:rFonts w:ascii="Arial" w:hAnsi="Arial" w:cs="Arial"/>
          <w:sz w:val="24"/>
          <w:lang w:eastAsia="x-none"/>
        </w:rPr>
        <w:t xml:space="preserve"> </w:t>
      </w:r>
    </w:p>
    <w:p w14:paraId="6D55982C" w14:textId="77777777" w:rsidR="00873F0B" w:rsidRDefault="00873F0B" w:rsidP="00873F0B">
      <w:pPr>
        <w:tabs>
          <w:tab w:val="clear" w:pos="360"/>
        </w:tabs>
        <w:spacing w:line="360" w:lineRule="auto"/>
        <w:rPr>
          <w:rFonts w:ascii="Arial" w:hAnsi="Arial" w:cs="Arial"/>
          <w:sz w:val="24"/>
          <w:lang w:eastAsia="x-none"/>
        </w:rPr>
      </w:pPr>
    </w:p>
    <w:p w14:paraId="749FD8E2" w14:textId="77777777" w:rsidR="00873F0B" w:rsidRDefault="00873F0B" w:rsidP="00873F0B">
      <w:pPr>
        <w:tabs>
          <w:tab w:val="clear" w:pos="360"/>
        </w:tabs>
        <w:spacing w:line="360" w:lineRule="auto"/>
        <w:rPr>
          <w:rFonts w:ascii="Arial" w:hAnsi="Arial" w:cs="Arial"/>
          <w:sz w:val="24"/>
          <w:lang w:eastAsia="x-none"/>
        </w:rPr>
      </w:pPr>
    </w:p>
    <w:p w14:paraId="64862EC8" w14:textId="77777777" w:rsidR="00873F0B" w:rsidRDefault="00873F0B" w:rsidP="00873F0B">
      <w:pPr>
        <w:tabs>
          <w:tab w:val="clear" w:pos="360"/>
        </w:tabs>
        <w:spacing w:line="360" w:lineRule="auto"/>
        <w:rPr>
          <w:rFonts w:ascii="Arial" w:hAnsi="Arial" w:cs="Arial"/>
          <w:sz w:val="24"/>
          <w:lang w:eastAsia="x-none"/>
        </w:rPr>
      </w:pPr>
    </w:p>
    <w:p w14:paraId="1632C14E" w14:textId="77777777" w:rsidR="00873F0B" w:rsidRDefault="00873F0B" w:rsidP="00873F0B">
      <w:pPr>
        <w:tabs>
          <w:tab w:val="clear" w:pos="360"/>
        </w:tabs>
        <w:spacing w:line="360" w:lineRule="auto"/>
        <w:rPr>
          <w:rFonts w:ascii="Arial" w:hAnsi="Arial" w:cs="Arial"/>
          <w:sz w:val="24"/>
          <w:lang w:eastAsia="x-none"/>
        </w:rPr>
      </w:pPr>
    </w:p>
    <w:p w14:paraId="6E5FE129" w14:textId="77777777" w:rsidR="00873F0B" w:rsidRDefault="00873F0B" w:rsidP="00873F0B">
      <w:pPr>
        <w:tabs>
          <w:tab w:val="clear" w:pos="360"/>
        </w:tabs>
        <w:spacing w:line="360" w:lineRule="auto"/>
        <w:rPr>
          <w:rFonts w:ascii="Arial" w:hAnsi="Arial" w:cs="Arial"/>
          <w:sz w:val="24"/>
          <w:lang w:eastAsia="x-none"/>
        </w:rPr>
      </w:pPr>
    </w:p>
    <w:p w14:paraId="52CDD016" w14:textId="77777777" w:rsidR="0071123E" w:rsidRDefault="0071123E" w:rsidP="00873F0B">
      <w:pPr>
        <w:tabs>
          <w:tab w:val="clear" w:pos="360"/>
        </w:tabs>
        <w:spacing w:line="360" w:lineRule="auto"/>
        <w:rPr>
          <w:rFonts w:ascii="Arial" w:hAnsi="Arial" w:cs="Arial"/>
          <w:sz w:val="24"/>
          <w:lang w:eastAsia="x-none"/>
        </w:rPr>
      </w:pPr>
    </w:p>
    <w:p w14:paraId="7829B7FC" w14:textId="77777777" w:rsidR="0071123E" w:rsidRDefault="0071123E" w:rsidP="00873F0B">
      <w:pPr>
        <w:tabs>
          <w:tab w:val="clear" w:pos="360"/>
        </w:tabs>
        <w:spacing w:line="360" w:lineRule="auto"/>
        <w:rPr>
          <w:rFonts w:ascii="Arial" w:hAnsi="Arial" w:cs="Arial"/>
          <w:sz w:val="24"/>
          <w:lang w:eastAsia="x-none"/>
        </w:rPr>
      </w:pPr>
    </w:p>
    <w:p w14:paraId="21EAF74B" w14:textId="77777777" w:rsidR="0071123E" w:rsidRDefault="0071123E" w:rsidP="00873F0B">
      <w:pPr>
        <w:tabs>
          <w:tab w:val="clear" w:pos="360"/>
        </w:tabs>
        <w:spacing w:line="360" w:lineRule="auto"/>
        <w:rPr>
          <w:rFonts w:ascii="Arial" w:hAnsi="Arial" w:cs="Arial"/>
          <w:sz w:val="24"/>
          <w:lang w:eastAsia="x-none"/>
        </w:rPr>
      </w:pPr>
    </w:p>
    <w:p w14:paraId="43122759" w14:textId="77777777" w:rsidR="0071123E" w:rsidRDefault="0071123E" w:rsidP="00873F0B">
      <w:pPr>
        <w:tabs>
          <w:tab w:val="clear" w:pos="360"/>
        </w:tabs>
        <w:spacing w:line="360" w:lineRule="auto"/>
        <w:rPr>
          <w:rFonts w:ascii="Arial" w:hAnsi="Arial" w:cs="Arial"/>
          <w:sz w:val="24"/>
          <w:lang w:eastAsia="x-none"/>
        </w:rPr>
      </w:pPr>
    </w:p>
    <w:p w14:paraId="0AD6B9A1" w14:textId="77777777" w:rsidR="0071123E" w:rsidRDefault="0071123E" w:rsidP="00873F0B">
      <w:pPr>
        <w:tabs>
          <w:tab w:val="clear" w:pos="360"/>
        </w:tabs>
        <w:spacing w:line="360" w:lineRule="auto"/>
        <w:rPr>
          <w:rFonts w:ascii="Arial" w:hAnsi="Arial" w:cs="Arial"/>
          <w:sz w:val="24"/>
          <w:lang w:eastAsia="x-none"/>
        </w:rPr>
      </w:pPr>
    </w:p>
    <w:p w14:paraId="01C8405C" w14:textId="77777777" w:rsidR="0071123E" w:rsidRDefault="0071123E" w:rsidP="00873F0B">
      <w:pPr>
        <w:tabs>
          <w:tab w:val="clear" w:pos="360"/>
        </w:tabs>
        <w:spacing w:line="360" w:lineRule="auto"/>
        <w:rPr>
          <w:rFonts w:ascii="Arial" w:hAnsi="Arial" w:cs="Arial"/>
          <w:sz w:val="24"/>
          <w:lang w:eastAsia="x-none"/>
        </w:rPr>
      </w:pPr>
    </w:p>
    <w:p w14:paraId="4E8A6449" w14:textId="77777777" w:rsidR="0071123E" w:rsidRPr="00873F0B" w:rsidRDefault="0071123E" w:rsidP="00873F0B">
      <w:pPr>
        <w:tabs>
          <w:tab w:val="clear" w:pos="360"/>
        </w:tabs>
        <w:spacing w:line="360" w:lineRule="auto"/>
        <w:rPr>
          <w:rFonts w:ascii="Arial" w:hAnsi="Arial" w:cs="Arial"/>
          <w:sz w:val="24"/>
          <w:lang w:eastAsia="x-none"/>
        </w:rPr>
      </w:pPr>
    </w:p>
    <w:sectPr w:rsidR="0071123E" w:rsidRPr="00873F0B" w:rsidSect="00CA24CF">
      <w:headerReference w:type="default" r:id="rId14"/>
      <w:footerReference w:type="default" r:id="rId15"/>
      <w:pgSz w:w="12240" w:h="15840" w:code="1"/>
      <w:pgMar w:top="1440" w:right="2160" w:bottom="2160" w:left="2880" w:header="720" w:footer="1755" w:gutter="0"/>
      <w:pgBorders w:zOrder="back">
        <w:top w:val="double" w:sz="4" w:space="20" w:color="auto"/>
        <w:left w:val="double" w:sz="4" w:space="31" w:color="auto"/>
        <w:bottom w:val="double" w:sz="4" w:space="31" w:color="auto"/>
        <w:right w:val="double" w:sz="4" w:space="31" w:color="auto"/>
      </w:pgBorders>
      <w:lnNumType w:countBy="1" w:distance="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11EC" w14:textId="77777777" w:rsidR="004B3005" w:rsidRDefault="004B3005">
      <w:r>
        <w:separator/>
      </w:r>
    </w:p>
    <w:p w14:paraId="39A1743C" w14:textId="77777777" w:rsidR="004B3005" w:rsidRDefault="004B3005"/>
  </w:endnote>
  <w:endnote w:type="continuationSeparator" w:id="0">
    <w:p w14:paraId="2CF67E71" w14:textId="77777777" w:rsidR="004B3005" w:rsidRDefault="004B3005">
      <w:r>
        <w:continuationSeparator/>
      </w:r>
    </w:p>
    <w:p w14:paraId="075D84DB" w14:textId="77777777" w:rsidR="004B3005" w:rsidRDefault="004B3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8BA1" w14:textId="278F7423" w:rsidR="005227DC" w:rsidRDefault="008409CB" w:rsidP="00BA104E">
    <w:pPr>
      <w:pStyle w:val="Footer"/>
      <w:jc w:val="center"/>
    </w:pPr>
    <w:r>
      <w:rPr>
        <w:noProof/>
      </w:rPr>
      <mc:AlternateContent>
        <mc:Choice Requires="wps">
          <w:drawing>
            <wp:anchor distT="0" distB="0" distL="114300" distR="114300" simplePos="0" relativeHeight="251658752" behindDoc="0" locked="0" layoutInCell="1" allowOverlap="1" wp14:anchorId="6D98F313" wp14:editId="329209D1">
              <wp:simplePos x="0" y="0"/>
              <wp:positionH relativeFrom="column">
                <wp:posOffset>-421005</wp:posOffset>
              </wp:positionH>
              <wp:positionV relativeFrom="paragraph">
                <wp:posOffset>780415</wp:posOffset>
              </wp:positionV>
              <wp:extent cx="4211320" cy="275590"/>
              <wp:effectExtent l="0" t="0" r="635" b="1270"/>
              <wp:wrapNone/>
              <wp:docPr id="1126666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7C2EF" w14:textId="14503567" w:rsidR="005227DC" w:rsidRPr="00DF5538" w:rsidRDefault="005227DC" w:rsidP="00DF5538">
                          <w:pPr>
                            <w:rPr>
                              <w:rFonts w:ascii="Arial" w:hAnsi="Arial" w:cs="Arial"/>
                              <w:b/>
                              <w:sz w:val="24"/>
                            </w:rPr>
                          </w:pPr>
                          <w:r w:rsidRPr="00DF5538">
                            <w:rPr>
                              <w:rFonts w:ascii="Arial" w:hAnsi="Arial" w:cs="Arial"/>
                              <w:b/>
                              <w:sz w:val="24"/>
                            </w:rPr>
                            <w:t xml:space="preserve">VERITEXT </w:t>
                          </w:r>
                          <w:r w:rsidR="00BF7DE2">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98F313" id="_x0000_t202" coordsize="21600,21600" o:spt="202" path="m,l,21600r21600,l21600,xe">
              <v:stroke joinstyle="miter"/>
              <v:path gradientshapeok="t" o:connecttype="rect"/>
            </v:shapetype>
            <v:shape id="Text Box 3" o:spid="_x0000_s1026" type="#_x0000_t202" style="position:absolute;left:0;text-align:left;margin-left:-33.15pt;margin-top:61.45pt;width:331.6pt;height:21.7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gN8gEAAMo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" stroked="f">
              <v:textbox style="mso-fit-shape-to-text:t">
                <w:txbxContent>
                  <w:p w14:paraId="5A97C2EF" w14:textId="14503567" w:rsidR="005227DC" w:rsidRPr="00DF5538" w:rsidRDefault="005227DC" w:rsidP="00DF5538">
                    <w:pPr>
                      <w:rPr>
                        <w:rFonts w:ascii="Arial" w:hAnsi="Arial" w:cs="Arial"/>
                        <w:b/>
                        <w:sz w:val="24"/>
                      </w:rPr>
                    </w:pPr>
                    <w:r w:rsidRPr="00DF5538">
                      <w:rPr>
                        <w:rFonts w:ascii="Arial" w:hAnsi="Arial" w:cs="Arial"/>
                        <w:b/>
                        <w:sz w:val="24"/>
                      </w:rPr>
                      <w:t xml:space="preserve">VERITEXT </w:t>
                    </w:r>
                    <w:r w:rsidR="00BF7DE2">
                      <w:rPr>
                        <w:rFonts w:ascii="Arial" w:hAnsi="Arial" w:cs="Arial"/>
                        <w:b/>
                        <w:sz w:val="24"/>
                      </w:rPr>
                      <w:t>LEGAL SOLUTIONS, CANADA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62A2" w14:textId="52E5AB54" w:rsidR="005227DC" w:rsidRPr="00521BD5" w:rsidRDefault="008409CB" w:rsidP="00BA104E">
    <w:pPr>
      <w:pStyle w:val="Foot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7728" behindDoc="0" locked="0" layoutInCell="1" allowOverlap="1" wp14:anchorId="1FB2086E" wp14:editId="437DF9D1">
              <wp:simplePos x="0" y="0"/>
              <wp:positionH relativeFrom="column">
                <wp:posOffset>-421005</wp:posOffset>
              </wp:positionH>
              <wp:positionV relativeFrom="paragraph">
                <wp:posOffset>782320</wp:posOffset>
              </wp:positionV>
              <wp:extent cx="4211320" cy="275590"/>
              <wp:effectExtent l="0" t="1270" r="635" b="0"/>
              <wp:wrapNone/>
              <wp:docPr id="2047766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07114" w14:textId="285F18FF" w:rsidR="005227DC" w:rsidRPr="00DF5538" w:rsidRDefault="00BF7DE2" w:rsidP="00DF5538">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B2086E" id="_x0000_t202" coordsize="21600,21600" o:spt="202" path="m,l,21600r21600,l21600,xe">
              <v:stroke joinstyle="miter"/>
              <v:path gradientshapeok="t" o:connecttype="rect"/>
            </v:shapetype>
            <v:shape id="Text Box 2" o:spid="_x0000_s1027" type="#_x0000_t202" style="position:absolute;left:0;text-align:left;margin-left:-33.15pt;margin-top:61.6pt;width:331.6pt;height:21.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X9Q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" stroked="f">
              <v:textbox style="mso-fit-shape-to-text:t">
                <w:txbxContent>
                  <w:p w14:paraId="1FB07114" w14:textId="285F18FF" w:rsidR="005227DC" w:rsidRPr="00DF5538" w:rsidRDefault="00BF7DE2" w:rsidP="00DF5538">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v:textbox>
            </v:shape>
          </w:pict>
        </mc:Fallback>
      </mc:AlternateContent>
    </w:r>
    <w:r w:rsidR="005227DC" w:rsidRPr="00521BD5">
      <w:rPr>
        <w:rFonts w:ascii="Arial" w:hAnsi="Arial" w:cs="Arial"/>
        <w:sz w:val="24"/>
      </w:rPr>
      <w:fldChar w:fldCharType="begin"/>
    </w:r>
    <w:r w:rsidR="005227DC" w:rsidRPr="00521BD5">
      <w:rPr>
        <w:rFonts w:ascii="Arial" w:hAnsi="Arial" w:cs="Arial"/>
        <w:sz w:val="24"/>
      </w:rPr>
      <w:instrText xml:space="preserve"> PAGE   \* MERGEFORMAT </w:instrText>
    </w:r>
    <w:r w:rsidR="005227DC" w:rsidRPr="00521BD5">
      <w:rPr>
        <w:rFonts w:ascii="Arial" w:hAnsi="Arial" w:cs="Arial"/>
        <w:sz w:val="24"/>
      </w:rPr>
      <w:fldChar w:fldCharType="separate"/>
    </w:r>
    <w:r w:rsidR="00E4117F">
      <w:rPr>
        <w:rFonts w:ascii="Arial" w:hAnsi="Arial" w:cs="Arial"/>
        <w:noProof/>
        <w:sz w:val="24"/>
      </w:rPr>
      <w:t>ii</w:t>
    </w:r>
    <w:r w:rsidR="005227DC" w:rsidRPr="00521BD5">
      <w:rPr>
        <w:rFonts w:ascii="Arial" w:hAnsi="Arial" w:cs="Arial"/>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E37F" w14:textId="372F3A8E" w:rsidR="005227DC" w:rsidRPr="00521BD5" w:rsidRDefault="008409CB" w:rsidP="00BA104E">
    <w:pPr>
      <w:pStyle w:val="Foot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6704" behindDoc="0" locked="0" layoutInCell="1" allowOverlap="1" wp14:anchorId="0BFA266D" wp14:editId="4A5B99FC">
              <wp:simplePos x="0" y="0"/>
              <wp:positionH relativeFrom="column">
                <wp:posOffset>-424815</wp:posOffset>
              </wp:positionH>
              <wp:positionV relativeFrom="paragraph">
                <wp:posOffset>782320</wp:posOffset>
              </wp:positionV>
              <wp:extent cx="4211320" cy="275590"/>
              <wp:effectExtent l="3810" t="1270" r="4445" b="0"/>
              <wp:wrapNone/>
              <wp:docPr id="176351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D896E" w14:textId="4BACD565" w:rsidR="005227DC" w:rsidRPr="00DF5538" w:rsidRDefault="00BF7DE2">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FA266D" id="_x0000_t202" coordsize="21600,21600" o:spt="202" path="m,l,21600r21600,l21600,xe">
              <v:stroke joinstyle="miter"/>
              <v:path gradientshapeok="t" o:connecttype="rect"/>
            </v:shapetype>
            <v:shape id="_x0000_s1028" type="#_x0000_t202" style="position:absolute;left:0;text-align:left;margin-left:-33.45pt;margin-top:61.6pt;width:331.6pt;height:21.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59g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" stroked="f">
              <v:textbox style="mso-fit-shape-to-text:t">
                <w:txbxContent>
                  <w:p w14:paraId="389D896E" w14:textId="4BACD565" w:rsidR="005227DC" w:rsidRPr="00DF5538" w:rsidRDefault="00BF7DE2">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v:textbox>
            </v:shape>
          </w:pict>
        </mc:Fallback>
      </mc:AlternateContent>
    </w:r>
    <w:r w:rsidR="005227DC" w:rsidRPr="00521BD5">
      <w:rPr>
        <w:rFonts w:ascii="Arial" w:hAnsi="Arial" w:cs="Arial"/>
        <w:sz w:val="24"/>
      </w:rPr>
      <w:fldChar w:fldCharType="begin"/>
    </w:r>
    <w:r w:rsidR="005227DC" w:rsidRPr="00521BD5">
      <w:rPr>
        <w:rFonts w:ascii="Arial" w:hAnsi="Arial" w:cs="Arial"/>
        <w:sz w:val="24"/>
      </w:rPr>
      <w:instrText xml:space="preserve"> PAGE   \* MERGEFORMAT </w:instrText>
    </w:r>
    <w:r w:rsidR="005227DC" w:rsidRPr="00521BD5">
      <w:rPr>
        <w:rFonts w:ascii="Arial" w:hAnsi="Arial" w:cs="Arial"/>
        <w:sz w:val="24"/>
      </w:rPr>
      <w:fldChar w:fldCharType="separate"/>
    </w:r>
    <w:r w:rsidR="00E4117F">
      <w:rPr>
        <w:rFonts w:ascii="Arial" w:hAnsi="Arial" w:cs="Arial"/>
        <w:noProof/>
        <w:sz w:val="24"/>
      </w:rPr>
      <w:t>1</w:t>
    </w:r>
    <w:r w:rsidR="005227DC" w:rsidRPr="00521BD5">
      <w:rPr>
        <w:rFonts w:ascii="Arial" w:hAnsi="Arial" w:cs="Arial"/>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7702" w14:textId="77777777" w:rsidR="004B3005" w:rsidRDefault="004B3005">
      <w:r>
        <w:separator/>
      </w:r>
    </w:p>
    <w:p w14:paraId="71057784" w14:textId="77777777" w:rsidR="004B3005" w:rsidRDefault="004B3005"/>
  </w:footnote>
  <w:footnote w:type="continuationSeparator" w:id="0">
    <w:p w14:paraId="62DC66C2" w14:textId="77777777" w:rsidR="004B3005" w:rsidRDefault="004B3005">
      <w:r>
        <w:continuationSeparator/>
      </w:r>
    </w:p>
    <w:p w14:paraId="3C5F16CA" w14:textId="77777777" w:rsidR="004B3005" w:rsidRDefault="004B3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92EE" w14:textId="77777777" w:rsidR="005227DC" w:rsidRPr="000350D3" w:rsidRDefault="005227DC" w:rsidP="00E8293E">
    <w:pPr>
      <w:jc w:val="center"/>
      <w:rPr>
        <w:rFonts w:cs="Times New Roman"/>
      </w:rPr>
    </w:pPr>
  </w:p>
  <w:p w14:paraId="0D6A9652" w14:textId="77777777" w:rsidR="005227DC" w:rsidRPr="00A15459" w:rsidRDefault="005227DC">
    <w:pP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7B0B" w14:textId="77777777" w:rsidR="005227DC" w:rsidRPr="000350D3" w:rsidRDefault="005227DC" w:rsidP="00E8293E">
    <w:pPr>
      <w:jc w:val="center"/>
      <w:rPr>
        <w:rFonts w:cs="Times New Roman"/>
      </w:rPr>
    </w:pPr>
  </w:p>
  <w:p w14:paraId="11963548" w14:textId="77777777" w:rsidR="005227DC" w:rsidRPr="005A45EC" w:rsidRDefault="005227DC">
    <w:pPr>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BD"/>
    <w:multiLevelType w:val="hybridMultilevel"/>
    <w:tmpl w:val="88B04204"/>
    <w:lvl w:ilvl="0" w:tplc="EC2049B8">
      <w:start w:val="1"/>
      <w:numFmt w:val="decimal"/>
      <w:suff w:val="nothing"/>
      <w:lvlText w:val="--- UNDERTAKING NO. %1"/>
      <w:lvlJc w:val="left"/>
      <w:pPr>
        <w:ind w:left="0" w:firstLine="90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A50520F"/>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C104A"/>
    <w:multiLevelType w:val="hybridMultilevel"/>
    <w:tmpl w:val="5466367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15:restartNumberingAfterBreak="0">
    <w:nsid w:val="1AB410AE"/>
    <w:multiLevelType w:val="hybridMultilevel"/>
    <w:tmpl w:val="13CE2B30"/>
    <w:lvl w:ilvl="0" w:tplc="356CB8A0">
      <w:start w:val="1"/>
      <w:numFmt w:val="lowerRoman"/>
      <w:lvlText w:val="%1)"/>
      <w:lvlJc w:val="left"/>
      <w:pPr>
        <w:ind w:left="3600" w:hanging="720"/>
      </w:pPr>
      <w:rPr>
        <w:rFonts w:ascii="Arial" w:eastAsia="Times New Roman" w:hAnsi="Arial" w:cs="Arial"/>
        <w:i/>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4" w15:restartNumberingAfterBreak="0">
    <w:nsid w:val="1BF53B02"/>
    <w:multiLevelType w:val="hybridMultilevel"/>
    <w:tmpl w:val="2CDEAF2E"/>
    <w:lvl w:ilvl="0" w:tplc="969458C8">
      <w:start w:val="1"/>
      <w:numFmt w:val="decimal"/>
      <w:lvlRestart w:val="0"/>
      <w:lvlText w:val="%1."/>
      <w:lvlJc w:val="left"/>
      <w:pPr>
        <w:tabs>
          <w:tab w:val="num" w:pos="720"/>
        </w:tabs>
        <w:ind w:left="720" w:hanging="360"/>
      </w:pPr>
      <w:rPr>
        <w:rFonts w:hint="default"/>
      </w:rPr>
    </w:lvl>
    <w:lvl w:ilvl="1" w:tplc="2C14861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7E0166"/>
    <w:multiLevelType w:val="hybridMultilevel"/>
    <w:tmpl w:val="5386ABCE"/>
    <w:lvl w:ilvl="0" w:tplc="DDEAFE1E">
      <w:start w:val="1"/>
      <w:numFmt w:val="decimal"/>
      <w:suff w:val="nothing"/>
      <w:lvlText w:val="--- UNDER ADVISEMENT NO. %1"/>
      <w:lvlJc w:val="left"/>
      <w:pPr>
        <w:ind w:left="90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C208A"/>
    <w:multiLevelType w:val="hybridMultilevel"/>
    <w:tmpl w:val="0902F30A"/>
    <w:lvl w:ilvl="0" w:tplc="CE588C2E">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7" w15:restartNumberingAfterBreak="0">
    <w:nsid w:val="26331E44"/>
    <w:multiLevelType w:val="hybridMultilevel"/>
    <w:tmpl w:val="C03EB96C"/>
    <w:lvl w:ilvl="0" w:tplc="BD76FF06">
      <w:start w:val="1"/>
      <w:numFmt w:val="decimal"/>
      <w:lvlText w:val="--- UNDER ADVISEMENT NO. %1"/>
      <w:lvlJc w:val="left"/>
      <w:pPr>
        <w:ind w:left="1267" w:hanging="360"/>
      </w:pPr>
      <w:rPr>
        <w:rFonts w:ascii="Courier New" w:hAnsi="Courier New" w:hint="default"/>
        <w:b w:val="0"/>
        <w:i w:val="0"/>
        <w:sz w:val="24"/>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26A70CDA"/>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A83FC7"/>
    <w:multiLevelType w:val="hybridMultilevel"/>
    <w:tmpl w:val="221E481E"/>
    <w:lvl w:ilvl="0" w:tplc="3CD41068">
      <w:start w:val="1"/>
      <w:numFmt w:val="decimal"/>
      <w:lvlText w:val="%1."/>
      <w:lvlJc w:val="left"/>
      <w:pPr>
        <w:ind w:left="1094" w:hanging="5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A2C0A"/>
    <w:multiLevelType w:val="hybridMultilevel"/>
    <w:tmpl w:val="7C38090E"/>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33BE4CD8"/>
    <w:multiLevelType w:val="hybridMultilevel"/>
    <w:tmpl w:val="32DEEA4C"/>
    <w:lvl w:ilvl="0" w:tplc="2F22A1AA">
      <w:start w:val="1"/>
      <w:numFmt w:val="decimal"/>
      <w:lvlText w:val="%1"/>
      <w:lvlJc w:val="left"/>
      <w:pPr>
        <w:ind w:left="3600" w:hanging="25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7A2C69"/>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DDE1F82"/>
    <w:multiLevelType w:val="hybridMultilevel"/>
    <w:tmpl w:val="FA40322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4" w15:restartNumberingAfterBreak="0">
    <w:nsid w:val="47037C6C"/>
    <w:multiLevelType w:val="hybridMultilevel"/>
    <w:tmpl w:val="24F29E86"/>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5" w15:restartNumberingAfterBreak="0">
    <w:nsid w:val="4EC51A68"/>
    <w:multiLevelType w:val="hybridMultilevel"/>
    <w:tmpl w:val="5A306C8C"/>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6" w15:restartNumberingAfterBreak="0">
    <w:nsid w:val="50B56F48"/>
    <w:multiLevelType w:val="hybridMultilevel"/>
    <w:tmpl w:val="FC364CB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7" w15:restartNumberingAfterBreak="0">
    <w:nsid w:val="571165E8"/>
    <w:multiLevelType w:val="hybridMultilevel"/>
    <w:tmpl w:val="7F3A434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15:restartNumberingAfterBreak="0">
    <w:nsid w:val="57EC3AC5"/>
    <w:multiLevelType w:val="hybridMultilevel"/>
    <w:tmpl w:val="8F12144A"/>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15:restartNumberingAfterBreak="0">
    <w:nsid w:val="62EF3284"/>
    <w:multiLevelType w:val="hybridMultilevel"/>
    <w:tmpl w:val="67D6E79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0" w15:restartNumberingAfterBreak="0">
    <w:nsid w:val="708B644A"/>
    <w:multiLevelType w:val="hybridMultilevel"/>
    <w:tmpl w:val="D65053E4"/>
    <w:lvl w:ilvl="0" w:tplc="7B747604">
      <w:start w:val="1"/>
      <w:numFmt w:val="decimal"/>
      <w:suff w:val="nothing"/>
      <w:lvlText w:val="--- REFUSAL NO. %1"/>
      <w:lvlJc w:val="left"/>
      <w:pPr>
        <w:ind w:left="1267"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74262232"/>
    <w:multiLevelType w:val="hybridMultilevel"/>
    <w:tmpl w:val="3FEE012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2" w15:restartNumberingAfterBreak="0">
    <w:nsid w:val="748F7284"/>
    <w:multiLevelType w:val="hybridMultilevel"/>
    <w:tmpl w:val="1A2436DC"/>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3" w15:restartNumberingAfterBreak="0">
    <w:nsid w:val="770F593A"/>
    <w:multiLevelType w:val="hybridMultilevel"/>
    <w:tmpl w:val="7D742F32"/>
    <w:lvl w:ilvl="0" w:tplc="BA524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EC536E"/>
    <w:multiLevelType w:val="hybridMultilevel"/>
    <w:tmpl w:val="EE025FD8"/>
    <w:lvl w:ilvl="0" w:tplc="3EC09E8C">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25" w15:restartNumberingAfterBreak="0">
    <w:nsid w:val="7DF5667D"/>
    <w:multiLevelType w:val="hybridMultilevel"/>
    <w:tmpl w:val="4DEA6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9404234">
    <w:abstractNumId w:val="4"/>
  </w:num>
  <w:num w:numId="2" w16cid:durableId="408813632">
    <w:abstractNumId w:val="25"/>
  </w:num>
  <w:num w:numId="3" w16cid:durableId="967978710">
    <w:abstractNumId w:val="21"/>
  </w:num>
  <w:num w:numId="4" w16cid:durableId="345719271">
    <w:abstractNumId w:val="22"/>
  </w:num>
  <w:num w:numId="5" w16cid:durableId="2019191951">
    <w:abstractNumId w:val="19"/>
  </w:num>
  <w:num w:numId="6" w16cid:durableId="2068870918">
    <w:abstractNumId w:val="13"/>
  </w:num>
  <w:num w:numId="7" w16cid:durableId="2116512677">
    <w:abstractNumId w:val="2"/>
  </w:num>
  <w:num w:numId="8" w16cid:durableId="1481996876">
    <w:abstractNumId w:val="18"/>
  </w:num>
  <w:num w:numId="9" w16cid:durableId="24716396">
    <w:abstractNumId w:val="16"/>
  </w:num>
  <w:num w:numId="10" w16cid:durableId="2053112713">
    <w:abstractNumId w:val="17"/>
  </w:num>
  <w:num w:numId="11" w16cid:durableId="1503199232">
    <w:abstractNumId w:val="15"/>
  </w:num>
  <w:num w:numId="12" w16cid:durableId="675690230">
    <w:abstractNumId w:val="14"/>
  </w:num>
  <w:num w:numId="13" w16cid:durableId="1088622729">
    <w:abstractNumId w:val="10"/>
  </w:num>
  <w:num w:numId="14" w16cid:durableId="2014064352">
    <w:abstractNumId w:val="9"/>
  </w:num>
  <w:num w:numId="15" w16cid:durableId="2034569959">
    <w:abstractNumId w:val="24"/>
  </w:num>
  <w:num w:numId="16" w16cid:durableId="1781342251">
    <w:abstractNumId w:val="6"/>
  </w:num>
  <w:num w:numId="17" w16cid:durableId="1524131213">
    <w:abstractNumId w:val="11"/>
  </w:num>
  <w:num w:numId="18" w16cid:durableId="321199294">
    <w:abstractNumId w:val="8"/>
  </w:num>
  <w:num w:numId="19" w16cid:durableId="1333724787">
    <w:abstractNumId w:val="12"/>
  </w:num>
  <w:num w:numId="20" w16cid:durableId="700086468">
    <w:abstractNumId w:val="1"/>
  </w:num>
  <w:num w:numId="21" w16cid:durableId="1097604189">
    <w:abstractNumId w:val="5"/>
  </w:num>
  <w:num w:numId="22" w16cid:durableId="1615987961">
    <w:abstractNumId w:val="0"/>
  </w:num>
  <w:num w:numId="23" w16cid:durableId="119081270">
    <w:abstractNumId w:val="7"/>
  </w:num>
  <w:num w:numId="24" w16cid:durableId="2105566389">
    <w:abstractNumId w:val="20"/>
  </w:num>
  <w:num w:numId="25" w16cid:durableId="1098015423">
    <w:abstractNumId w:val="23"/>
  </w:num>
  <w:num w:numId="26" w16cid:durableId="89701756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attachedTemplate r:id="rId1"/>
  <w:defaultTabStop w:val="2880"/>
  <w:drawingGridHorizontalSpacing w:val="2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7C2BA0-1582-4588-8998-869F8DC00968}"/>
    <w:docVar w:name="dgnword-eventsink" w:val="95753992"/>
  </w:docVars>
  <w:rsids>
    <w:rsidRoot w:val="00BD219A"/>
    <w:rsid w:val="00001494"/>
    <w:rsid w:val="000017CE"/>
    <w:rsid w:val="00002A8E"/>
    <w:rsid w:val="00005921"/>
    <w:rsid w:val="00006165"/>
    <w:rsid w:val="00006F56"/>
    <w:rsid w:val="0001487C"/>
    <w:rsid w:val="00015E24"/>
    <w:rsid w:val="000161E0"/>
    <w:rsid w:val="00017786"/>
    <w:rsid w:val="00020C0F"/>
    <w:rsid w:val="00022E97"/>
    <w:rsid w:val="00022EEF"/>
    <w:rsid w:val="0002505E"/>
    <w:rsid w:val="00025553"/>
    <w:rsid w:val="00026755"/>
    <w:rsid w:val="00032904"/>
    <w:rsid w:val="00034676"/>
    <w:rsid w:val="000350D3"/>
    <w:rsid w:val="0003695B"/>
    <w:rsid w:val="00040AF1"/>
    <w:rsid w:val="00041AF4"/>
    <w:rsid w:val="000421B0"/>
    <w:rsid w:val="0004284F"/>
    <w:rsid w:val="00042A67"/>
    <w:rsid w:val="00044A37"/>
    <w:rsid w:val="00051850"/>
    <w:rsid w:val="00051AF3"/>
    <w:rsid w:val="00052303"/>
    <w:rsid w:val="000553AD"/>
    <w:rsid w:val="0006198F"/>
    <w:rsid w:val="000627BB"/>
    <w:rsid w:val="0006344C"/>
    <w:rsid w:val="00063C4E"/>
    <w:rsid w:val="00064280"/>
    <w:rsid w:val="00071497"/>
    <w:rsid w:val="00071D54"/>
    <w:rsid w:val="00074647"/>
    <w:rsid w:val="00076FCA"/>
    <w:rsid w:val="0008103D"/>
    <w:rsid w:val="00082DF6"/>
    <w:rsid w:val="0008397C"/>
    <w:rsid w:val="00083C4B"/>
    <w:rsid w:val="000842ED"/>
    <w:rsid w:val="000847D9"/>
    <w:rsid w:val="00085521"/>
    <w:rsid w:val="00085666"/>
    <w:rsid w:val="00086753"/>
    <w:rsid w:val="00086942"/>
    <w:rsid w:val="00087C4F"/>
    <w:rsid w:val="00087CCB"/>
    <w:rsid w:val="00091977"/>
    <w:rsid w:val="00092D55"/>
    <w:rsid w:val="00093654"/>
    <w:rsid w:val="0009664E"/>
    <w:rsid w:val="00096AF6"/>
    <w:rsid w:val="00097388"/>
    <w:rsid w:val="00097A62"/>
    <w:rsid w:val="00097B82"/>
    <w:rsid w:val="00097BAA"/>
    <w:rsid w:val="000A1638"/>
    <w:rsid w:val="000A2927"/>
    <w:rsid w:val="000A4A98"/>
    <w:rsid w:val="000A4CB7"/>
    <w:rsid w:val="000A511D"/>
    <w:rsid w:val="000A54F4"/>
    <w:rsid w:val="000A54FF"/>
    <w:rsid w:val="000A5D2E"/>
    <w:rsid w:val="000A64BB"/>
    <w:rsid w:val="000A7D3B"/>
    <w:rsid w:val="000B10D2"/>
    <w:rsid w:val="000B1E02"/>
    <w:rsid w:val="000B26C5"/>
    <w:rsid w:val="000B4BAA"/>
    <w:rsid w:val="000B5DBA"/>
    <w:rsid w:val="000B62FA"/>
    <w:rsid w:val="000B6C0B"/>
    <w:rsid w:val="000C0D10"/>
    <w:rsid w:val="000C136B"/>
    <w:rsid w:val="000C3B78"/>
    <w:rsid w:val="000C46FC"/>
    <w:rsid w:val="000C5654"/>
    <w:rsid w:val="000C6268"/>
    <w:rsid w:val="000C6540"/>
    <w:rsid w:val="000C6C65"/>
    <w:rsid w:val="000D0414"/>
    <w:rsid w:val="000D3030"/>
    <w:rsid w:val="000D40AF"/>
    <w:rsid w:val="000D42EE"/>
    <w:rsid w:val="000D687F"/>
    <w:rsid w:val="000D6E93"/>
    <w:rsid w:val="000D709A"/>
    <w:rsid w:val="000D79AB"/>
    <w:rsid w:val="000E0623"/>
    <w:rsid w:val="000E0BC5"/>
    <w:rsid w:val="000E276B"/>
    <w:rsid w:val="000E30FE"/>
    <w:rsid w:val="000E3233"/>
    <w:rsid w:val="000E34F1"/>
    <w:rsid w:val="000E6752"/>
    <w:rsid w:val="000E7C87"/>
    <w:rsid w:val="000F0666"/>
    <w:rsid w:val="000F10E1"/>
    <w:rsid w:val="000F5BA3"/>
    <w:rsid w:val="001037FF"/>
    <w:rsid w:val="00104670"/>
    <w:rsid w:val="00105FE8"/>
    <w:rsid w:val="001068AE"/>
    <w:rsid w:val="001078CA"/>
    <w:rsid w:val="001079C0"/>
    <w:rsid w:val="001105F6"/>
    <w:rsid w:val="00113027"/>
    <w:rsid w:val="00113804"/>
    <w:rsid w:val="001151BF"/>
    <w:rsid w:val="0011582A"/>
    <w:rsid w:val="00115E4A"/>
    <w:rsid w:val="001167D6"/>
    <w:rsid w:val="00120F72"/>
    <w:rsid w:val="001239F0"/>
    <w:rsid w:val="00127A95"/>
    <w:rsid w:val="00127CDD"/>
    <w:rsid w:val="00130B9C"/>
    <w:rsid w:val="00135DE2"/>
    <w:rsid w:val="001406FF"/>
    <w:rsid w:val="001407A5"/>
    <w:rsid w:val="0014266B"/>
    <w:rsid w:val="0014318A"/>
    <w:rsid w:val="00144207"/>
    <w:rsid w:val="00145A79"/>
    <w:rsid w:val="00145D11"/>
    <w:rsid w:val="00147CAA"/>
    <w:rsid w:val="0015173B"/>
    <w:rsid w:val="00151CFA"/>
    <w:rsid w:val="00152097"/>
    <w:rsid w:val="00152150"/>
    <w:rsid w:val="00152C07"/>
    <w:rsid w:val="00153119"/>
    <w:rsid w:val="00154A8F"/>
    <w:rsid w:val="00156FCB"/>
    <w:rsid w:val="00157656"/>
    <w:rsid w:val="0016037D"/>
    <w:rsid w:val="00162807"/>
    <w:rsid w:val="00162B3F"/>
    <w:rsid w:val="00162B84"/>
    <w:rsid w:val="00163526"/>
    <w:rsid w:val="00164E5E"/>
    <w:rsid w:val="00164F26"/>
    <w:rsid w:val="00165911"/>
    <w:rsid w:val="0017147C"/>
    <w:rsid w:val="0017397C"/>
    <w:rsid w:val="00174286"/>
    <w:rsid w:val="0017625A"/>
    <w:rsid w:val="00177051"/>
    <w:rsid w:val="00180A21"/>
    <w:rsid w:val="00180B9D"/>
    <w:rsid w:val="00180D61"/>
    <w:rsid w:val="00183DC1"/>
    <w:rsid w:val="001855E1"/>
    <w:rsid w:val="001858C6"/>
    <w:rsid w:val="00186066"/>
    <w:rsid w:val="00186690"/>
    <w:rsid w:val="00186981"/>
    <w:rsid w:val="00187CDE"/>
    <w:rsid w:val="00192361"/>
    <w:rsid w:val="001948F4"/>
    <w:rsid w:val="0019521C"/>
    <w:rsid w:val="0019566D"/>
    <w:rsid w:val="00195C57"/>
    <w:rsid w:val="0019709D"/>
    <w:rsid w:val="001973B1"/>
    <w:rsid w:val="001A0443"/>
    <w:rsid w:val="001A05B9"/>
    <w:rsid w:val="001A130C"/>
    <w:rsid w:val="001A1448"/>
    <w:rsid w:val="001A6498"/>
    <w:rsid w:val="001A7368"/>
    <w:rsid w:val="001B0951"/>
    <w:rsid w:val="001B0C85"/>
    <w:rsid w:val="001B3C69"/>
    <w:rsid w:val="001B5723"/>
    <w:rsid w:val="001B58C8"/>
    <w:rsid w:val="001B5CC2"/>
    <w:rsid w:val="001B5F6E"/>
    <w:rsid w:val="001B615C"/>
    <w:rsid w:val="001B637E"/>
    <w:rsid w:val="001B725A"/>
    <w:rsid w:val="001B7385"/>
    <w:rsid w:val="001C0D20"/>
    <w:rsid w:val="001C268E"/>
    <w:rsid w:val="001C370D"/>
    <w:rsid w:val="001C3929"/>
    <w:rsid w:val="001D0C26"/>
    <w:rsid w:val="001D2289"/>
    <w:rsid w:val="001D3435"/>
    <w:rsid w:val="001D497E"/>
    <w:rsid w:val="001D5B80"/>
    <w:rsid w:val="001D6898"/>
    <w:rsid w:val="001D6C07"/>
    <w:rsid w:val="001D7683"/>
    <w:rsid w:val="001E18E4"/>
    <w:rsid w:val="001E233A"/>
    <w:rsid w:val="001E5130"/>
    <w:rsid w:val="001E6EE2"/>
    <w:rsid w:val="001F2694"/>
    <w:rsid w:val="001F3369"/>
    <w:rsid w:val="001F36AD"/>
    <w:rsid w:val="001F3DC5"/>
    <w:rsid w:val="001F6870"/>
    <w:rsid w:val="001F741B"/>
    <w:rsid w:val="002006F3"/>
    <w:rsid w:val="00202D94"/>
    <w:rsid w:val="00203421"/>
    <w:rsid w:val="002058C0"/>
    <w:rsid w:val="00205CA3"/>
    <w:rsid w:val="0020666C"/>
    <w:rsid w:val="00210B5B"/>
    <w:rsid w:val="00210B95"/>
    <w:rsid w:val="0021416C"/>
    <w:rsid w:val="00215F49"/>
    <w:rsid w:val="0021725E"/>
    <w:rsid w:val="00220972"/>
    <w:rsid w:val="0022633E"/>
    <w:rsid w:val="002270D9"/>
    <w:rsid w:val="002318CC"/>
    <w:rsid w:val="00231A0B"/>
    <w:rsid w:val="002342C2"/>
    <w:rsid w:val="00235462"/>
    <w:rsid w:val="002368AA"/>
    <w:rsid w:val="002369AF"/>
    <w:rsid w:val="002376D6"/>
    <w:rsid w:val="002379BA"/>
    <w:rsid w:val="002404E0"/>
    <w:rsid w:val="0024097E"/>
    <w:rsid w:val="00240F97"/>
    <w:rsid w:val="00241BAD"/>
    <w:rsid w:val="0024204F"/>
    <w:rsid w:val="002422CF"/>
    <w:rsid w:val="002428F5"/>
    <w:rsid w:val="00242922"/>
    <w:rsid w:val="00243023"/>
    <w:rsid w:val="00243650"/>
    <w:rsid w:val="0024414C"/>
    <w:rsid w:val="00244C39"/>
    <w:rsid w:val="002463D6"/>
    <w:rsid w:val="00246D8E"/>
    <w:rsid w:val="00247455"/>
    <w:rsid w:val="002505C3"/>
    <w:rsid w:val="00250713"/>
    <w:rsid w:val="0025219E"/>
    <w:rsid w:val="002524BB"/>
    <w:rsid w:val="002525B8"/>
    <w:rsid w:val="0025276B"/>
    <w:rsid w:val="00253064"/>
    <w:rsid w:val="00253ACF"/>
    <w:rsid w:val="00253BD6"/>
    <w:rsid w:val="002549DA"/>
    <w:rsid w:val="00255302"/>
    <w:rsid w:val="002562FE"/>
    <w:rsid w:val="002570BA"/>
    <w:rsid w:val="00257D3E"/>
    <w:rsid w:val="00260D3C"/>
    <w:rsid w:val="00261136"/>
    <w:rsid w:val="00262233"/>
    <w:rsid w:val="00262DD2"/>
    <w:rsid w:val="00263655"/>
    <w:rsid w:val="00263D23"/>
    <w:rsid w:val="002660EC"/>
    <w:rsid w:val="00267E71"/>
    <w:rsid w:val="00267EE7"/>
    <w:rsid w:val="00275063"/>
    <w:rsid w:val="00275756"/>
    <w:rsid w:val="002768B3"/>
    <w:rsid w:val="00281943"/>
    <w:rsid w:val="00283258"/>
    <w:rsid w:val="002833D9"/>
    <w:rsid w:val="002840D2"/>
    <w:rsid w:val="00285D16"/>
    <w:rsid w:val="002910B2"/>
    <w:rsid w:val="002A02E7"/>
    <w:rsid w:val="002A4600"/>
    <w:rsid w:val="002A56D5"/>
    <w:rsid w:val="002A714D"/>
    <w:rsid w:val="002B0F75"/>
    <w:rsid w:val="002B24E8"/>
    <w:rsid w:val="002B2A8F"/>
    <w:rsid w:val="002B4D5E"/>
    <w:rsid w:val="002B554A"/>
    <w:rsid w:val="002C2327"/>
    <w:rsid w:val="002C2CF5"/>
    <w:rsid w:val="002C3E2B"/>
    <w:rsid w:val="002C4FEA"/>
    <w:rsid w:val="002C6611"/>
    <w:rsid w:val="002D170E"/>
    <w:rsid w:val="002D265D"/>
    <w:rsid w:val="002D3260"/>
    <w:rsid w:val="002D32E2"/>
    <w:rsid w:val="002D3304"/>
    <w:rsid w:val="002D3E09"/>
    <w:rsid w:val="002D5146"/>
    <w:rsid w:val="002D562C"/>
    <w:rsid w:val="002D5BEB"/>
    <w:rsid w:val="002D78F6"/>
    <w:rsid w:val="002E1C4E"/>
    <w:rsid w:val="002E346D"/>
    <w:rsid w:val="002E48FC"/>
    <w:rsid w:val="002F1162"/>
    <w:rsid w:val="002F4ABC"/>
    <w:rsid w:val="002F61FA"/>
    <w:rsid w:val="002F67F0"/>
    <w:rsid w:val="002F68DD"/>
    <w:rsid w:val="002F7059"/>
    <w:rsid w:val="00303602"/>
    <w:rsid w:val="00305C3B"/>
    <w:rsid w:val="00306531"/>
    <w:rsid w:val="0030736A"/>
    <w:rsid w:val="0031202C"/>
    <w:rsid w:val="0031334D"/>
    <w:rsid w:val="00313F9E"/>
    <w:rsid w:val="003140D6"/>
    <w:rsid w:val="00315B5F"/>
    <w:rsid w:val="00317659"/>
    <w:rsid w:val="00317801"/>
    <w:rsid w:val="00317996"/>
    <w:rsid w:val="00317F69"/>
    <w:rsid w:val="0032082F"/>
    <w:rsid w:val="003209DA"/>
    <w:rsid w:val="00322107"/>
    <w:rsid w:val="00324D47"/>
    <w:rsid w:val="00325467"/>
    <w:rsid w:val="003265ED"/>
    <w:rsid w:val="00327AD9"/>
    <w:rsid w:val="00327E89"/>
    <w:rsid w:val="00330A96"/>
    <w:rsid w:val="003340AD"/>
    <w:rsid w:val="003347D7"/>
    <w:rsid w:val="0033688D"/>
    <w:rsid w:val="0034045C"/>
    <w:rsid w:val="00340C48"/>
    <w:rsid w:val="003429BD"/>
    <w:rsid w:val="00343581"/>
    <w:rsid w:val="0034370D"/>
    <w:rsid w:val="00344BD9"/>
    <w:rsid w:val="00346929"/>
    <w:rsid w:val="00350412"/>
    <w:rsid w:val="003527FD"/>
    <w:rsid w:val="00357D76"/>
    <w:rsid w:val="00360A74"/>
    <w:rsid w:val="003625C5"/>
    <w:rsid w:val="00362B97"/>
    <w:rsid w:val="00364B39"/>
    <w:rsid w:val="00364D2A"/>
    <w:rsid w:val="0036712E"/>
    <w:rsid w:val="00370365"/>
    <w:rsid w:val="003703C3"/>
    <w:rsid w:val="00371CEE"/>
    <w:rsid w:val="0037249E"/>
    <w:rsid w:val="00374D29"/>
    <w:rsid w:val="00374F56"/>
    <w:rsid w:val="003771BC"/>
    <w:rsid w:val="0037727F"/>
    <w:rsid w:val="003778B1"/>
    <w:rsid w:val="00377C00"/>
    <w:rsid w:val="003833CA"/>
    <w:rsid w:val="00390412"/>
    <w:rsid w:val="00390F83"/>
    <w:rsid w:val="003915EF"/>
    <w:rsid w:val="00391915"/>
    <w:rsid w:val="00391E7C"/>
    <w:rsid w:val="00394B39"/>
    <w:rsid w:val="003956F9"/>
    <w:rsid w:val="003A277F"/>
    <w:rsid w:val="003A607B"/>
    <w:rsid w:val="003A6E9F"/>
    <w:rsid w:val="003A7F29"/>
    <w:rsid w:val="003B054A"/>
    <w:rsid w:val="003B1633"/>
    <w:rsid w:val="003B3182"/>
    <w:rsid w:val="003B34AE"/>
    <w:rsid w:val="003B35A6"/>
    <w:rsid w:val="003B3E64"/>
    <w:rsid w:val="003B5DF0"/>
    <w:rsid w:val="003B75CB"/>
    <w:rsid w:val="003C1D13"/>
    <w:rsid w:val="003C5BA1"/>
    <w:rsid w:val="003C609A"/>
    <w:rsid w:val="003C6F24"/>
    <w:rsid w:val="003C7F1E"/>
    <w:rsid w:val="003D017D"/>
    <w:rsid w:val="003D0FDE"/>
    <w:rsid w:val="003D1BF5"/>
    <w:rsid w:val="003D2A84"/>
    <w:rsid w:val="003D47A5"/>
    <w:rsid w:val="003D49FE"/>
    <w:rsid w:val="003D6293"/>
    <w:rsid w:val="003D657F"/>
    <w:rsid w:val="003E0A89"/>
    <w:rsid w:val="003E1568"/>
    <w:rsid w:val="003E1CA2"/>
    <w:rsid w:val="003E294C"/>
    <w:rsid w:val="003E35CF"/>
    <w:rsid w:val="003E3A48"/>
    <w:rsid w:val="003E59FC"/>
    <w:rsid w:val="003E5BB6"/>
    <w:rsid w:val="003E65CF"/>
    <w:rsid w:val="003E6B89"/>
    <w:rsid w:val="003F05DE"/>
    <w:rsid w:val="003F1C12"/>
    <w:rsid w:val="003F1F14"/>
    <w:rsid w:val="003F3EFA"/>
    <w:rsid w:val="003F654D"/>
    <w:rsid w:val="003F66C8"/>
    <w:rsid w:val="003F66FB"/>
    <w:rsid w:val="003F7DB4"/>
    <w:rsid w:val="00400265"/>
    <w:rsid w:val="00400620"/>
    <w:rsid w:val="004009AA"/>
    <w:rsid w:val="00404EBC"/>
    <w:rsid w:val="00410E98"/>
    <w:rsid w:val="00412441"/>
    <w:rsid w:val="00412AFE"/>
    <w:rsid w:val="00415C8E"/>
    <w:rsid w:val="00420869"/>
    <w:rsid w:val="004211EF"/>
    <w:rsid w:val="00423711"/>
    <w:rsid w:val="004240E4"/>
    <w:rsid w:val="004248B5"/>
    <w:rsid w:val="00425984"/>
    <w:rsid w:val="00425CB2"/>
    <w:rsid w:val="004260AF"/>
    <w:rsid w:val="00427FCA"/>
    <w:rsid w:val="00430696"/>
    <w:rsid w:val="00430D24"/>
    <w:rsid w:val="00431B5A"/>
    <w:rsid w:val="00431B93"/>
    <w:rsid w:val="004345A9"/>
    <w:rsid w:val="00435E66"/>
    <w:rsid w:val="00437909"/>
    <w:rsid w:val="00437A89"/>
    <w:rsid w:val="00437F96"/>
    <w:rsid w:val="00440214"/>
    <w:rsid w:val="00440390"/>
    <w:rsid w:val="004409AC"/>
    <w:rsid w:val="00440CF5"/>
    <w:rsid w:val="00440F43"/>
    <w:rsid w:val="00442192"/>
    <w:rsid w:val="004421C0"/>
    <w:rsid w:val="00443E23"/>
    <w:rsid w:val="0044405B"/>
    <w:rsid w:val="00445079"/>
    <w:rsid w:val="00445CF5"/>
    <w:rsid w:val="004463F2"/>
    <w:rsid w:val="004506B4"/>
    <w:rsid w:val="0045070E"/>
    <w:rsid w:val="00450879"/>
    <w:rsid w:val="00450B1D"/>
    <w:rsid w:val="00451344"/>
    <w:rsid w:val="00451F69"/>
    <w:rsid w:val="0045244A"/>
    <w:rsid w:val="00452B51"/>
    <w:rsid w:val="00457DB6"/>
    <w:rsid w:val="00461E5D"/>
    <w:rsid w:val="00461F2F"/>
    <w:rsid w:val="004621BF"/>
    <w:rsid w:val="00465767"/>
    <w:rsid w:val="00466501"/>
    <w:rsid w:val="00466A65"/>
    <w:rsid w:val="00467781"/>
    <w:rsid w:val="00467D83"/>
    <w:rsid w:val="00470449"/>
    <w:rsid w:val="0047154A"/>
    <w:rsid w:val="00472626"/>
    <w:rsid w:val="0047598F"/>
    <w:rsid w:val="004771BA"/>
    <w:rsid w:val="004830D0"/>
    <w:rsid w:val="00483DF4"/>
    <w:rsid w:val="00484798"/>
    <w:rsid w:val="00485FF6"/>
    <w:rsid w:val="00490CE6"/>
    <w:rsid w:val="00491429"/>
    <w:rsid w:val="004939EA"/>
    <w:rsid w:val="004940E5"/>
    <w:rsid w:val="004946A1"/>
    <w:rsid w:val="004A4863"/>
    <w:rsid w:val="004A5466"/>
    <w:rsid w:val="004A7304"/>
    <w:rsid w:val="004A7438"/>
    <w:rsid w:val="004A7655"/>
    <w:rsid w:val="004B0E2B"/>
    <w:rsid w:val="004B1991"/>
    <w:rsid w:val="004B3005"/>
    <w:rsid w:val="004B3B33"/>
    <w:rsid w:val="004B3C20"/>
    <w:rsid w:val="004B56F1"/>
    <w:rsid w:val="004B5CD5"/>
    <w:rsid w:val="004B5EDF"/>
    <w:rsid w:val="004B66BD"/>
    <w:rsid w:val="004B6EBB"/>
    <w:rsid w:val="004B77C0"/>
    <w:rsid w:val="004B7E62"/>
    <w:rsid w:val="004C081A"/>
    <w:rsid w:val="004C127B"/>
    <w:rsid w:val="004C2305"/>
    <w:rsid w:val="004C3495"/>
    <w:rsid w:val="004C4F46"/>
    <w:rsid w:val="004C66D7"/>
    <w:rsid w:val="004C722F"/>
    <w:rsid w:val="004C7A26"/>
    <w:rsid w:val="004D2DE0"/>
    <w:rsid w:val="004D318A"/>
    <w:rsid w:val="004D4B93"/>
    <w:rsid w:val="004E0081"/>
    <w:rsid w:val="004E00A4"/>
    <w:rsid w:val="004E09A9"/>
    <w:rsid w:val="004E1B84"/>
    <w:rsid w:val="004E29ED"/>
    <w:rsid w:val="004E3914"/>
    <w:rsid w:val="004E3C62"/>
    <w:rsid w:val="004E6C5F"/>
    <w:rsid w:val="004F04C6"/>
    <w:rsid w:val="004F174F"/>
    <w:rsid w:val="004F1A36"/>
    <w:rsid w:val="004F1EED"/>
    <w:rsid w:val="004F29AD"/>
    <w:rsid w:val="004F42FF"/>
    <w:rsid w:val="004F4E9A"/>
    <w:rsid w:val="004F5241"/>
    <w:rsid w:val="004F530D"/>
    <w:rsid w:val="004F549A"/>
    <w:rsid w:val="004F69B7"/>
    <w:rsid w:val="004F7B6D"/>
    <w:rsid w:val="005029C7"/>
    <w:rsid w:val="00504717"/>
    <w:rsid w:val="00506753"/>
    <w:rsid w:val="00506F0F"/>
    <w:rsid w:val="00507C38"/>
    <w:rsid w:val="005120C9"/>
    <w:rsid w:val="00515CF5"/>
    <w:rsid w:val="00516846"/>
    <w:rsid w:val="005172F5"/>
    <w:rsid w:val="00517C9C"/>
    <w:rsid w:val="0052099A"/>
    <w:rsid w:val="005211D4"/>
    <w:rsid w:val="00521BD5"/>
    <w:rsid w:val="00521F84"/>
    <w:rsid w:val="005227DC"/>
    <w:rsid w:val="005235BF"/>
    <w:rsid w:val="00525042"/>
    <w:rsid w:val="00526E11"/>
    <w:rsid w:val="00527603"/>
    <w:rsid w:val="00527CE9"/>
    <w:rsid w:val="00527F9E"/>
    <w:rsid w:val="00532263"/>
    <w:rsid w:val="005325E4"/>
    <w:rsid w:val="00532D60"/>
    <w:rsid w:val="00533CB1"/>
    <w:rsid w:val="00533D15"/>
    <w:rsid w:val="00535F22"/>
    <w:rsid w:val="0053707F"/>
    <w:rsid w:val="00541BCA"/>
    <w:rsid w:val="0054219F"/>
    <w:rsid w:val="00542670"/>
    <w:rsid w:val="005428F2"/>
    <w:rsid w:val="005437E9"/>
    <w:rsid w:val="00544CFE"/>
    <w:rsid w:val="0054580C"/>
    <w:rsid w:val="005529DC"/>
    <w:rsid w:val="00553DCC"/>
    <w:rsid w:val="00561651"/>
    <w:rsid w:val="00563A5F"/>
    <w:rsid w:val="00564F81"/>
    <w:rsid w:val="00566F95"/>
    <w:rsid w:val="00570CE1"/>
    <w:rsid w:val="00570F5B"/>
    <w:rsid w:val="00572912"/>
    <w:rsid w:val="0057337B"/>
    <w:rsid w:val="00573921"/>
    <w:rsid w:val="00573E99"/>
    <w:rsid w:val="0057426B"/>
    <w:rsid w:val="00575AB3"/>
    <w:rsid w:val="00575DD3"/>
    <w:rsid w:val="00576125"/>
    <w:rsid w:val="00577C41"/>
    <w:rsid w:val="00580F47"/>
    <w:rsid w:val="0058201E"/>
    <w:rsid w:val="00585645"/>
    <w:rsid w:val="00590A08"/>
    <w:rsid w:val="00590D1B"/>
    <w:rsid w:val="005912FD"/>
    <w:rsid w:val="0059233F"/>
    <w:rsid w:val="0059238F"/>
    <w:rsid w:val="005934E8"/>
    <w:rsid w:val="005952D2"/>
    <w:rsid w:val="00597D6C"/>
    <w:rsid w:val="005A0906"/>
    <w:rsid w:val="005A1A28"/>
    <w:rsid w:val="005A1E84"/>
    <w:rsid w:val="005A1FEE"/>
    <w:rsid w:val="005A2706"/>
    <w:rsid w:val="005A2EF7"/>
    <w:rsid w:val="005A45EC"/>
    <w:rsid w:val="005A5392"/>
    <w:rsid w:val="005A5BA9"/>
    <w:rsid w:val="005A5E76"/>
    <w:rsid w:val="005A6E98"/>
    <w:rsid w:val="005A75BA"/>
    <w:rsid w:val="005B523A"/>
    <w:rsid w:val="005B562E"/>
    <w:rsid w:val="005B5A64"/>
    <w:rsid w:val="005C01EC"/>
    <w:rsid w:val="005C29CF"/>
    <w:rsid w:val="005C2E27"/>
    <w:rsid w:val="005C5B20"/>
    <w:rsid w:val="005C5C3C"/>
    <w:rsid w:val="005D0CE2"/>
    <w:rsid w:val="005D1E61"/>
    <w:rsid w:val="005D4300"/>
    <w:rsid w:val="005D4F42"/>
    <w:rsid w:val="005D56F0"/>
    <w:rsid w:val="005D64F5"/>
    <w:rsid w:val="005E0089"/>
    <w:rsid w:val="005E0720"/>
    <w:rsid w:val="005E1649"/>
    <w:rsid w:val="005E1C4F"/>
    <w:rsid w:val="005E2D9A"/>
    <w:rsid w:val="005E4867"/>
    <w:rsid w:val="005E5A66"/>
    <w:rsid w:val="005E6F54"/>
    <w:rsid w:val="005F1F4F"/>
    <w:rsid w:val="005F1F85"/>
    <w:rsid w:val="005F33F9"/>
    <w:rsid w:val="005F38CF"/>
    <w:rsid w:val="005F4292"/>
    <w:rsid w:val="0060031B"/>
    <w:rsid w:val="0060067D"/>
    <w:rsid w:val="006033F6"/>
    <w:rsid w:val="006039BC"/>
    <w:rsid w:val="00605AD2"/>
    <w:rsid w:val="00605B60"/>
    <w:rsid w:val="006107EC"/>
    <w:rsid w:val="00610C28"/>
    <w:rsid w:val="0061226A"/>
    <w:rsid w:val="00613551"/>
    <w:rsid w:val="0061359C"/>
    <w:rsid w:val="006137CA"/>
    <w:rsid w:val="00616FED"/>
    <w:rsid w:val="00617402"/>
    <w:rsid w:val="006175F0"/>
    <w:rsid w:val="00617772"/>
    <w:rsid w:val="0062059B"/>
    <w:rsid w:val="00620C13"/>
    <w:rsid w:val="0062134E"/>
    <w:rsid w:val="00622D12"/>
    <w:rsid w:val="006235B4"/>
    <w:rsid w:val="006237D6"/>
    <w:rsid w:val="00625BEF"/>
    <w:rsid w:val="00625F22"/>
    <w:rsid w:val="00627AE0"/>
    <w:rsid w:val="00630D92"/>
    <w:rsid w:val="0063104D"/>
    <w:rsid w:val="00631ADE"/>
    <w:rsid w:val="00631F90"/>
    <w:rsid w:val="00632526"/>
    <w:rsid w:val="0063295B"/>
    <w:rsid w:val="006374D6"/>
    <w:rsid w:val="00641698"/>
    <w:rsid w:val="00641D3E"/>
    <w:rsid w:val="006433F3"/>
    <w:rsid w:val="00643C1D"/>
    <w:rsid w:val="00643F20"/>
    <w:rsid w:val="00644411"/>
    <w:rsid w:val="00644827"/>
    <w:rsid w:val="00645A5E"/>
    <w:rsid w:val="00645EAA"/>
    <w:rsid w:val="00645F8E"/>
    <w:rsid w:val="0065059B"/>
    <w:rsid w:val="00654212"/>
    <w:rsid w:val="00654F73"/>
    <w:rsid w:val="00655383"/>
    <w:rsid w:val="00660630"/>
    <w:rsid w:val="00661E68"/>
    <w:rsid w:val="00662242"/>
    <w:rsid w:val="00664B99"/>
    <w:rsid w:val="00664CCD"/>
    <w:rsid w:val="0066582C"/>
    <w:rsid w:val="00666207"/>
    <w:rsid w:val="006710B4"/>
    <w:rsid w:val="00671CFE"/>
    <w:rsid w:val="00673E77"/>
    <w:rsid w:val="00676860"/>
    <w:rsid w:val="006771DB"/>
    <w:rsid w:val="0067722F"/>
    <w:rsid w:val="00680B69"/>
    <w:rsid w:val="00680ECB"/>
    <w:rsid w:val="00684267"/>
    <w:rsid w:val="00684D22"/>
    <w:rsid w:val="006850C8"/>
    <w:rsid w:val="00687A6B"/>
    <w:rsid w:val="0069007F"/>
    <w:rsid w:val="006905F9"/>
    <w:rsid w:val="00691CF4"/>
    <w:rsid w:val="00691DFC"/>
    <w:rsid w:val="006957BD"/>
    <w:rsid w:val="00697323"/>
    <w:rsid w:val="006A010B"/>
    <w:rsid w:val="006A36D3"/>
    <w:rsid w:val="006A410A"/>
    <w:rsid w:val="006A5800"/>
    <w:rsid w:val="006B1593"/>
    <w:rsid w:val="006B1BF7"/>
    <w:rsid w:val="006B3460"/>
    <w:rsid w:val="006B4113"/>
    <w:rsid w:val="006B483F"/>
    <w:rsid w:val="006B4962"/>
    <w:rsid w:val="006B5023"/>
    <w:rsid w:val="006B7D33"/>
    <w:rsid w:val="006C0237"/>
    <w:rsid w:val="006C235D"/>
    <w:rsid w:val="006C2AB8"/>
    <w:rsid w:val="006C2CF7"/>
    <w:rsid w:val="006C6003"/>
    <w:rsid w:val="006C6D26"/>
    <w:rsid w:val="006D179A"/>
    <w:rsid w:val="006D26EA"/>
    <w:rsid w:val="006D2C72"/>
    <w:rsid w:val="006D382A"/>
    <w:rsid w:val="006D3B51"/>
    <w:rsid w:val="006D6B33"/>
    <w:rsid w:val="006E26C6"/>
    <w:rsid w:val="006E34BE"/>
    <w:rsid w:val="006E3BF5"/>
    <w:rsid w:val="006E4C68"/>
    <w:rsid w:val="006E599A"/>
    <w:rsid w:val="006F0F9A"/>
    <w:rsid w:val="006F4581"/>
    <w:rsid w:val="006F4A32"/>
    <w:rsid w:val="006F504D"/>
    <w:rsid w:val="007004A5"/>
    <w:rsid w:val="007012BD"/>
    <w:rsid w:val="0070177D"/>
    <w:rsid w:val="0070434E"/>
    <w:rsid w:val="00705B8D"/>
    <w:rsid w:val="0070641B"/>
    <w:rsid w:val="007065AF"/>
    <w:rsid w:val="00710EAC"/>
    <w:rsid w:val="007110B2"/>
    <w:rsid w:val="0071123E"/>
    <w:rsid w:val="0071128A"/>
    <w:rsid w:val="007140BF"/>
    <w:rsid w:val="007150BE"/>
    <w:rsid w:val="0071665A"/>
    <w:rsid w:val="00720AE8"/>
    <w:rsid w:val="007221C3"/>
    <w:rsid w:val="007233CE"/>
    <w:rsid w:val="0072395F"/>
    <w:rsid w:val="00723C36"/>
    <w:rsid w:val="00724B74"/>
    <w:rsid w:val="00724BA2"/>
    <w:rsid w:val="00726976"/>
    <w:rsid w:val="00726C5D"/>
    <w:rsid w:val="007278AB"/>
    <w:rsid w:val="00731C77"/>
    <w:rsid w:val="00732080"/>
    <w:rsid w:val="0073243E"/>
    <w:rsid w:val="007326C1"/>
    <w:rsid w:val="00733A0A"/>
    <w:rsid w:val="00736388"/>
    <w:rsid w:val="00736CBA"/>
    <w:rsid w:val="00737262"/>
    <w:rsid w:val="007374C1"/>
    <w:rsid w:val="007404BD"/>
    <w:rsid w:val="0074055A"/>
    <w:rsid w:val="007407EC"/>
    <w:rsid w:val="00742D41"/>
    <w:rsid w:val="007445B2"/>
    <w:rsid w:val="00744E92"/>
    <w:rsid w:val="00746FD1"/>
    <w:rsid w:val="007476E7"/>
    <w:rsid w:val="00751F6D"/>
    <w:rsid w:val="00755F20"/>
    <w:rsid w:val="007563B5"/>
    <w:rsid w:val="00761AAF"/>
    <w:rsid w:val="0076305F"/>
    <w:rsid w:val="007637D3"/>
    <w:rsid w:val="00766ADE"/>
    <w:rsid w:val="007675E7"/>
    <w:rsid w:val="0077095B"/>
    <w:rsid w:val="00771001"/>
    <w:rsid w:val="00772BE3"/>
    <w:rsid w:val="00774DB8"/>
    <w:rsid w:val="00774E61"/>
    <w:rsid w:val="007759DD"/>
    <w:rsid w:val="0077645E"/>
    <w:rsid w:val="00777987"/>
    <w:rsid w:val="00777F3E"/>
    <w:rsid w:val="007805A3"/>
    <w:rsid w:val="007807A4"/>
    <w:rsid w:val="00780C49"/>
    <w:rsid w:val="00781251"/>
    <w:rsid w:val="00781AD0"/>
    <w:rsid w:val="007821D8"/>
    <w:rsid w:val="00784467"/>
    <w:rsid w:val="00784CAE"/>
    <w:rsid w:val="0078506F"/>
    <w:rsid w:val="00793B8B"/>
    <w:rsid w:val="0079432C"/>
    <w:rsid w:val="00795A35"/>
    <w:rsid w:val="00796E5E"/>
    <w:rsid w:val="00796F1B"/>
    <w:rsid w:val="007A1911"/>
    <w:rsid w:val="007A4886"/>
    <w:rsid w:val="007A5433"/>
    <w:rsid w:val="007A55B4"/>
    <w:rsid w:val="007A5873"/>
    <w:rsid w:val="007A5AE9"/>
    <w:rsid w:val="007A7142"/>
    <w:rsid w:val="007A7F57"/>
    <w:rsid w:val="007B06C5"/>
    <w:rsid w:val="007B2C1A"/>
    <w:rsid w:val="007B2E5F"/>
    <w:rsid w:val="007B4C35"/>
    <w:rsid w:val="007C41E8"/>
    <w:rsid w:val="007C4E09"/>
    <w:rsid w:val="007C65AA"/>
    <w:rsid w:val="007C6A52"/>
    <w:rsid w:val="007C6C8D"/>
    <w:rsid w:val="007D0EA2"/>
    <w:rsid w:val="007D13CD"/>
    <w:rsid w:val="007D3306"/>
    <w:rsid w:val="007D4C3B"/>
    <w:rsid w:val="007D5CB7"/>
    <w:rsid w:val="007E0CD4"/>
    <w:rsid w:val="007E3B3B"/>
    <w:rsid w:val="007E4205"/>
    <w:rsid w:val="007E5FB2"/>
    <w:rsid w:val="007E6C97"/>
    <w:rsid w:val="007E70BF"/>
    <w:rsid w:val="007E78A0"/>
    <w:rsid w:val="007F0812"/>
    <w:rsid w:val="007F10A3"/>
    <w:rsid w:val="007F215A"/>
    <w:rsid w:val="007F25B0"/>
    <w:rsid w:val="007F28C8"/>
    <w:rsid w:val="007F3CC0"/>
    <w:rsid w:val="007F4285"/>
    <w:rsid w:val="0080013C"/>
    <w:rsid w:val="00800C31"/>
    <w:rsid w:val="008017CC"/>
    <w:rsid w:val="00802507"/>
    <w:rsid w:val="008026E8"/>
    <w:rsid w:val="008035A7"/>
    <w:rsid w:val="00803AD0"/>
    <w:rsid w:val="00803EA3"/>
    <w:rsid w:val="008048D4"/>
    <w:rsid w:val="00805D5C"/>
    <w:rsid w:val="00806DB3"/>
    <w:rsid w:val="00807570"/>
    <w:rsid w:val="00807653"/>
    <w:rsid w:val="00811335"/>
    <w:rsid w:val="008114DA"/>
    <w:rsid w:val="008139F1"/>
    <w:rsid w:val="008148EF"/>
    <w:rsid w:val="00816263"/>
    <w:rsid w:val="008167A1"/>
    <w:rsid w:val="00820BFF"/>
    <w:rsid w:val="00821DA9"/>
    <w:rsid w:val="008240EC"/>
    <w:rsid w:val="00824236"/>
    <w:rsid w:val="00826722"/>
    <w:rsid w:val="00831158"/>
    <w:rsid w:val="0083154F"/>
    <w:rsid w:val="00833301"/>
    <w:rsid w:val="00833970"/>
    <w:rsid w:val="00834B7A"/>
    <w:rsid w:val="008360C9"/>
    <w:rsid w:val="00836A68"/>
    <w:rsid w:val="00837877"/>
    <w:rsid w:val="008409CB"/>
    <w:rsid w:val="00840BBD"/>
    <w:rsid w:val="00840CB2"/>
    <w:rsid w:val="008413CE"/>
    <w:rsid w:val="008416E9"/>
    <w:rsid w:val="008416F6"/>
    <w:rsid w:val="00842CBC"/>
    <w:rsid w:val="00845127"/>
    <w:rsid w:val="00845385"/>
    <w:rsid w:val="00846C6C"/>
    <w:rsid w:val="00847F02"/>
    <w:rsid w:val="0085310D"/>
    <w:rsid w:val="0085364A"/>
    <w:rsid w:val="008536C2"/>
    <w:rsid w:val="008543DC"/>
    <w:rsid w:val="00856EB2"/>
    <w:rsid w:val="0086121D"/>
    <w:rsid w:val="00861512"/>
    <w:rsid w:val="008625DC"/>
    <w:rsid w:val="0086285D"/>
    <w:rsid w:val="008638A3"/>
    <w:rsid w:val="008639A3"/>
    <w:rsid w:val="00864DDB"/>
    <w:rsid w:val="008654EB"/>
    <w:rsid w:val="00871D31"/>
    <w:rsid w:val="00872556"/>
    <w:rsid w:val="00873F0B"/>
    <w:rsid w:val="00874986"/>
    <w:rsid w:val="00876BFF"/>
    <w:rsid w:val="008770C0"/>
    <w:rsid w:val="008779F6"/>
    <w:rsid w:val="00880EDA"/>
    <w:rsid w:val="00882F9F"/>
    <w:rsid w:val="008851A2"/>
    <w:rsid w:val="008853AA"/>
    <w:rsid w:val="00885454"/>
    <w:rsid w:val="00886A7D"/>
    <w:rsid w:val="008904E2"/>
    <w:rsid w:val="00893540"/>
    <w:rsid w:val="008936C3"/>
    <w:rsid w:val="00894125"/>
    <w:rsid w:val="008947A1"/>
    <w:rsid w:val="00895B28"/>
    <w:rsid w:val="00897889"/>
    <w:rsid w:val="00897A16"/>
    <w:rsid w:val="008A2927"/>
    <w:rsid w:val="008A4442"/>
    <w:rsid w:val="008A4CBE"/>
    <w:rsid w:val="008A79BD"/>
    <w:rsid w:val="008A7F82"/>
    <w:rsid w:val="008B0117"/>
    <w:rsid w:val="008B072D"/>
    <w:rsid w:val="008B15BB"/>
    <w:rsid w:val="008B1E44"/>
    <w:rsid w:val="008B24FD"/>
    <w:rsid w:val="008B5331"/>
    <w:rsid w:val="008B552D"/>
    <w:rsid w:val="008B6B85"/>
    <w:rsid w:val="008B717B"/>
    <w:rsid w:val="008B78AA"/>
    <w:rsid w:val="008B7D89"/>
    <w:rsid w:val="008C026F"/>
    <w:rsid w:val="008C2350"/>
    <w:rsid w:val="008C337C"/>
    <w:rsid w:val="008C4994"/>
    <w:rsid w:val="008C5822"/>
    <w:rsid w:val="008C5825"/>
    <w:rsid w:val="008C5D11"/>
    <w:rsid w:val="008C6B49"/>
    <w:rsid w:val="008D09F3"/>
    <w:rsid w:val="008D11A5"/>
    <w:rsid w:val="008D61C2"/>
    <w:rsid w:val="008E066C"/>
    <w:rsid w:val="008E1ED7"/>
    <w:rsid w:val="008E1EE6"/>
    <w:rsid w:val="008E2332"/>
    <w:rsid w:val="008E6E8D"/>
    <w:rsid w:val="008F0D8B"/>
    <w:rsid w:val="008F11C6"/>
    <w:rsid w:val="008F5A62"/>
    <w:rsid w:val="0090323E"/>
    <w:rsid w:val="0090331E"/>
    <w:rsid w:val="00903B51"/>
    <w:rsid w:val="00906D1F"/>
    <w:rsid w:val="00910691"/>
    <w:rsid w:val="00911CD3"/>
    <w:rsid w:val="00914B4D"/>
    <w:rsid w:val="00915E80"/>
    <w:rsid w:val="009160E9"/>
    <w:rsid w:val="00917F1D"/>
    <w:rsid w:val="00920CCC"/>
    <w:rsid w:val="00920F79"/>
    <w:rsid w:val="00921624"/>
    <w:rsid w:val="00922D04"/>
    <w:rsid w:val="009240AD"/>
    <w:rsid w:val="009242DC"/>
    <w:rsid w:val="00926219"/>
    <w:rsid w:val="00926BD8"/>
    <w:rsid w:val="00931C8E"/>
    <w:rsid w:val="0093342D"/>
    <w:rsid w:val="00933F45"/>
    <w:rsid w:val="00935D85"/>
    <w:rsid w:val="00936D2F"/>
    <w:rsid w:val="00936D5B"/>
    <w:rsid w:val="009375B3"/>
    <w:rsid w:val="00941ACA"/>
    <w:rsid w:val="0094230E"/>
    <w:rsid w:val="00943196"/>
    <w:rsid w:val="00943B91"/>
    <w:rsid w:val="00944233"/>
    <w:rsid w:val="00944CC9"/>
    <w:rsid w:val="0094534A"/>
    <w:rsid w:val="00945A36"/>
    <w:rsid w:val="00950029"/>
    <w:rsid w:val="00950222"/>
    <w:rsid w:val="009505EA"/>
    <w:rsid w:val="00950781"/>
    <w:rsid w:val="00951F0E"/>
    <w:rsid w:val="00952588"/>
    <w:rsid w:val="00954C72"/>
    <w:rsid w:val="00954F6A"/>
    <w:rsid w:val="00956944"/>
    <w:rsid w:val="009573E1"/>
    <w:rsid w:val="009607C5"/>
    <w:rsid w:val="0096083E"/>
    <w:rsid w:val="0096218E"/>
    <w:rsid w:val="009623AF"/>
    <w:rsid w:val="00962FDA"/>
    <w:rsid w:val="00964570"/>
    <w:rsid w:val="0096492F"/>
    <w:rsid w:val="00964EE3"/>
    <w:rsid w:val="00965E86"/>
    <w:rsid w:val="0096650B"/>
    <w:rsid w:val="00967756"/>
    <w:rsid w:val="00967C39"/>
    <w:rsid w:val="009709B0"/>
    <w:rsid w:val="00970C88"/>
    <w:rsid w:val="00971886"/>
    <w:rsid w:val="0097208D"/>
    <w:rsid w:val="00972BB7"/>
    <w:rsid w:val="00973002"/>
    <w:rsid w:val="009755A9"/>
    <w:rsid w:val="00975824"/>
    <w:rsid w:val="009762BB"/>
    <w:rsid w:val="00976A67"/>
    <w:rsid w:val="00976E96"/>
    <w:rsid w:val="00976F90"/>
    <w:rsid w:val="00981451"/>
    <w:rsid w:val="00982A45"/>
    <w:rsid w:val="009839D3"/>
    <w:rsid w:val="00983B53"/>
    <w:rsid w:val="00987909"/>
    <w:rsid w:val="00990CB2"/>
    <w:rsid w:val="0099133B"/>
    <w:rsid w:val="00991F79"/>
    <w:rsid w:val="0099225A"/>
    <w:rsid w:val="0099232B"/>
    <w:rsid w:val="009928F2"/>
    <w:rsid w:val="00992DA5"/>
    <w:rsid w:val="00994569"/>
    <w:rsid w:val="00994843"/>
    <w:rsid w:val="0099484F"/>
    <w:rsid w:val="00994A8A"/>
    <w:rsid w:val="00994EAB"/>
    <w:rsid w:val="00994EEF"/>
    <w:rsid w:val="0099543D"/>
    <w:rsid w:val="009965B1"/>
    <w:rsid w:val="009973BF"/>
    <w:rsid w:val="0099759C"/>
    <w:rsid w:val="00997706"/>
    <w:rsid w:val="009A0B9F"/>
    <w:rsid w:val="009A114E"/>
    <w:rsid w:val="009A164C"/>
    <w:rsid w:val="009A1A0B"/>
    <w:rsid w:val="009A2693"/>
    <w:rsid w:val="009A2A09"/>
    <w:rsid w:val="009A2AFA"/>
    <w:rsid w:val="009A46DF"/>
    <w:rsid w:val="009A7283"/>
    <w:rsid w:val="009A729A"/>
    <w:rsid w:val="009A74C6"/>
    <w:rsid w:val="009A7796"/>
    <w:rsid w:val="009B09C9"/>
    <w:rsid w:val="009B0AAA"/>
    <w:rsid w:val="009B1A98"/>
    <w:rsid w:val="009B2763"/>
    <w:rsid w:val="009B297D"/>
    <w:rsid w:val="009B3812"/>
    <w:rsid w:val="009B39C6"/>
    <w:rsid w:val="009B5716"/>
    <w:rsid w:val="009B7D67"/>
    <w:rsid w:val="009C0EC1"/>
    <w:rsid w:val="009C15FE"/>
    <w:rsid w:val="009C24F2"/>
    <w:rsid w:val="009C395F"/>
    <w:rsid w:val="009C42A6"/>
    <w:rsid w:val="009C463C"/>
    <w:rsid w:val="009C6203"/>
    <w:rsid w:val="009C62CB"/>
    <w:rsid w:val="009C7D6E"/>
    <w:rsid w:val="009D073B"/>
    <w:rsid w:val="009D129B"/>
    <w:rsid w:val="009D1B01"/>
    <w:rsid w:val="009D2A4D"/>
    <w:rsid w:val="009D450F"/>
    <w:rsid w:val="009D543C"/>
    <w:rsid w:val="009D6FAD"/>
    <w:rsid w:val="009E0F41"/>
    <w:rsid w:val="009E2659"/>
    <w:rsid w:val="009E5578"/>
    <w:rsid w:val="009E5A1E"/>
    <w:rsid w:val="009E72E0"/>
    <w:rsid w:val="009E7361"/>
    <w:rsid w:val="009E7E80"/>
    <w:rsid w:val="009F13BC"/>
    <w:rsid w:val="009F1DDD"/>
    <w:rsid w:val="009F324D"/>
    <w:rsid w:val="00A011AA"/>
    <w:rsid w:val="00A07479"/>
    <w:rsid w:val="00A113D2"/>
    <w:rsid w:val="00A128D4"/>
    <w:rsid w:val="00A1506B"/>
    <w:rsid w:val="00A15459"/>
    <w:rsid w:val="00A167A5"/>
    <w:rsid w:val="00A16A2F"/>
    <w:rsid w:val="00A178B3"/>
    <w:rsid w:val="00A20C2D"/>
    <w:rsid w:val="00A219FF"/>
    <w:rsid w:val="00A22AB7"/>
    <w:rsid w:val="00A24333"/>
    <w:rsid w:val="00A24B96"/>
    <w:rsid w:val="00A30037"/>
    <w:rsid w:val="00A31721"/>
    <w:rsid w:val="00A32E56"/>
    <w:rsid w:val="00A33B22"/>
    <w:rsid w:val="00A3448E"/>
    <w:rsid w:val="00A35D58"/>
    <w:rsid w:val="00A360A0"/>
    <w:rsid w:val="00A41C1E"/>
    <w:rsid w:val="00A43E4B"/>
    <w:rsid w:val="00A455A8"/>
    <w:rsid w:val="00A46140"/>
    <w:rsid w:val="00A4643B"/>
    <w:rsid w:val="00A506DA"/>
    <w:rsid w:val="00A51BD2"/>
    <w:rsid w:val="00A54039"/>
    <w:rsid w:val="00A560F6"/>
    <w:rsid w:val="00A56B1D"/>
    <w:rsid w:val="00A57CB7"/>
    <w:rsid w:val="00A57E1F"/>
    <w:rsid w:val="00A60C01"/>
    <w:rsid w:val="00A61AFA"/>
    <w:rsid w:val="00A64495"/>
    <w:rsid w:val="00A658AE"/>
    <w:rsid w:val="00A66284"/>
    <w:rsid w:val="00A70404"/>
    <w:rsid w:val="00A7356E"/>
    <w:rsid w:val="00A73FE3"/>
    <w:rsid w:val="00A740FF"/>
    <w:rsid w:val="00A74A29"/>
    <w:rsid w:val="00A75ADE"/>
    <w:rsid w:val="00A77A9B"/>
    <w:rsid w:val="00A77CF6"/>
    <w:rsid w:val="00A807B4"/>
    <w:rsid w:val="00A81169"/>
    <w:rsid w:val="00A822D1"/>
    <w:rsid w:val="00A8249E"/>
    <w:rsid w:val="00A84BE6"/>
    <w:rsid w:val="00A853F1"/>
    <w:rsid w:val="00A8618E"/>
    <w:rsid w:val="00A87B03"/>
    <w:rsid w:val="00A90253"/>
    <w:rsid w:val="00A905E5"/>
    <w:rsid w:val="00A90F5F"/>
    <w:rsid w:val="00A93FD7"/>
    <w:rsid w:val="00A9500A"/>
    <w:rsid w:val="00A95C83"/>
    <w:rsid w:val="00A960B7"/>
    <w:rsid w:val="00A96D04"/>
    <w:rsid w:val="00A970B3"/>
    <w:rsid w:val="00AA1C7D"/>
    <w:rsid w:val="00AA2E09"/>
    <w:rsid w:val="00AA2F85"/>
    <w:rsid w:val="00AA3BBB"/>
    <w:rsid w:val="00AA3C31"/>
    <w:rsid w:val="00AA4257"/>
    <w:rsid w:val="00AA4925"/>
    <w:rsid w:val="00AA4E70"/>
    <w:rsid w:val="00AA54D5"/>
    <w:rsid w:val="00AB0ECA"/>
    <w:rsid w:val="00AB3FAE"/>
    <w:rsid w:val="00AB64D5"/>
    <w:rsid w:val="00AB7D7D"/>
    <w:rsid w:val="00AC2C9D"/>
    <w:rsid w:val="00AC4C44"/>
    <w:rsid w:val="00AC5D72"/>
    <w:rsid w:val="00AC68CE"/>
    <w:rsid w:val="00AD0F93"/>
    <w:rsid w:val="00AD266A"/>
    <w:rsid w:val="00AD45D4"/>
    <w:rsid w:val="00AD5BC3"/>
    <w:rsid w:val="00AD670F"/>
    <w:rsid w:val="00AD6A1F"/>
    <w:rsid w:val="00AE1323"/>
    <w:rsid w:val="00AE1E33"/>
    <w:rsid w:val="00AE3EDD"/>
    <w:rsid w:val="00AE5D81"/>
    <w:rsid w:val="00AE5E51"/>
    <w:rsid w:val="00AE78F2"/>
    <w:rsid w:val="00AE78F7"/>
    <w:rsid w:val="00AF30F3"/>
    <w:rsid w:val="00AF321F"/>
    <w:rsid w:val="00AF373F"/>
    <w:rsid w:val="00AF3EBF"/>
    <w:rsid w:val="00AF4076"/>
    <w:rsid w:val="00AF47B5"/>
    <w:rsid w:val="00AF73AC"/>
    <w:rsid w:val="00B00D4F"/>
    <w:rsid w:val="00B02759"/>
    <w:rsid w:val="00B06DF2"/>
    <w:rsid w:val="00B07D25"/>
    <w:rsid w:val="00B1026B"/>
    <w:rsid w:val="00B10C63"/>
    <w:rsid w:val="00B11268"/>
    <w:rsid w:val="00B123D7"/>
    <w:rsid w:val="00B13521"/>
    <w:rsid w:val="00B159CD"/>
    <w:rsid w:val="00B167D5"/>
    <w:rsid w:val="00B21F7E"/>
    <w:rsid w:val="00B2224F"/>
    <w:rsid w:val="00B23894"/>
    <w:rsid w:val="00B24E1B"/>
    <w:rsid w:val="00B2593E"/>
    <w:rsid w:val="00B274FB"/>
    <w:rsid w:val="00B27E39"/>
    <w:rsid w:val="00B3219C"/>
    <w:rsid w:val="00B32461"/>
    <w:rsid w:val="00B33432"/>
    <w:rsid w:val="00B33A61"/>
    <w:rsid w:val="00B34F46"/>
    <w:rsid w:val="00B40464"/>
    <w:rsid w:val="00B447E3"/>
    <w:rsid w:val="00B46617"/>
    <w:rsid w:val="00B46B25"/>
    <w:rsid w:val="00B50D6D"/>
    <w:rsid w:val="00B522FB"/>
    <w:rsid w:val="00B53B43"/>
    <w:rsid w:val="00B55728"/>
    <w:rsid w:val="00B572D2"/>
    <w:rsid w:val="00B57C7D"/>
    <w:rsid w:val="00B60AB9"/>
    <w:rsid w:val="00B624A2"/>
    <w:rsid w:val="00B62B13"/>
    <w:rsid w:val="00B62F71"/>
    <w:rsid w:val="00B637D8"/>
    <w:rsid w:val="00B65346"/>
    <w:rsid w:val="00B66CFA"/>
    <w:rsid w:val="00B67D78"/>
    <w:rsid w:val="00B70720"/>
    <w:rsid w:val="00B76474"/>
    <w:rsid w:val="00B807F1"/>
    <w:rsid w:val="00B824CD"/>
    <w:rsid w:val="00B84992"/>
    <w:rsid w:val="00B863A5"/>
    <w:rsid w:val="00B86AC2"/>
    <w:rsid w:val="00B900A5"/>
    <w:rsid w:val="00B94389"/>
    <w:rsid w:val="00B9518B"/>
    <w:rsid w:val="00B96F1B"/>
    <w:rsid w:val="00B9710C"/>
    <w:rsid w:val="00BA104E"/>
    <w:rsid w:val="00BA3084"/>
    <w:rsid w:val="00BA34C6"/>
    <w:rsid w:val="00BA362A"/>
    <w:rsid w:val="00BA36F1"/>
    <w:rsid w:val="00BA47F2"/>
    <w:rsid w:val="00BA50D6"/>
    <w:rsid w:val="00BA5F98"/>
    <w:rsid w:val="00BA6300"/>
    <w:rsid w:val="00BA65C5"/>
    <w:rsid w:val="00BA67E1"/>
    <w:rsid w:val="00BA7CD7"/>
    <w:rsid w:val="00BA7F75"/>
    <w:rsid w:val="00BB0AEB"/>
    <w:rsid w:val="00BB13B0"/>
    <w:rsid w:val="00BB1669"/>
    <w:rsid w:val="00BB51E1"/>
    <w:rsid w:val="00BB5A61"/>
    <w:rsid w:val="00BB6B7A"/>
    <w:rsid w:val="00BB7D01"/>
    <w:rsid w:val="00BC6DF0"/>
    <w:rsid w:val="00BC7C5B"/>
    <w:rsid w:val="00BD06DD"/>
    <w:rsid w:val="00BD1356"/>
    <w:rsid w:val="00BD219A"/>
    <w:rsid w:val="00BD2E59"/>
    <w:rsid w:val="00BD3134"/>
    <w:rsid w:val="00BD4319"/>
    <w:rsid w:val="00BD476F"/>
    <w:rsid w:val="00BD48A1"/>
    <w:rsid w:val="00BD683F"/>
    <w:rsid w:val="00BD7348"/>
    <w:rsid w:val="00BD7383"/>
    <w:rsid w:val="00BE1354"/>
    <w:rsid w:val="00BE2282"/>
    <w:rsid w:val="00BE2C1F"/>
    <w:rsid w:val="00BE3B54"/>
    <w:rsid w:val="00BE3ED1"/>
    <w:rsid w:val="00BE46EC"/>
    <w:rsid w:val="00BE4812"/>
    <w:rsid w:val="00BE683D"/>
    <w:rsid w:val="00BE6A57"/>
    <w:rsid w:val="00BF054A"/>
    <w:rsid w:val="00BF08F4"/>
    <w:rsid w:val="00BF16AA"/>
    <w:rsid w:val="00BF30A1"/>
    <w:rsid w:val="00BF3734"/>
    <w:rsid w:val="00BF4094"/>
    <w:rsid w:val="00BF4290"/>
    <w:rsid w:val="00BF42A4"/>
    <w:rsid w:val="00BF5A9F"/>
    <w:rsid w:val="00BF7DE2"/>
    <w:rsid w:val="00BF7FF7"/>
    <w:rsid w:val="00C00885"/>
    <w:rsid w:val="00C009A5"/>
    <w:rsid w:val="00C02689"/>
    <w:rsid w:val="00C02E1C"/>
    <w:rsid w:val="00C07BF8"/>
    <w:rsid w:val="00C10773"/>
    <w:rsid w:val="00C109F0"/>
    <w:rsid w:val="00C10CFB"/>
    <w:rsid w:val="00C11308"/>
    <w:rsid w:val="00C1153D"/>
    <w:rsid w:val="00C123CB"/>
    <w:rsid w:val="00C13208"/>
    <w:rsid w:val="00C14127"/>
    <w:rsid w:val="00C14911"/>
    <w:rsid w:val="00C14B44"/>
    <w:rsid w:val="00C14D93"/>
    <w:rsid w:val="00C15722"/>
    <w:rsid w:val="00C23894"/>
    <w:rsid w:val="00C24B2D"/>
    <w:rsid w:val="00C25FE8"/>
    <w:rsid w:val="00C27B8A"/>
    <w:rsid w:val="00C3369A"/>
    <w:rsid w:val="00C35B58"/>
    <w:rsid w:val="00C35C80"/>
    <w:rsid w:val="00C36C00"/>
    <w:rsid w:val="00C37D82"/>
    <w:rsid w:val="00C436B8"/>
    <w:rsid w:val="00C43DB9"/>
    <w:rsid w:val="00C4550D"/>
    <w:rsid w:val="00C45FCD"/>
    <w:rsid w:val="00C50C76"/>
    <w:rsid w:val="00C51A09"/>
    <w:rsid w:val="00C51A23"/>
    <w:rsid w:val="00C52EEF"/>
    <w:rsid w:val="00C542B9"/>
    <w:rsid w:val="00C56F49"/>
    <w:rsid w:val="00C57B9C"/>
    <w:rsid w:val="00C60479"/>
    <w:rsid w:val="00C6128C"/>
    <w:rsid w:val="00C62780"/>
    <w:rsid w:val="00C62A3A"/>
    <w:rsid w:val="00C62B92"/>
    <w:rsid w:val="00C63482"/>
    <w:rsid w:val="00C638B7"/>
    <w:rsid w:val="00C63E71"/>
    <w:rsid w:val="00C6585B"/>
    <w:rsid w:val="00C66683"/>
    <w:rsid w:val="00C67097"/>
    <w:rsid w:val="00C702C8"/>
    <w:rsid w:val="00C732A6"/>
    <w:rsid w:val="00C751F3"/>
    <w:rsid w:val="00C75E85"/>
    <w:rsid w:val="00C76F78"/>
    <w:rsid w:val="00C7777D"/>
    <w:rsid w:val="00C777F2"/>
    <w:rsid w:val="00C81205"/>
    <w:rsid w:val="00C81C10"/>
    <w:rsid w:val="00C81D3D"/>
    <w:rsid w:val="00C83D31"/>
    <w:rsid w:val="00C87871"/>
    <w:rsid w:val="00C903EB"/>
    <w:rsid w:val="00C90FDB"/>
    <w:rsid w:val="00C925C7"/>
    <w:rsid w:val="00C931F1"/>
    <w:rsid w:val="00C953AB"/>
    <w:rsid w:val="00C96606"/>
    <w:rsid w:val="00C972B1"/>
    <w:rsid w:val="00CA24CF"/>
    <w:rsid w:val="00CA309C"/>
    <w:rsid w:val="00CA497F"/>
    <w:rsid w:val="00CB091E"/>
    <w:rsid w:val="00CB2734"/>
    <w:rsid w:val="00CB29A4"/>
    <w:rsid w:val="00CB37BE"/>
    <w:rsid w:val="00CB4ABB"/>
    <w:rsid w:val="00CB5754"/>
    <w:rsid w:val="00CC1FE6"/>
    <w:rsid w:val="00CC3051"/>
    <w:rsid w:val="00CC439E"/>
    <w:rsid w:val="00CC5C9C"/>
    <w:rsid w:val="00CC62F2"/>
    <w:rsid w:val="00CC63BA"/>
    <w:rsid w:val="00CD166E"/>
    <w:rsid w:val="00CD2E7E"/>
    <w:rsid w:val="00CD31B9"/>
    <w:rsid w:val="00CD4A4A"/>
    <w:rsid w:val="00CD4E9B"/>
    <w:rsid w:val="00CD5945"/>
    <w:rsid w:val="00CD664D"/>
    <w:rsid w:val="00CE09C9"/>
    <w:rsid w:val="00CE1CCF"/>
    <w:rsid w:val="00CE4130"/>
    <w:rsid w:val="00CE47B7"/>
    <w:rsid w:val="00CE4EB7"/>
    <w:rsid w:val="00CE6A54"/>
    <w:rsid w:val="00CF0750"/>
    <w:rsid w:val="00CF377B"/>
    <w:rsid w:val="00CF3AE2"/>
    <w:rsid w:val="00CF41A3"/>
    <w:rsid w:val="00CF6ABF"/>
    <w:rsid w:val="00CF75A3"/>
    <w:rsid w:val="00D0036D"/>
    <w:rsid w:val="00D11C72"/>
    <w:rsid w:val="00D13249"/>
    <w:rsid w:val="00D13649"/>
    <w:rsid w:val="00D13D7C"/>
    <w:rsid w:val="00D14F58"/>
    <w:rsid w:val="00D1506C"/>
    <w:rsid w:val="00D17737"/>
    <w:rsid w:val="00D22A09"/>
    <w:rsid w:val="00D2625D"/>
    <w:rsid w:val="00D26904"/>
    <w:rsid w:val="00D30C31"/>
    <w:rsid w:val="00D32540"/>
    <w:rsid w:val="00D32854"/>
    <w:rsid w:val="00D32C66"/>
    <w:rsid w:val="00D32CEC"/>
    <w:rsid w:val="00D33EAE"/>
    <w:rsid w:val="00D3439D"/>
    <w:rsid w:val="00D348B2"/>
    <w:rsid w:val="00D355B7"/>
    <w:rsid w:val="00D35FA5"/>
    <w:rsid w:val="00D364B7"/>
    <w:rsid w:val="00D3782B"/>
    <w:rsid w:val="00D403F5"/>
    <w:rsid w:val="00D4051F"/>
    <w:rsid w:val="00D41C41"/>
    <w:rsid w:val="00D42120"/>
    <w:rsid w:val="00D42377"/>
    <w:rsid w:val="00D427F9"/>
    <w:rsid w:val="00D42E8C"/>
    <w:rsid w:val="00D4303E"/>
    <w:rsid w:val="00D44D26"/>
    <w:rsid w:val="00D44E82"/>
    <w:rsid w:val="00D45362"/>
    <w:rsid w:val="00D46421"/>
    <w:rsid w:val="00D46949"/>
    <w:rsid w:val="00D46CE4"/>
    <w:rsid w:val="00D4771E"/>
    <w:rsid w:val="00D47E50"/>
    <w:rsid w:val="00D51281"/>
    <w:rsid w:val="00D52743"/>
    <w:rsid w:val="00D52CDB"/>
    <w:rsid w:val="00D549E3"/>
    <w:rsid w:val="00D54B86"/>
    <w:rsid w:val="00D54C65"/>
    <w:rsid w:val="00D6001D"/>
    <w:rsid w:val="00D60B2F"/>
    <w:rsid w:val="00D60D43"/>
    <w:rsid w:val="00D61BE3"/>
    <w:rsid w:val="00D61F88"/>
    <w:rsid w:val="00D624F0"/>
    <w:rsid w:val="00D63FC6"/>
    <w:rsid w:val="00D66BCF"/>
    <w:rsid w:val="00D6705C"/>
    <w:rsid w:val="00D67608"/>
    <w:rsid w:val="00D67998"/>
    <w:rsid w:val="00D67D9A"/>
    <w:rsid w:val="00D71156"/>
    <w:rsid w:val="00D71A01"/>
    <w:rsid w:val="00D74F4E"/>
    <w:rsid w:val="00D75AD2"/>
    <w:rsid w:val="00D7611E"/>
    <w:rsid w:val="00D7623E"/>
    <w:rsid w:val="00D766CD"/>
    <w:rsid w:val="00D77A0A"/>
    <w:rsid w:val="00D817C4"/>
    <w:rsid w:val="00D8293A"/>
    <w:rsid w:val="00D82A2A"/>
    <w:rsid w:val="00D82FE1"/>
    <w:rsid w:val="00D853D2"/>
    <w:rsid w:val="00D9185B"/>
    <w:rsid w:val="00D9195E"/>
    <w:rsid w:val="00D965CB"/>
    <w:rsid w:val="00D96D80"/>
    <w:rsid w:val="00DA2E09"/>
    <w:rsid w:val="00DA2F86"/>
    <w:rsid w:val="00DA3FF6"/>
    <w:rsid w:val="00DA6265"/>
    <w:rsid w:val="00DA65FE"/>
    <w:rsid w:val="00DA698B"/>
    <w:rsid w:val="00DB03BB"/>
    <w:rsid w:val="00DB132E"/>
    <w:rsid w:val="00DB1756"/>
    <w:rsid w:val="00DB7D92"/>
    <w:rsid w:val="00DB7E97"/>
    <w:rsid w:val="00DB7FFC"/>
    <w:rsid w:val="00DC38C1"/>
    <w:rsid w:val="00DC5559"/>
    <w:rsid w:val="00DC7430"/>
    <w:rsid w:val="00DD4105"/>
    <w:rsid w:val="00DD4801"/>
    <w:rsid w:val="00DD5A1C"/>
    <w:rsid w:val="00DD5E74"/>
    <w:rsid w:val="00DD6A4C"/>
    <w:rsid w:val="00DD707B"/>
    <w:rsid w:val="00DE087B"/>
    <w:rsid w:val="00DE2A09"/>
    <w:rsid w:val="00DE3EF8"/>
    <w:rsid w:val="00DE4547"/>
    <w:rsid w:val="00DE454D"/>
    <w:rsid w:val="00DE567B"/>
    <w:rsid w:val="00DF04E6"/>
    <w:rsid w:val="00DF23B5"/>
    <w:rsid w:val="00DF2E1C"/>
    <w:rsid w:val="00DF3694"/>
    <w:rsid w:val="00DF4561"/>
    <w:rsid w:val="00DF4D53"/>
    <w:rsid w:val="00DF5528"/>
    <w:rsid w:val="00DF5538"/>
    <w:rsid w:val="00DF6056"/>
    <w:rsid w:val="00E01582"/>
    <w:rsid w:val="00E01FA4"/>
    <w:rsid w:val="00E02113"/>
    <w:rsid w:val="00E030EC"/>
    <w:rsid w:val="00E04BD3"/>
    <w:rsid w:val="00E06B2B"/>
    <w:rsid w:val="00E11750"/>
    <w:rsid w:val="00E11C8C"/>
    <w:rsid w:val="00E12320"/>
    <w:rsid w:val="00E1332D"/>
    <w:rsid w:val="00E13B5E"/>
    <w:rsid w:val="00E15D2B"/>
    <w:rsid w:val="00E16E7E"/>
    <w:rsid w:val="00E17250"/>
    <w:rsid w:val="00E20AE4"/>
    <w:rsid w:val="00E21A21"/>
    <w:rsid w:val="00E23007"/>
    <w:rsid w:val="00E23BC1"/>
    <w:rsid w:val="00E23F2E"/>
    <w:rsid w:val="00E3029B"/>
    <w:rsid w:val="00E31784"/>
    <w:rsid w:val="00E31969"/>
    <w:rsid w:val="00E32B6F"/>
    <w:rsid w:val="00E33307"/>
    <w:rsid w:val="00E34F4A"/>
    <w:rsid w:val="00E36824"/>
    <w:rsid w:val="00E37781"/>
    <w:rsid w:val="00E3781D"/>
    <w:rsid w:val="00E40DA5"/>
    <w:rsid w:val="00E4117F"/>
    <w:rsid w:val="00E42D16"/>
    <w:rsid w:val="00E433A6"/>
    <w:rsid w:val="00E45364"/>
    <w:rsid w:val="00E462F4"/>
    <w:rsid w:val="00E47708"/>
    <w:rsid w:val="00E5184C"/>
    <w:rsid w:val="00E52729"/>
    <w:rsid w:val="00E5302A"/>
    <w:rsid w:val="00E5437F"/>
    <w:rsid w:val="00E60756"/>
    <w:rsid w:val="00E61732"/>
    <w:rsid w:val="00E618EE"/>
    <w:rsid w:val="00E62A80"/>
    <w:rsid w:val="00E62C7C"/>
    <w:rsid w:val="00E630C8"/>
    <w:rsid w:val="00E63BE5"/>
    <w:rsid w:val="00E71F35"/>
    <w:rsid w:val="00E71F85"/>
    <w:rsid w:val="00E7274F"/>
    <w:rsid w:val="00E74466"/>
    <w:rsid w:val="00E75177"/>
    <w:rsid w:val="00E76E3B"/>
    <w:rsid w:val="00E81770"/>
    <w:rsid w:val="00E8293E"/>
    <w:rsid w:val="00E830FB"/>
    <w:rsid w:val="00E84599"/>
    <w:rsid w:val="00E87F50"/>
    <w:rsid w:val="00E906AA"/>
    <w:rsid w:val="00E91308"/>
    <w:rsid w:val="00E92328"/>
    <w:rsid w:val="00E94238"/>
    <w:rsid w:val="00E97EBF"/>
    <w:rsid w:val="00EA0682"/>
    <w:rsid w:val="00EA6BB0"/>
    <w:rsid w:val="00EA6E79"/>
    <w:rsid w:val="00EA799E"/>
    <w:rsid w:val="00EA7DBC"/>
    <w:rsid w:val="00EB020D"/>
    <w:rsid w:val="00EB0C15"/>
    <w:rsid w:val="00EB137E"/>
    <w:rsid w:val="00EB642D"/>
    <w:rsid w:val="00EB6DE2"/>
    <w:rsid w:val="00EB71CD"/>
    <w:rsid w:val="00EC083C"/>
    <w:rsid w:val="00EC2B5A"/>
    <w:rsid w:val="00EC3A89"/>
    <w:rsid w:val="00EC5FEC"/>
    <w:rsid w:val="00EC765F"/>
    <w:rsid w:val="00EC771E"/>
    <w:rsid w:val="00EC7B2B"/>
    <w:rsid w:val="00EC7EAE"/>
    <w:rsid w:val="00ED0658"/>
    <w:rsid w:val="00ED1D12"/>
    <w:rsid w:val="00ED27C5"/>
    <w:rsid w:val="00ED298C"/>
    <w:rsid w:val="00ED3580"/>
    <w:rsid w:val="00ED434D"/>
    <w:rsid w:val="00ED4971"/>
    <w:rsid w:val="00EE0390"/>
    <w:rsid w:val="00EE309F"/>
    <w:rsid w:val="00EE5E73"/>
    <w:rsid w:val="00EE72CA"/>
    <w:rsid w:val="00EF06B2"/>
    <w:rsid w:val="00EF0A91"/>
    <w:rsid w:val="00EF222A"/>
    <w:rsid w:val="00EF657C"/>
    <w:rsid w:val="00EF6853"/>
    <w:rsid w:val="00EF7339"/>
    <w:rsid w:val="00EF7590"/>
    <w:rsid w:val="00EF7D25"/>
    <w:rsid w:val="00F0118F"/>
    <w:rsid w:val="00F01533"/>
    <w:rsid w:val="00F01970"/>
    <w:rsid w:val="00F03290"/>
    <w:rsid w:val="00F03763"/>
    <w:rsid w:val="00F05BC7"/>
    <w:rsid w:val="00F123AC"/>
    <w:rsid w:val="00F13F0B"/>
    <w:rsid w:val="00F14FE7"/>
    <w:rsid w:val="00F155E9"/>
    <w:rsid w:val="00F15A5A"/>
    <w:rsid w:val="00F15D52"/>
    <w:rsid w:val="00F20F4C"/>
    <w:rsid w:val="00F2154C"/>
    <w:rsid w:val="00F21661"/>
    <w:rsid w:val="00F22E32"/>
    <w:rsid w:val="00F24A95"/>
    <w:rsid w:val="00F26404"/>
    <w:rsid w:val="00F2733E"/>
    <w:rsid w:val="00F30382"/>
    <w:rsid w:val="00F32BE0"/>
    <w:rsid w:val="00F33248"/>
    <w:rsid w:val="00F3358C"/>
    <w:rsid w:val="00F335CC"/>
    <w:rsid w:val="00F349EA"/>
    <w:rsid w:val="00F34ED4"/>
    <w:rsid w:val="00F35BBB"/>
    <w:rsid w:val="00F40910"/>
    <w:rsid w:val="00F4353F"/>
    <w:rsid w:val="00F43F85"/>
    <w:rsid w:val="00F463BE"/>
    <w:rsid w:val="00F470AB"/>
    <w:rsid w:val="00F50C71"/>
    <w:rsid w:val="00F51BAC"/>
    <w:rsid w:val="00F524ED"/>
    <w:rsid w:val="00F52519"/>
    <w:rsid w:val="00F529E1"/>
    <w:rsid w:val="00F5369F"/>
    <w:rsid w:val="00F54F8B"/>
    <w:rsid w:val="00F5796F"/>
    <w:rsid w:val="00F57B7C"/>
    <w:rsid w:val="00F601C9"/>
    <w:rsid w:val="00F61B5F"/>
    <w:rsid w:val="00F622F4"/>
    <w:rsid w:val="00F63006"/>
    <w:rsid w:val="00F63450"/>
    <w:rsid w:val="00F64840"/>
    <w:rsid w:val="00F664C7"/>
    <w:rsid w:val="00F6709F"/>
    <w:rsid w:val="00F72295"/>
    <w:rsid w:val="00F723D5"/>
    <w:rsid w:val="00F7334F"/>
    <w:rsid w:val="00F751F8"/>
    <w:rsid w:val="00F769F7"/>
    <w:rsid w:val="00F77786"/>
    <w:rsid w:val="00F8198E"/>
    <w:rsid w:val="00F823E9"/>
    <w:rsid w:val="00F849F8"/>
    <w:rsid w:val="00F84C3B"/>
    <w:rsid w:val="00F86A38"/>
    <w:rsid w:val="00F911C1"/>
    <w:rsid w:val="00F931A6"/>
    <w:rsid w:val="00F93C14"/>
    <w:rsid w:val="00F964ED"/>
    <w:rsid w:val="00F97405"/>
    <w:rsid w:val="00F97BDB"/>
    <w:rsid w:val="00F97E8B"/>
    <w:rsid w:val="00FA0218"/>
    <w:rsid w:val="00FA0456"/>
    <w:rsid w:val="00FA11EC"/>
    <w:rsid w:val="00FA1357"/>
    <w:rsid w:val="00FA37F0"/>
    <w:rsid w:val="00FA535C"/>
    <w:rsid w:val="00FA5859"/>
    <w:rsid w:val="00FA5AE3"/>
    <w:rsid w:val="00FA778D"/>
    <w:rsid w:val="00FA7939"/>
    <w:rsid w:val="00FB1B44"/>
    <w:rsid w:val="00FB62E2"/>
    <w:rsid w:val="00FB6A91"/>
    <w:rsid w:val="00FB71FF"/>
    <w:rsid w:val="00FC0CB9"/>
    <w:rsid w:val="00FC2823"/>
    <w:rsid w:val="00FC3066"/>
    <w:rsid w:val="00FC30E1"/>
    <w:rsid w:val="00FC3EBF"/>
    <w:rsid w:val="00FC42C3"/>
    <w:rsid w:val="00FC5AF3"/>
    <w:rsid w:val="00FC6F3E"/>
    <w:rsid w:val="00FD1C60"/>
    <w:rsid w:val="00FD1F28"/>
    <w:rsid w:val="00FD27AE"/>
    <w:rsid w:val="00FD27F1"/>
    <w:rsid w:val="00FD2F5D"/>
    <w:rsid w:val="00FD304D"/>
    <w:rsid w:val="00FD438A"/>
    <w:rsid w:val="00FD525F"/>
    <w:rsid w:val="00FD7D28"/>
    <w:rsid w:val="00FE2413"/>
    <w:rsid w:val="00FE2E81"/>
    <w:rsid w:val="00FE3170"/>
    <w:rsid w:val="00FE543F"/>
    <w:rsid w:val="00FE7392"/>
    <w:rsid w:val="00FE754C"/>
    <w:rsid w:val="00FE7B6D"/>
    <w:rsid w:val="00FF0212"/>
    <w:rsid w:val="00FF2FF4"/>
    <w:rsid w:val="00FF6E8C"/>
    <w:rsid w:val="00FF72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59FD1"/>
  <w15:chartTrackingRefBased/>
  <w15:docId w15:val="{07540385-6A39-4D13-8274-8958957E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7C"/>
    <w:pPr>
      <w:widowControl w:val="0"/>
      <w:tabs>
        <w:tab w:val="left" w:pos="360"/>
        <w:tab w:val="left" w:pos="720"/>
        <w:tab w:val="left" w:pos="1440"/>
        <w:tab w:val="left" w:pos="1800"/>
        <w:tab w:val="left" w:pos="4680"/>
      </w:tabs>
      <w:autoSpaceDE w:val="0"/>
      <w:autoSpaceDN w:val="0"/>
      <w:adjustRightInd w:val="0"/>
      <w:spacing w:line="252" w:lineRule="auto"/>
    </w:pPr>
    <w:rPr>
      <w:rFonts w:ascii="Times New Roman" w:hAnsi="Times New Roman"/>
      <w:spacing w:val="-3"/>
      <w:sz w:val="26"/>
      <w:szCs w:val="24"/>
    </w:rPr>
  </w:style>
  <w:style w:type="paragraph" w:styleId="Heading1">
    <w:name w:val="heading 1"/>
    <w:basedOn w:val="Normal"/>
    <w:next w:val="Normal"/>
    <w:link w:val="Heading1Char"/>
    <w:uiPriority w:val="9"/>
    <w:qFormat/>
    <w:rsid w:val="00613551"/>
    <w:pPr>
      <w:keepNext/>
      <w:spacing w:before="240" w:after="60"/>
      <w:outlineLvl w:val="0"/>
    </w:pPr>
    <w:rPr>
      <w:rFonts w:ascii="Cambria" w:hAnsi="Cambria" w:cs="Times New Roman"/>
      <w:b/>
      <w:bCs/>
      <w:spacing w:val="0"/>
      <w:kern w:val="32"/>
      <w:sz w:val="32"/>
      <w:szCs w:val="32"/>
    </w:rPr>
  </w:style>
  <w:style w:type="paragraph" w:styleId="Heading2">
    <w:name w:val="heading 2"/>
    <w:basedOn w:val="Normal"/>
    <w:next w:val="Normal"/>
    <w:link w:val="Heading2Char"/>
    <w:uiPriority w:val="9"/>
    <w:semiHidden/>
    <w:unhideWhenUsed/>
    <w:qFormat/>
    <w:rsid w:val="00613551"/>
    <w:pPr>
      <w:keepNext/>
      <w:spacing w:before="240" w:after="60"/>
      <w:outlineLvl w:val="1"/>
    </w:pPr>
    <w:rPr>
      <w:rFonts w:ascii="Cambria" w:hAnsi="Cambria" w:cs="Times New Roman"/>
      <w:b/>
      <w:bCs/>
      <w:i/>
      <w:iCs/>
      <w:spacing w:val="0"/>
      <w:sz w:val="28"/>
      <w:szCs w:val="28"/>
    </w:rPr>
  </w:style>
  <w:style w:type="paragraph" w:styleId="Heading3">
    <w:name w:val="heading 3"/>
    <w:basedOn w:val="Normal"/>
    <w:next w:val="Normal"/>
    <w:link w:val="Heading3Char"/>
    <w:uiPriority w:val="9"/>
    <w:semiHidden/>
    <w:unhideWhenUsed/>
    <w:qFormat/>
    <w:rsid w:val="00613551"/>
    <w:pPr>
      <w:keepNext/>
      <w:spacing w:before="240" w:after="60"/>
      <w:outlineLvl w:val="2"/>
    </w:pPr>
    <w:rPr>
      <w:rFonts w:ascii="Cambria" w:hAnsi="Cambria" w:cs="Times New Roman"/>
      <w:b/>
      <w:bCs/>
      <w:spacing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ourier" w:hAnsi="Courier" w:cs="Times New Roman"/>
      <w:spacing w:val="0"/>
      <w:sz w:val="24"/>
      <w:lang w:val="x-none" w:eastAsia="x-none"/>
    </w:rPr>
  </w:style>
  <w:style w:type="character" w:styleId="PageNumber">
    <w:name w:val="page number"/>
    <w:basedOn w:val="DefaultParagraphFont"/>
  </w:style>
  <w:style w:type="paragraph" w:styleId="Footer">
    <w:name w:val="footer"/>
    <w:basedOn w:val="Normal"/>
    <w:semiHidden/>
    <w:pPr>
      <w:tabs>
        <w:tab w:val="center" w:pos="4320"/>
        <w:tab w:val="right" w:pos="8640"/>
      </w:tabs>
    </w:pPr>
  </w:style>
  <w:style w:type="paragraph" w:styleId="BalloonText">
    <w:name w:val="Balloon Text"/>
    <w:basedOn w:val="Normal"/>
    <w:semiHidden/>
    <w:rsid w:val="0085310D"/>
    <w:rPr>
      <w:rFonts w:ascii="Tahoma" w:hAnsi="Tahoma" w:cs="Tahoma"/>
      <w:sz w:val="16"/>
      <w:szCs w:val="16"/>
    </w:rPr>
  </w:style>
  <w:style w:type="character" w:styleId="LineNumber">
    <w:name w:val="line number"/>
    <w:rsid w:val="006A36D3"/>
    <w:rPr>
      <w:rFonts w:ascii="Arial" w:hAnsi="Arial"/>
      <w:b w:val="0"/>
      <w:i w:val="0"/>
      <w:spacing w:val="0"/>
      <w:position w:val="0"/>
      <w:sz w:val="24"/>
      <w:szCs w:val="24"/>
      <w:bdr w:val="none" w:sz="0" w:space="0" w:color="auto"/>
      <w:lang w:val="en-CA" w:eastAsia="en-US" w:bidi="ar-SA"/>
    </w:rPr>
  </w:style>
  <w:style w:type="character" w:customStyle="1" w:styleId="HeaderChar">
    <w:name w:val="Header Char"/>
    <w:link w:val="Header"/>
    <w:uiPriority w:val="99"/>
    <w:rsid w:val="00742D41"/>
    <w:rPr>
      <w:rFonts w:ascii="Courier" w:hAnsi="Courier"/>
      <w:sz w:val="24"/>
      <w:szCs w:val="24"/>
    </w:rPr>
  </w:style>
  <w:style w:type="paragraph" w:styleId="DocumentMap">
    <w:name w:val="Document Map"/>
    <w:basedOn w:val="Normal"/>
    <w:link w:val="DocumentMapChar"/>
    <w:uiPriority w:val="99"/>
    <w:semiHidden/>
    <w:unhideWhenUsed/>
    <w:rsid w:val="00742D41"/>
    <w:rPr>
      <w:rFonts w:ascii="Tahoma" w:hAnsi="Tahoma" w:cs="Times New Roman"/>
      <w:spacing w:val="0"/>
      <w:sz w:val="16"/>
      <w:szCs w:val="16"/>
      <w:lang w:val="x-none" w:eastAsia="x-none"/>
    </w:rPr>
  </w:style>
  <w:style w:type="character" w:customStyle="1" w:styleId="DocumentMapChar">
    <w:name w:val="Document Map Char"/>
    <w:link w:val="DocumentMap"/>
    <w:uiPriority w:val="99"/>
    <w:semiHidden/>
    <w:rsid w:val="00742D41"/>
    <w:rPr>
      <w:rFonts w:ascii="Tahoma" w:hAnsi="Tahoma" w:cs="Tahoma"/>
      <w:sz w:val="16"/>
      <w:szCs w:val="16"/>
    </w:rPr>
  </w:style>
  <w:style w:type="paragraph" w:customStyle="1" w:styleId="Legal">
    <w:name w:val="Legal"/>
    <w:next w:val="NoSpacing"/>
    <w:link w:val="LegalChar"/>
    <w:autoRedefine/>
    <w:qFormat/>
    <w:rsid w:val="009D1B01"/>
    <w:pPr>
      <w:widowControl w:val="0"/>
      <w:tabs>
        <w:tab w:val="left" w:pos="1620"/>
        <w:tab w:val="left" w:pos="2520"/>
      </w:tabs>
      <w:spacing w:line="211" w:lineRule="auto"/>
      <w:ind w:left="547" w:right="720"/>
    </w:pPr>
    <w:rPr>
      <w:rFonts w:cs="Times New Roman"/>
      <w:spacing w:val="-3"/>
      <w:sz w:val="24"/>
      <w:szCs w:val="24"/>
      <w:lang w:val="en-CA"/>
    </w:rPr>
  </w:style>
  <w:style w:type="paragraph" w:customStyle="1" w:styleId="QuesQ">
    <w:name w:val="Ques_Q"/>
    <w:basedOn w:val="Normal"/>
    <w:next w:val="Coll"/>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en-CA"/>
    </w:rPr>
  </w:style>
  <w:style w:type="paragraph" w:styleId="NoSpacing">
    <w:name w:val="No Spacing"/>
    <w:uiPriority w:val="1"/>
    <w:qFormat/>
    <w:rsid w:val="001037FF"/>
    <w:pPr>
      <w:widowControl w:val="0"/>
      <w:autoSpaceDE w:val="0"/>
      <w:autoSpaceDN w:val="0"/>
      <w:adjustRightInd w:val="0"/>
    </w:pPr>
    <w:rPr>
      <w:rFonts w:ascii="Courier" w:hAnsi="Courier"/>
      <w:spacing w:val="-3"/>
      <w:sz w:val="24"/>
      <w:szCs w:val="24"/>
    </w:rPr>
  </w:style>
  <w:style w:type="paragraph" w:customStyle="1" w:styleId="WitA">
    <w:name w:val="Wit_A"/>
    <w:basedOn w:val="QuesQ"/>
    <w:next w:val="Coll"/>
    <w:autoRedefine/>
    <w:qFormat/>
    <w:rsid w:val="00DF5538"/>
  </w:style>
  <w:style w:type="paragraph" w:customStyle="1" w:styleId="Coll">
    <w:name w:val="Coll"/>
    <w:basedOn w:val="Normal"/>
    <w:link w:val="CollChar"/>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x-none" w:eastAsia="x-none"/>
    </w:rPr>
  </w:style>
  <w:style w:type="table" w:styleId="TableGrid">
    <w:name w:val="Table Grid"/>
    <w:basedOn w:val="TableNormal"/>
    <w:uiPriority w:val="59"/>
    <w:rsid w:val="008360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Lwname">
    <w:name w:val="Ques_L_w_name"/>
    <w:basedOn w:val="Coll"/>
    <w:link w:val="QuesLwnameChar"/>
    <w:autoRedefine/>
    <w:qFormat/>
    <w:rsid w:val="006A36D3"/>
  </w:style>
  <w:style w:type="paragraph" w:customStyle="1" w:styleId="UT">
    <w:name w:val="UT"/>
    <w:basedOn w:val="Legal"/>
    <w:link w:val="UTChar"/>
    <w:qFormat/>
    <w:rsid w:val="006E599A"/>
    <w:pPr>
      <w:ind w:left="540"/>
    </w:pPr>
  </w:style>
  <w:style w:type="character" w:customStyle="1" w:styleId="CollChar">
    <w:name w:val="Coll Char"/>
    <w:link w:val="Coll"/>
    <w:rsid w:val="00DF5538"/>
    <w:rPr>
      <w:rFonts w:ascii="Arial" w:hAnsi="Arial" w:cs="Arial"/>
      <w:spacing w:val="-3"/>
      <w:sz w:val="24"/>
      <w:szCs w:val="24"/>
      <w:lang w:val="x-none" w:eastAsia="x-none"/>
    </w:rPr>
  </w:style>
  <w:style w:type="character" w:customStyle="1" w:styleId="QuesLwnameChar">
    <w:name w:val="Ques_L_w_name Char"/>
    <w:link w:val="QuesLwname"/>
    <w:rsid w:val="00F15D52"/>
    <w:rPr>
      <w:rFonts w:ascii="Arial" w:hAnsi="Arial" w:cs="Arial"/>
      <w:spacing w:val="-3"/>
      <w:sz w:val="24"/>
      <w:szCs w:val="24"/>
      <w:lang w:val="x-none" w:eastAsia="x-none"/>
    </w:rPr>
  </w:style>
  <w:style w:type="paragraph" w:customStyle="1" w:styleId="UA">
    <w:name w:val="UA"/>
    <w:basedOn w:val="Legal"/>
    <w:link w:val="UAChar"/>
    <w:qFormat/>
    <w:rsid w:val="00DC38C1"/>
    <w:pPr>
      <w:ind w:left="540"/>
    </w:pPr>
  </w:style>
  <w:style w:type="character" w:customStyle="1" w:styleId="LegalChar">
    <w:name w:val="Legal Char"/>
    <w:link w:val="Legal"/>
    <w:rsid w:val="009D1B01"/>
    <w:rPr>
      <w:rFonts w:cs="Times New Roman"/>
      <w:spacing w:val="-3"/>
      <w:sz w:val="24"/>
      <w:szCs w:val="24"/>
      <w:lang w:val="en-CA" w:bidi="ar-SA"/>
    </w:rPr>
  </w:style>
  <w:style w:type="character" w:customStyle="1" w:styleId="UTChar">
    <w:name w:val="UT Char"/>
    <w:link w:val="UT"/>
    <w:rsid w:val="006E599A"/>
    <w:rPr>
      <w:rFonts w:cs="Times New Roman"/>
      <w:spacing w:val="-3"/>
      <w:sz w:val="24"/>
      <w:szCs w:val="24"/>
      <w:lang w:val="en-CA" w:bidi="ar-SA"/>
    </w:rPr>
  </w:style>
  <w:style w:type="paragraph" w:customStyle="1" w:styleId="REF">
    <w:name w:val="REF"/>
    <w:basedOn w:val="Legal"/>
    <w:link w:val="REFChar"/>
    <w:qFormat/>
    <w:rsid w:val="006E599A"/>
    <w:pPr>
      <w:ind w:left="540"/>
    </w:pPr>
  </w:style>
  <w:style w:type="character" w:customStyle="1" w:styleId="UAChar">
    <w:name w:val="UA Char"/>
    <w:link w:val="UA"/>
    <w:rsid w:val="00DC38C1"/>
    <w:rPr>
      <w:rFonts w:cs="Times New Roman"/>
      <w:spacing w:val="-3"/>
      <w:sz w:val="24"/>
      <w:szCs w:val="24"/>
      <w:lang w:val="en-CA" w:bidi="ar-SA"/>
    </w:rPr>
  </w:style>
  <w:style w:type="paragraph" w:customStyle="1" w:styleId="EX">
    <w:name w:val="EX"/>
    <w:basedOn w:val="Normal"/>
    <w:link w:val="EXChar"/>
    <w:qFormat/>
    <w:rsid w:val="0070434E"/>
    <w:pPr>
      <w:spacing w:line="396" w:lineRule="auto"/>
      <w:ind w:left="720"/>
    </w:pPr>
    <w:rPr>
      <w:rFonts w:ascii="Arial" w:hAnsi="Arial" w:cs="Arial"/>
      <w:b/>
      <w:sz w:val="24"/>
    </w:rPr>
  </w:style>
  <w:style w:type="character" w:customStyle="1" w:styleId="REFChar">
    <w:name w:val="REF Char"/>
    <w:link w:val="REF"/>
    <w:rsid w:val="006E599A"/>
    <w:rPr>
      <w:rFonts w:cs="Times New Roman"/>
      <w:spacing w:val="-3"/>
      <w:sz w:val="24"/>
      <w:szCs w:val="24"/>
      <w:lang w:val="en-CA" w:bidi="ar-SA"/>
    </w:rPr>
  </w:style>
  <w:style w:type="character" w:customStyle="1" w:styleId="Heading1Char">
    <w:name w:val="Heading 1 Char"/>
    <w:link w:val="Heading1"/>
    <w:uiPriority w:val="9"/>
    <w:rsid w:val="00613551"/>
    <w:rPr>
      <w:rFonts w:ascii="Cambria" w:eastAsia="Times New Roman" w:hAnsi="Cambria" w:cs="Times New Roman"/>
      <w:b/>
      <w:bCs/>
      <w:kern w:val="32"/>
      <w:sz w:val="32"/>
      <w:szCs w:val="32"/>
      <w:lang w:val="en-US" w:eastAsia="en-US"/>
    </w:rPr>
  </w:style>
  <w:style w:type="character" w:customStyle="1" w:styleId="EXChar">
    <w:name w:val="EX Char"/>
    <w:link w:val="EX"/>
    <w:rsid w:val="0070434E"/>
    <w:rPr>
      <w:rFonts w:ascii="Arial" w:hAnsi="Arial" w:cs="Arial"/>
      <w:b/>
      <w:spacing w:val="-3"/>
      <w:sz w:val="24"/>
      <w:szCs w:val="24"/>
    </w:rPr>
  </w:style>
  <w:style w:type="character" w:customStyle="1" w:styleId="Heading2Char">
    <w:name w:val="Heading 2 Char"/>
    <w:link w:val="Heading2"/>
    <w:uiPriority w:val="9"/>
    <w:semiHidden/>
    <w:rsid w:val="00613551"/>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613551"/>
    <w:rPr>
      <w:rFonts w:ascii="Cambria" w:eastAsia="Times New Roman" w:hAnsi="Cambria" w:cs="Times New Roman"/>
      <w:b/>
      <w:bCs/>
      <w:sz w:val="26"/>
      <w:szCs w:val="26"/>
      <w:lang w:val="en-US" w:eastAsia="en-US"/>
    </w:rPr>
  </w:style>
  <w:style w:type="character" w:styleId="Hyperlink">
    <w:name w:val="Hyperlink"/>
    <w:uiPriority w:val="99"/>
    <w:unhideWhenUsed/>
    <w:rsid w:val="00613551"/>
    <w:rPr>
      <w:color w:val="0000FF"/>
      <w:u w:val="single"/>
    </w:rPr>
  </w:style>
  <w:style w:type="paragraph" w:styleId="TOC1">
    <w:name w:val="toc 1"/>
    <w:basedOn w:val="Legal"/>
    <w:next w:val="Normal"/>
    <w:autoRedefine/>
    <w:uiPriority w:val="39"/>
    <w:unhideWhenUsed/>
    <w:rsid w:val="005C2E27"/>
    <w:pPr>
      <w:tabs>
        <w:tab w:val="clear" w:pos="1620"/>
        <w:tab w:val="clear" w:pos="2520"/>
        <w:tab w:val="right" w:pos="9360"/>
      </w:tabs>
      <w:spacing w:line="252" w:lineRule="auto"/>
      <w:ind w:left="0" w:right="0"/>
    </w:pPr>
    <w:rPr>
      <w:rFonts w:ascii="Times New Roman" w:hAnsi="Times New Roman"/>
      <w:sz w:val="26"/>
    </w:rPr>
  </w:style>
  <w:style w:type="paragraph" w:customStyle="1" w:styleId="IOP">
    <w:name w:val="IOP"/>
    <w:link w:val="IOPChar"/>
    <w:qFormat/>
    <w:rsid w:val="000C3B78"/>
    <w:pPr>
      <w:spacing w:line="396" w:lineRule="auto"/>
      <w:ind w:left="720"/>
      <w:outlineLvl w:val="0"/>
    </w:pPr>
    <w:rPr>
      <w:rFonts w:ascii="Arial" w:hAnsi="Arial" w:cs="Arial"/>
      <w:spacing w:val="-3"/>
      <w:sz w:val="24"/>
      <w:szCs w:val="24"/>
      <w:lang w:val="en-CA" w:eastAsia="en-CA"/>
    </w:rPr>
  </w:style>
  <w:style w:type="paragraph" w:customStyle="1" w:styleId="OTR">
    <w:name w:val="OTR"/>
    <w:basedOn w:val="Normal"/>
    <w:link w:val="OTRChar"/>
    <w:qFormat/>
    <w:rsid w:val="00243023"/>
    <w:pPr>
      <w:tabs>
        <w:tab w:val="clear" w:pos="360"/>
        <w:tab w:val="clear" w:pos="720"/>
        <w:tab w:val="clear" w:pos="1440"/>
        <w:tab w:val="clear" w:pos="1800"/>
        <w:tab w:val="clear" w:pos="4680"/>
      </w:tabs>
      <w:spacing w:line="396" w:lineRule="auto"/>
      <w:ind w:left="720"/>
    </w:pPr>
    <w:rPr>
      <w:rFonts w:ascii="Arial" w:hAnsi="Arial"/>
      <w:b/>
      <w:sz w:val="24"/>
    </w:rPr>
  </w:style>
  <w:style w:type="character" w:customStyle="1" w:styleId="IOPChar">
    <w:name w:val="IOP Char"/>
    <w:link w:val="IOP"/>
    <w:rsid w:val="000C3B78"/>
    <w:rPr>
      <w:rFonts w:ascii="Arial" w:hAnsi="Arial" w:cs="Arial"/>
      <w:spacing w:val="-3"/>
      <w:sz w:val="24"/>
      <w:szCs w:val="24"/>
      <w:lang w:val="x-none" w:eastAsia="x-none"/>
    </w:rPr>
  </w:style>
  <w:style w:type="paragraph" w:customStyle="1" w:styleId="WitIntro">
    <w:name w:val="Wit_Intro"/>
    <w:basedOn w:val="Normal"/>
    <w:link w:val="WitIntroChar"/>
    <w:qFormat/>
    <w:rsid w:val="003E1CA2"/>
    <w:pPr>
      <w:tabs>
        <w:tab w:val="right" w:pos="8928"/>
      </w:tabs>
    </w:pPr>
    <w:rPr>
      <w:rFonts w:cs="Times New Roman"/>
      <w:b/>
      <w:szCs w:val="26"/>
      <w:lang w:val="x-none" w:eastAsia="x-none"/>
    </w:rPr>
  </w:style>
  <w:style w:type="character" w:customStyle="1" w:styleId="OTRChar">
    <w:name w:val="OTR Char"/>
    <w:link w:val="OTR"/>
    <w:rsid w:val="00243023"/>
    <w:rPr>
      <w:rFonts w:ascii="Arial" w:hAnsi="Arial"/>
      <w:b/>
      <w:spacing w:val="-3"/>
      <w:sz w:val="24"/>
      <w:szCs w:val="24"/>
    </w:rPr>
  </w:style>
  <w:style w:type="character" w:customStyle="1" w:styleId="WitIntroChar">
    <w:name w:val="Wit_Intro Char"/>
    <w:link w:val="WitIntro"/>
    <w:rsid w:val="003E1CA2"/>
    <w:rPr>
      <w:rFonts w:ascii="Times New Roman" w:hAnsi="Times New Roman" w:cs="Times New Roman"/>
      <w:b/>
      <w:spacing w:val="-3"/>
      <w:sz w:val="26"/>
      <w:szCs w:val="26"/>
      <w:lang w:eastAsia="x-none"/>
    </w:rPr>
  </w:style>
  <w:style w:type="character" w:styleId="CommentReference">
    <w:name w:val="annotation reference"/>
    <w:uiPriority w:val="99"/>
    <w:semiHidden/>
    <w:unhideWhenUsed/>
    <w:rsid w:val="00EF7339"/>
    <w:rPr>
      <w:sz w:val="16"/>
      <w:szCs w:val="16"/>
    </w:rPr>
  </w:style>
  <w:style w:type="paragraph" w:styleId="CommentText">
    <w:name w:val="annotation text"/>
    <w:basedOn w:val="Normal"/>
    <w:link w:val="CommentTextChar"/>
    <w:uiPriority w:val="99"/>
    <w:semiHidden/>
    <w:unhideWhenUsed/>
    <w:rsid w:val="00EF7339"/>
    <w:rPr>
      <w:rFonts w:ascii="Courier" w:hAnsi="Courier" w:cs="Times New Roman"/>
      <w:sz w:val="20"/>
      <w:szCs w:val="20"/>
      <w:lang w:val="x-none" w:eastAsia="x-none"/>
    </w:rPr>
  </w:style>
  <w:style w:type="character" w:customStyle="1" w:styleId="CommentTextChar">
    <w:name w:val="Comment Text Char"/>
    <w:link w:val="CommentText"/>
    <w:uiPriority w:val="99"/>
    <w:semiHidden/>
    <w:rsid w:val="00EF7339"/>
    <w:rPr>
      <w:rFonts w:ascii="Courier" w:hAnsi="Courier"/>
      <w:spacing w:val="-3"/>
    </w:rPr>
  </w:style>
  <w:style w:type="paragraph" w:styleId="CommentSubject">
    <w:name w:val="annotation subject"/>
    <w:basedOn w:val="CommentText"/>
    <w:next w:val="CommentText"/>
    <w:link w:val="CommentSubjectChar"/>
    <w:uiPriority w:val="99"/>
    <w:semiHidden/>
    <w:unhideWhenUsed/>
    <w:rsid w:val="002F68DD"/>
    <w:rPr>
      <w:b/>
      <w:bCs/>
    </w:rPr>
  </w:style>
  <w:style w:type="character" w:customStyle="1" w:styleId="CommentSubjectChar">
    <w:name w:val="Comment Subject Char"/>
    <w:link w:val="CommentSubject"/>
    <w:uiPriority w:val="99"/>
    <w:semiHidden/>
    <w:rsid w:val="002F68DD"/>
    <w:rPr>
      <w:rFonts w:ascii="Courier" w:hAnsi="Courier"/>
      <w:b/>
      <w:bCs/>
      <w:spacing w:val="-3"/>
    </w:rPr>
  </w:style>
  <w:style w:type="paragraph" w:customStyle="1" w:styleId="Index">
    <w:name w:val="Index"/>
    <w:qFormat/>
    <w:rsid w:val="00EA6E79"/>
    <w:pPr>
      <w:tabs>
        <w:tab w:val="left" w:pos="360"/>
        <w:tab w:val="left" w:pos="720"/>
        <w:tab w:val="left" w:pos="1440"/>
        <w:tab w:val="left" w:pos="1800"/>
        <w:tab w:val="left" w:pos="2160"/>
        <w:tab w:val="left" w:pos="4680"/>
        <w:tab w:val="right" w:pos="9360"/>
      </w:tabs>
      <w:spacing w:line="252" w:lineRule="auto"/>
    </w:pPr>
    <w:rPr>
      <w:rFonts w:ascii="Times New Roman" w:hAnsi="Times New Roman" w:cs="Times New Roman"/>
      <w:color w:val="000000"/>
      <w:sz w:val="26"/>
      <w:lang w:val="en-CA" w:eastAsia="en-CA"/>
    </w:rPr>
  </w:style>
  <w:style w:type="paragraph" w:customStyle="1" w:styleId="Preamble">
    <w:name w:val="Preamble"/>
    <w:basedOn w:val="Normal"/>
    <w:qFormat/>
    <w:rsid w:val="00032904"/>
    <w:pPr>
      <w:tabs>
        <w:tab w:val="clear" w:pos="360"/>
        <w:tab w:val="clear" w:pos="720"/>
        <w:tab w:val="clear" w:pos="1440"/>
        <w:tab w:val="clear" w:pos="1800"/>
      </w:tabs>
    </w:pPr>
  </w:style>
  <w:style w:type="paragraph" w:customStyle="1" w:styleId="Indextitle">
    <w:name w:val="Index_title"/>
    <w:basedOn w:val="Normal"/>
    <w:qFormat/>
    <w:rsid w:val="005E0089"/>
    <w:pPr>
      <w:tabs>
        <w:tab w:val="left" w:pos="900"/>
        <w:tab w:val="right" w:pos="8640"/>
      </w:tabs>
      <w:autoSpaceDE/>
      <w:autoSpaceDN/>
      <w:adjustRightInd/>
      <w:ind w:left="720" w:hanging="720"/>
      <w:jc w:val="center"/>
    </w:pPr>
    <w:rPr>
      <w:rFonts w:cs="Times New Roman"/>
      <w:b/>
      <w:color w:val="000000"/>
      <w:spacing w:val="0"/>
      <w:szCs w:val="20"/>
      <w:lang w:val="en-CA" w:eastAsia="en-CA"/>
    </w:rPr>
  </w:style>
  <w:style w:type="paragraph" w:styleId="IntenseQuote">
    <w:name w:val="Intense Quote"/>
    <w:basedOn w:val="Normal"/>
    <w:next w:val="Normal"/>
    <w:link w:val="IntenseQuoteChar"/>
    <w:uiPriority w:val="30"/>
    <w:qFormat/>
    <w:rsid w:val="00856EB2"/>
    <w:pPr>
      <w:pBdr>
        <w:bottom w:val="single" w:sz="4" w:space="4" w:color="4F81BD"/>
      </w:pBdr>
      <w:spacing w:before="200" w:after="280"/>
      <w:ind w:left="936" w:right="936"/>
    </w:pPr>
    <w:rPr>
      <w:b/>
      <w:bCs/>
      <w:i/>
      <w:iCs/>
      <w:color w:val="4F81BD"/>
    </w:rPr>
  </w:style>
  <w:style w:type="paragraph" w:customStyle="1" w:styleId="Quote1">
    <w:name w:val="Quote1"/>
    <w:basedOn w:val="Coll"/>
    <w:qFormat/>
    <w:rsid w:val="00691DFC"/>
    <w:pPr>
      <w:tabs>
        <w:tab w:val="clear" w:pos="1440"/>
        <w:tab w:val="left" w:pos="2160"/>
      </w:tabs>
      <w:ind w:left="2160" w:firstLine="0"/>
    </w:pPr>
  </w:style>
  <w:style w:type="paragraph" w:customStyle="1" w:styleId="unquote">
    <w:name w:val="unquote"/>
    <w:basedOn w:val="Coll"/>
    <w:qFormat/>
    <w:rsid w:val="00261136"/>
    <w:pPr>
      <w:ind w:firstLine="0"/>
    </w:pPr>
  </w:style>
  <w:style w:type="character" w:customStyle="1" w:styleId="IntenseQuoteChar">
    <w:name w:val="Intense Quote Char"/>
    <w:link w:val="IntenseQuote"/>
    <w:uiPriority w:val="30"/>
    <w:rsid w:val="00856EB2"/>
    <w:rPr>
      <w:rFonts w:ascii="Times New Roman" w:hAnsi="Times New Roman"/>
      <w:b/>
      <w:bCs/>
      <w:i/>
      <w:iCs/>
      <w:color w:val="4F81BD"/>
      <w:spacing w:val="-3"/>
      <w:sz w:val="26"/>
      <w:szCs w:val="24"/>
      <w:lang w:val="en-US" w:eastAsia="en-US"/>
    </w:rPr>
  </w:style>
  <w:style w:type="paragraph" w:customStyle="1" w:styleId="Para">
    <w:name w:val="Para"/>
    <w:basedOn w:val="Quote1"/>
    <w:next w:val="Normal"/>
    <w:qFormat/>
    <w:rsid w:val="00920F79"/>
    <w:pPr>
      <w:tabs>
        <w:tab w:val="clear" w:pos="2160"/>
      </w:tabs>
      <w:ind w:left="1440" w:firstLine="720"/>
    </w:pPr>
    <w:rPr>
      <w:lang w:val="en-US"/>
    </w:rPr>
  </w:style>
  <w:style w:type="paragraph" w:customStyle="1" w:styleId="SessionTime">
    <w:name w:val="SessionTime"/>
    <w:basedOn w:val="Preamble"/>
    <w:next w:val="Preamble"/>
    <w:qFormat/>
    <w:rsid w:val="0079432C"/>
  </w:style>
  <w:style w:type="paragraph" w:customStyle="1" w:styleId="ProcEnd">
    <w:name w:val="ProcEnd"/>
    <w:basedOn w:val="Normal"/>
    <w:qFormat/>
    <w:rsid w:val="00A15459"/>
  </w:style>
  <w:style w:type="paragraph" w:customStyle="1" w:styleId="WitExcused">
    <w:name w:val="Wit_Excused"/>
    <w:basedOn w:val="WitIntro"/>
    <w:qFormat/>
    <w:rsid w:val="003B054A"/>
    <w:pPr>
      <w:tabs>
        <w:tab w:val="clear" w:pos="360"/>
        <w:tab w:val="clear" w:pos="720"/>
        <w:tab w:val="clear" w:pos="1440"/>
        <w:tab w:val="clear" w:pos="1800"/>
        <w:tab w:val="clear" w:pos="4680"/>
      </w:tabs>
      <w:spacing w:line="396" w:lineRule="auto"/>
      <w:ind w:left="720"/>
    </w:pPr>
    <w:rPr>
      <w:rFonts w:ascii="Arial" w:hAnsi="Arial"/>
      <w:b w:val="0"/>
      <w:sz w:val="24"/>
    </w:rPr>
  </w:style>
  <w:style w:type="paragraph" w:customStyle="1" w:styleId="Default">
    <w:name w:val="Default"/>
    <w:rsid w:val="00805D5C"/>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7A4886"/>
    <w:rPr>
      <w:rFonts w:ascii="Times New Roman" w:hAnsi="Times New Roman"/>
      <w:spacing w:val="-3"/>
      <w:sz w:val="26"/>
      <w:szCs w:val="24"/>
    </w:rPr>
  </w:style>
  <w:style w:type="paragraph" w:customStyle="1" w:styleId="NewExam">
    <w:name w:val="New Exam"/>
    <w:basedOn w:val="IOP"/>
    <w:qFormat/>
    <w:rsid w:val="00440214"/>
    <w:rPr>
      <w:b/>
      <w:u w:val="single"/>
    </w:rPr>
  </w:style>
  <w:style w:type="paragraph" w:customStyle="1" w:styleId="quotelevel2">
    <w:name w:val="quote_level2"/>
    <w:basedOn w:val="Quote1"/>
    <w:qFormat/>
    <w:rsid w:val="005211D4"/>
    <w:pPr>
      <w:tabs>
        <w:tab w:val="clear" w:pos="2160"/>
        <w:tab w:val="left" w:pos="2880"/>
      </w:tabs>
      <w:ind w:left="2880"/>
    </w:pPr>
  </w:style>
  <w:style w:type="character" w:styleId="UnresolvedMention">
    <w:name w:val="Unresolved Mention"/>
    <w:uiPriority w:val="99"/>
    <w:semiHidden/>
    <w:unhideWhenUsed/>
    <w:rsid w:val="00706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806">
      <w:bodyDiv w:val="1"/>
      <w:marLeft w:val="0"/>
      <w:marRight w:val="0"/>
      <w:marTop w:val="0"/>
      <w:marBottom w:val="0"/>
      <w:divBdr>
        <w:top w:val="none" w:sz="0" w:space="0" w:color="auto"/>
        <w:left w:val="none" w:sz="0" w:space="0" w:color="auto"/>
        <w:bottom w:val="none" w:sz="0" w:space="0" w:color="auto"/>
        <w:right w:val="none" w:sz="0" w:space="0" w:color="auto"/>
      </w:divBdr>
    </w:div>
    <w:div w:id="401681026">
      <w:bodyDiv w:val="1"/>
      <w:marLeft w:val="0"/>
      <w:marRight w:val="0"/>
      <w:marTop w:val="0"/>
      <w:marBottom w:val="0"/>
      <w:divBdr>
        <w:top w:val="none" w:sz="0" w:space="0" w:color="auto"/>
        <w:left w:val="none" w:sz="0" w:space="0" w:color="auto"/>
        <w:bottom w:val="none" w:sz="0" w:space="0" w:color="auto"/>
        <w:right w:val="none" w:sz="0" w:space="0" w:color="auto"/>
      </w:divBdr>
    </w:div>
    <w:div w:id="675885563">
      <w:bodyDiv w:val="1"/>
      <w:marLeft w:val="0"/>
      <w:marRight w:val="0"/>
      <w:marTop w:val="0"/>
      <w:marBottom w:val="0"/>
      <w:divBdr>
        <w:top w:val="none" w:sz="0" w:space="0" w:color="auto"/>
        <w:left w:val="none" w:sz="0" w:space="0" w:color="auto"/>
        <w:bottom w:val="none" w:sz="0" w:space="0" w:color="auto"/>
        <w:right w:val="none" w:sz="0" w:space="0" w:color="auto"/>
      </w:divBdr>
    </w:div>
    <w:div w:id="745569996">
      <w:bodyDiv w:val="1"/>
      <w:marLeft w:val="0"/>
      <w:marRight w:val="0"/>
      <w:marTop w:val="0"/>
      <w:marBottom w:val="0"/>
      <w:divBdr>
        <w:top w:val="none" w:sz="0" w:space="0" w:color="auto"/>
        <w:left w:val="none" w:sz="0" w:space="0" w:color="auto"/>
        <w:bottom w:val="none" w:sz="0" w:space="0" w:color="auto"/>
        <w:right w:val="none" w:sz="0" w:space="0" w:color="auto"/>
      </w:divBdr>
    </w:div>
    <w:div w:id="780615193">
      <w:bodyDiv w:val="1"/>
      <w:marLeft w:val="0"/>
      <w:marRight w:val="0"/>
      <w:marTop w:val="0"/>
      <w:marBottom w:val="0"/>
      <w:divBdr>
        <w:top w:val="none" w:sz="0" w:space="0" w:color="auto"/>
        <w:left w:val="none" w:sz="0" w:space="0" w:color="auto"/>
        <w:bottom w:val="none" w:sz="0" w:space="0" w:color="auto"/>
        <w:right w:val="none" w:sz="0" w:space="0" w:color="auto"/>
      </w:divBdr>
    </w:div>
    <w:div w:id="1751467286">
      <w:bodyDiv w:val="1"/>
      <w:marLeft w:val="0"/>
      <w:marRight w:val="0"/>
      <w:marTop w:val="0"/>
      <w:marBottom w:val="0"/>
      <w:divBdr>
        <w:top w:val="none" w:sz="0" w:space="0" w:color="auto"/>
        <w:left w:val="none" w:sz="0" w:space="0" w:color="auto"/>
        <w:bottom w:val="none" w:sz="0" w:space="0" w:color="auto"/>
        <w:right w:val="none" w:sz="0" w:space="0" w:color="auto"/>
      </w:divBdr>
    </w:div>
    <w:div w:id="1911848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_\Downloads\NWT%20-%20Standard%20(1)%20(5)%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61329-5465-427B-8B2B-C48748154A89}">
  <ds:schemaRefs>
    <ds:schemaRef ds:uri="http://schemas.openxmlformats.org/officeDocument/2006/bibliography"/>
  </ds:schemaRefs>
</ds:datastoreItem>
</file>

<file path=customXml/itemProps2.xml><?xml version="1.0" encoding="utf-8"?>
<ds:datastoreItem xmlns:ds="http://schemas.openxmlformats.org/officeDocument/2006/customXml" ds:itemID="{C9E0C3B2-F91A-421A-A16A-51F37FF5C035}">
  <ds:schemaRefs>
    <ds:schemaRef ds:uri="http://schemas.microsoft.com/sharepoint/v3/contenttype/forms"/>
  </ds:schemaRefs>
</ds:datastoreItem>
</file>

<file path=customXml/itemProps3.xml><?xml version="1.0" encoding="utf-8"?>
<ds:datastoreItem xmlns:ds="http://schemas.openxmlformats.org/officeDocument/2006/customXml" ds:itemID="{08FF1814-9840-47FE-A883-1F44FEDDFFD7}">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4.xml><?xml version="1.0" encoding="utf-8"?>
<ds:datastoreItem xmlns:ds="http://schemas.openxmlformats.org/officeDocument/2006/customXml" ds:itemID="{2A3E20D9-47EE-4732-9B53-77476AAA8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NWT - Standard (1) (5) (2).dot</Template>
  <TotalTime>1</TotalTime>
  <Pages>33</Pages>
  <Words>6255</Words>
  <Characters>32272</Characters>
  <Application>Microsoft Office Word</Application>
  <DocSecurity>4</DocSecurity>
  <Lines>268</Lines>
  <Paragraphs>76</Paragraphs>
  <ScaleCrop>false</ScaleCrop>
  <HeadingPairs>
    <vt:vector size="2" baseType="variant">
      <vt:variant>
        <vt:lpstr>Title</vt:lpstr>
      </vt:variant>
      <vt:variant>
        <vt:i4>1</vt:i4>
      </vt:variant>
    </vt:vector>
  </HeadingPairs>
  <TitlesOfParts>
    <vt:vector size="1" baseType="lpstr">
      <vt:lpstr>Court File No</vt:lpstr>
    </vt:vector>
  </TitlesOfParts>
  <Company>eDecree</Company>
  <LinksUpToDate>false</LinksUpToDate>
  <CharactersWithSpaces>38451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File No</dc:title>
  <dc:subject/>
  <dc:creator>joan butticci</dc:creator>
  <cp:keywords/>
  <dc:description/>
  <cp:lastModifiedBy>Heather Kenny</cp:lastModifiedBy>
  <cp:revision>2</cp:revision>
  <cp:lastPrinted>2025-11-21T19:43:00Z</cp:lastPrinted>
  <dcterms:created xsi:type="dcterms:W3CDTF">2025-11-21T19:44:00Z</dcterms:created>
  <dcterms:modified xsi:type="dcterms:W3CDTF">2025-11-21T19:44:00Z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2025-08-07T16:07:29Z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81265baf-76d6-463a-935c-db998aac30b6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0x010100598070878C79D4408E9B8E13FB885CC9</vt:lpwstr>
  </property>
</Properties>
</file>