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CA" w:rsidRDefault="00CE0DCA" w:rsidP="007609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</w:p>
    <w:p w:rsidR="004C54BA" w:rsidRDefault="004C54BA" w:rsidP="007609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A1CE4" w:rsidRDefault="008A1CE4" w:rsidP="005A0B1D">
      <w:pPr>
        <w:tabs>
          <w:tab w:val="right" w:pos="936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5591E">
        <w:rPr>
          <w:rFonts w:ascii="Arial" w:hAnsi="Arial" w:cs="Arial"/>
          <w:b/>
          <w:bCs/>
          <w:color w:val="000000"/>
          <w:sz w:val="18"/>
          <w:szCs w:val="18"/>
        </w:rPr>
        <w:t>EXPEDITED FILING (as provided for in Section 607(c)):</w:t>
      </w:r>
      <w:r w:rsidRPr="00F5591E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entryMacro w:val="InvisibleCommandBar"/>
            <w:checkBox>
              <w:sizeAuto/>
              <w:default w:val="0"/>
              <w:checked w:val="0"/>
            </w:checkBox>
          </w:ffData>
        </w:fldChar>
      </w:r>
      <w:r w:rsidRPr="00F5591E">
        <w:rPr>
          <w:rFonts w:ascii="Arial" w:hAnsi="Arial" w:cs="Arial"/>
          <w:sz w:val="18"/>
          <w:szCs w:val="18"/>
        </w:rPr>
        <w:instrText xml:space="preserve"> FORMCHECKBOX </w:instrText>
      </w:r>
      <w:r w:rsidR="001D6464">
        <w:rPr>
          <w:rFonts w:ascii="Arial" w:hAnsi="Arial" w:cs="Arial"/>
          <w:sz w:val="18"/>
          <w:szCs w:val="18"/>
        </w:rPr>
      </w:r>
      <w:r w:rsidR="001D6464">
        <w:rPr>
          <w:rFonts w:ascii="Arial" w:hAnsi="Arial" w:cs="Arial"/>
          <w:sz w:val="18"/>
          <w:szCs w:val="18"/>
        </w:rPr>
        <w:fldChar w:fldCharType="separate"/>
      </w:r>
      <w:r w:rsidRPr="00F5591E">
        <w:rPr>
          <w:rFonts w:ascii="Arial" w:hAnsi="Arial" w:cs="Arial"/>
          <w:sz w:val="18"/>
          <w:szCs w:val="18"/>
        </w:rPr>
        <w:fldChar w:fldCharType="end"/>
      </w:r>
      <w:r w:rsidR="00CE0DCA">
        <w:rPr>
          <w:rFonts w:ascii="Arial" w:hAnsi="Arial" w:cs="Arial"/>
          <w:sz w:val="18"/>
          <w:szCs w:val="18"/>
        </w:rPr>
        <w:t xml:space="preserve"> </w:t>
      </w:r>
      <w:r w:rsidR="00CE0DCA">
        <w:rPr>
          <w:rFonts w:ascii="Arial" w:hAnsi="Arial" w:cs="Arial"/>
          <w:sz w:val="18"/>
          <w:szCs w:val="18"/>
        </w:rPr>
        <w:tab/>
      </w:r>
      <w:r w:rsidRPr="00F5591E">
        <w:rPr>
          <w:rFonts w:ascii="Arial" w:hAnsi="Arial" w:cs="Arial"/>
          <w:b/>
          <w:bCs/>
          <w:color w:val="000000"/>
          <w:sz w:val="18"/>
          <w:szCs w:val="18"/>
        </w:rPr>
        <w:t>REGULAR FILING:</w:t>
      </w:r>
      <w:r w:rsidRPr="00F5591E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entryMacro w:val="InvisibleCommandBar"/>
            <w:checkBox>
              <w:sizeAuto/>
              <w:default w:val="0"/>
              <w:checked w:val="0"/>
            </w:checkBox>
          </w:ffData>
        </w:fldChar>
      </w:r>
      <w:r w:rsidRPr="00F5591E">
        <w:rPr>
          <w:rFonts w:ascii="Arial" w:hAnsi="Arial" w:cs="Arial"/>
          <w:sz w:val="18"/>
          <w:szCs w:val="18"/>
        </w:rPr>
        <w:instrText xml:space="preserve"> FORMCHECKBOX </w:instrText>
      </w:r>
      <w:r w:rsidR="001D6464">
        <w:rPr>
          <w:rFonts w:ascii="Arial" w:hAnsi="Arial" w:cs="Arial"/>
          <w:sz w:val="18"/>
          <w:szCs w:val="18"/>
        </w:rPr>
      </w:r>
      <w:r w:rsidR="001D6464">
        <w:rPr>
          <w:rFonts w:ascii="Arial" w:hAnsi="Arial" w:cs="Arial"/>
          <w:sz w:val="18"/>
          <w:szCs w:val="18"/>
        </w:rPr>
        <w:fldChar w:fldCharType="separate"/>
      </w:r>
      <w:r w:rsidRPr="00F5591E">
        <w:rPr>
          <w:rFonts w:ascii="Arial" w:hAnsi="Arial" w:cs="Arial"/>
          <w:sz w:val="18"/>
          <w:szCs w:val="18"/>
        </w:rPr>
        <w:fldChar w:fldCharType="end"/>
      </w:r>
    </w:p>
    <w:p w:rsidR="00CE0DCA" w:rsidRPr="00F5591E" w:rsidRDefault="00CE0DCA" w:rsidP="007609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656"/>
        <w:gridCol w:w="3753"/>
        <w:gridCol w:w="1305"/>
        <w:gridCol w:w="1441"/>
      </w:tblGrid>
      <w:tr w:rsidR="00CE7690" w:rsidTr="005A0B1D">
        <w:tc>
          <w:tcPr>
            <w:tcW w:w="1197" w:type="dxa"/>
            <w:tcBorders>
              <w:bottom w:val="single" w:sz="4" w:space="0" w:color="auto"/>
              <w:right w:val="single" w:sz="2" w:space="0" w:color="auto"/>
            </w:tcBorders>
          </w:tcPr>
          <w:p w:rsidR="00CE7690" w:rsidRDefault="00CE7690" w:rsidP="00760930">
            <w:pPr>
              <w:pStyle w:val="Heading4"/>
              <w:keepNext w:val="0"/>
              <w:jc w:val="both"/>
            </w:pPr>
            <w:r>
              <w:t>Form 11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CE7690" w:rsidRDefault="00DD457E" w:rsidP="00760930">
            <w:pPr>
              <w:pStyle w:val="Heading4"/>
              <w:ind w:firstLine="187"/>
              <w:jc w:val="both"/>
              <w:rPr>
                <w:caps w:val="0"/>
                <w:spacing w:val="0"/>
                <w:sz w:val="18"/>
              </w:rPr>
            </w:pPr>
            <w:r>
              <w:rPr>
                <w:caps w:val="0"/>
                <w:spacing w:val="0"/>
                <w:sz w:val="18"/>
              </w:rPr>
              <w:t xml:space="preserve">Issuer </w:t>
            </w:r>
            <w:r w:rsidR="00CE7690">
              <w:rPr>
                <w:caps w:val="0"/>
                <w:spacing w:val="0"/>
                <w:sz w:val="18"/>
              </w:rPr>
              <w:t xml:space="preserve">Name: </w:t>
            </w:r>
          </w:p>
        </w:tc>
        <w:tc>
          <w:tcPr>
            <w:tcW w:w="3753" w:type="dxa"/>
            <w:tcBorders>
              <w:bottom w:val="single" w:sz="4" w:space="0" w:color="auto"/>
            </w:tcBorders>
          </w:tcPr>
          <w:p w:rsidR="00CE7690" w:rsidRDefault="00CE7690" w:rsidP="00760930">
            <w:pPr>
              <w:pStyle w:val="Heading4"/>
              <w:jc w:val="both"/>
              <w:rPr>
                <w:caps w:val="0"/>
                <w:spacing w:val="0"/>
                <w:sz w:val="18"/>
              </w:rPr>
            </w:pPr>
            <w:r>
              <w:rPr>
                <w:caps w:val="0"/>
                <w:spacing w:val="0"/>
                <w:sz w:val="18"/>
              </w:rPr>
              <w:t xml:space="preserve"> 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CE7690" w:rsidRDefault="00CE7690" w:rsidP="00760930">
            <w:pPr>
              <w:pStyle w:val="Heading4"/>
              <w:jc w:val="both"/>
              <w:rPr>
                <w:caps w:val="0"/>
                <w:spacing w:val="0"/>
                <w:sz w:val="18"/>
              </w:rPr>
            </w:pPr>
            <w:r>
              <w:rPr>
                <w:caps w:val="0"/>
                <w:spacing w:val="0"/>
                <w:sz w:val="18"/>
              </w:rPr>
              <w:t>Stock Symbol: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E7690" w:rsidRDefault="00CE7690" w:rsidP="00760930">
            <w:pPr>
              <w:pStyle w:val="Heading4"/>
              <w:jc w:val="both"/>
              <w:rPr>
                <w:caps w:val="0"/>
                <w:spacing w:val="0"/>
                <w:sz w:val="18"/>
              </w:rPr>
            </w:pPr>
          </w:p>
        </w:tc>
      </w:tr>
    </w:tbl>
    <w:p w:rsidR="00A76960" w:rsidRDefault="00A76960" w:rsidP="00644D9F">
      <w:pPr>
        <w:pStyle w:val="BodyText2"/>
        <w:widowControl w:val="0"/>
        <w:tabs>
          <w:tab w:val="left" w:pos="1954"/>
        </w:tabs>
        <w:ind w:left="360"/>
        <w:jc w:val="both"/>
        <w:rPr>
          <w:b/>
          <w:szCs w:val="20"/>
        </w:rPr>
      </w:pPr>
    </w:p>
    <w:p w:rsidR="00A76960" w:rsidRDefault="00A76960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szCs w:val="20"/>
        </w:rPr>
      </w:pPr>
      <w:r w:rsidRPr="00B95766">
        <w:rPr>
          <w:b/>
          <w:szCs w:val="20"/>
        </w:rPr>
        <w:t>Date of notice: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A76960" w:rsidRDefault="00A76960" w:rsidP="00644D9F">
      <w:pPr>
        <w:pStyle w:val="BodyText2"/>
        <w:widowControl w:val="0"/>
        <w:tabs>
          <w:tab w:val="left" w:pos="1954"/>
        </w:tabs>
        <w:ind w:left="360"/>
        <w:jc w:val="both"/>
        <w:rPr>
          <w:b/>
          <w:szCs w:val="20"/>
        </w:rPr>
      </w:pPr>
    </w:p>
    <w:p w:rsidR="004C15E2" w:rsidRPr="004C15E2" w:rsidRDefault="00A76960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szCs w:val="20"/>
        </w:rPr>
      </w:pPr>
      <w:r w:rsidRPr="004C15E2">
        <w:rPr>
          <w:b/>
        </w:rPr>
        <w:t xml:space="preserve">Number of currently issued and outstanding securities of each class of securities of the issuer, excluding non-voting preferred securities: 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FF60B0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FF60B0" w:rsidRPr="00E37FCE" w:rsidRDefault="00FF60B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FF60B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60B0" w:rsidRPr="00E37FCE" w:rsidRDefault="00FF60B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4C15E2" w:rsidRPr="004C15E2" w:rsidRDefault="004C15E2" w:rsidP="00515A6C">
      <w:pPr>
        <w:pStyle w:val="BodyText2"/>
        <w:widowControl w:val="0"/>
        <w:tabs>
          <w:tab w:val="left" w:pos="1954"/>
        </w:tabs>
        <w:ind w:left="360"/>
        <w:jc w:val="both"/>
        <w:rPr>
          <w:b/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szCs w:val="20"/>
        </w:rPr>
      </w:pPr>
      <w:r w:rsidRPr="00B95766">
        <w:rPr>
          <w:b/>
          <w:szCs w:val="20"/>
        </w:rPr>
        <w:t>Description of securities to be placed:</w:t>
      </w: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class: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number: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subscription price: 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market price and if applicable, date from binding agreement used to calculate market price (as defined in </w:t>
      </w:r>
      <w:r>
        <w:rPr>
          <w:szCs w:val="20"/>
        </w:rPr>
        <w:t>Part I</w:t>
      </w:r>
      <w:r w:rsidRPr="00B95766">
        <w:rPr>
          <w:szCs w:val="20"/>
        </w:rPr>
        <w:t xml:space="preserve">) [Please attach one copy of binding agreement]: 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discount percentage to market price, if any: 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voting rights: 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if the securities are not of a listed class, summarize the provisions: 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214425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214425" w:rsidRPr="00E37FCE" w:rsidRDefault="00214425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214425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4425" w:rsidRPr="00E37FCE" w:rsidRDefault="00214425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if convertible into another class of securities, the maximum number of securities issuable upon conversion: 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44D9F" w:rsidRPr="00E37FCE" w:rsidTr="00E37FCE">
        <w:tc>
          <w:tcPr>
            <w:tcW w:w="900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A76960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description of any attached warrants (or options), including:</w:t>
      </w:r>
    </w:p>
    <w:p w:rsidR="004C15E2" w:rsidRDefault="00A76960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number: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4D9F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642E8E" w:rsidRDefault="00A76960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exercise price: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4D9F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Pr="00642E8E" w:rsidRDefault="00A76960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</w:pPr>
      <w:r w:rsidRPr="00B95766">
        <w:rPr>
          <w:szCs w:val="20"/>
        </w:rPr>
        <w:t xml:space="preserve">term to expiry: 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44D9F" w:rsidRPr="00E37FCE" w:rsidTr="00E37FCE">
        <w:tc>
          <w:tcPr>
            <w:tcW w:w="864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720"/>
        <w:jc w:val="both"/>
      </w:pPr>
    </w:p>
    <w:p w:rsidR="004C15E2" w:rsidRPr="00642E8E" w:rsidRDefault="00A76960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t>other significant terms: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2E8E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description of any </w:t>
      </w:r>
      <w:r>
        <w:rPr>
          <w:szCs w:val="20"/>
        </w:rPr>
        <w:t>broker</w:t>
      </w:r>
      <w:r w:rsidRPr="00B95766">
        <w:rPr>
          <w:szCs w:val="20"/>
        </w:rPr>
        <w:t xml:space="preserve"> warrants (or options), including:</w:t>
      </w:r>
    </w:p>
    <w:p w:rsidR="004C15E2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number: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44D9F" w:rsidRPr="00E37FCE" w:rsidTr="00E37FCE">
        <w:tc>
          <w:tcPr>
            <w:tcW w:w="864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exercise price: 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44D9F" w:rsidRPr="00E37FCE" w:rsidTr="00E37FCE">
        <w:tc>
          <w:tcPr>
            <w:tcW w:w="864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642E8E" w:rsidRDefault="00642E8E" w:rsidP="00760930">
      <w:pPr>
        <w:pStyle w:val="BodyText2"/>
        <w:widowControl w:val="0"/>
        <w:tabs>
          <w:tab w:val="left" w:pos="1954"/>
        </w:tabs>
        <w:ind w:left="720"/>
        <w:jc w:val="both"/>
      </w:pPr>
    </w:p>
    <w:p w:rsidR="004C15E2" w:rsidRPr="00642E8E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</w:pPr>
      <w:r w:rsidRPr="00B95766">
        <w:rPr>
          <w:szCs w:val="20"/>
        </w:rPr>
        <w:t>term to expiry: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644D9F" w:rsidRPr="00E37FCE" w:rsidTr="00E37FCE">
        <w:tc>
          <w:tcPr>
            <w:tcW w:w="8640" w:type="dxa"/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642E8E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szCs w:val="20"/>
        </w:rPr>
      </w:pPr>
    </w:p>
    <w:p w:rsidR="004C15E2" w:rsidRPr="00642E8E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t xml:space="preserve">other significant terms: 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2E8E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szCs w:val="20"/>
        </w:rPr>
      </w:pPr>
    </w:p>
    <w:p w:rsidR="004C15E2" w:rsidRPr="00642E8E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b/>
          <w:szCs w:val="20"/>
        </w:rPr>
      </w:pPr>
      <w:r w:rsidRPr="004C15E2">
        <w:rPr>
          <w:szCs w:val="20"/>
        </w:rPr>
        <w:t>description of any anti-dilution provisions which provide an adjustment for events for which not all securities holders are compensated for: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2E8E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b/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4C15E2">
        <w:rPr>
          <w:szCs w:val="20"/>
        </w:rPr>
        <w:t xml:space="preserve">if the issuer is providing any financial assistance to any placee to facilitate the purchase, by way of loan, guaranty or otherwise, give particulars: 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2E8E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szCs w:val="20"/>
        </w:rPr>
      </w:pPr>
    </w:p>
    <w:p w:rsidR="004C15E2" w:rsidRPr="00642E8E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 w:val="16"/>
          <w:szCs w:val="16"/>
        </w:rPr>
      </w:pPr>
      <w:r w:rsidRPr="00B95766">
        <w:rPr>
          <w:szCs w:val="20"/>
        </w:rPr>
        <w:t xml:space="preserve">tax credits attached to the securities, if any: 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642E8E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644D9F" w:rsidRDefault="00642E8E" w:rsidP="00644D9F">
      <w:pPr>
        <w:pStyle w:val="BodyText2"/>
        <w:widowControl w:val="0"/>
        <w:tabs>
          <w:tab w:val="left" w:pos="1954"/>
        </w:tabs>
        <w:ind w:left="720"/>
        <w:jc w:val="both"/>
        <w:rPr>
          <w:szCs w:val="20"/>
        </w:rPr>
      </w:pPr>
    </w:p>
    <w:p w:rsidR="004C15E2" w:rsidRPr="00642E8E" w:rsidRDefault="00F615C9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szCs w:val="20"/>
        </w:rPr>
      </w:pPr>
      <w:r>
        <w:rPr>
          <w:b/>
          <w:szCs w:val="20"/>
        </w:rPr>
        <w:t>I</w:t>
      </w:r>
      <w:r w:rsidR="000847A3">
        <w:rPr>
          <w:b/>
          <w:szCs w:val="20"/>
        </w:rPr>
        <w:t xml:space="preserve">f </w:t>
      </w:r>
      <w:r w:rsidR="000847A3" w:rsidRPr="00B95766">
        <w:rPr>
          <w:b/>
          <w:bCs w:val="0"/>
          <w:szCs w:val="20"/>
        </w:rPr>
        <w:t xml:space="preserve">there </w:t>
      </w:r>
      <w:r w:rsidR="00C314A6">
        <w:rPr>
          <w:b/>
          <w:bCs w:val="0"/>
          <w:szCs w:val="20"/>
        </w:rPr>
        <w:t xml:space="preserve">are </w:t>
      </w:r>
      <w:r w:rsidR="000847A3" w:rsidRPr="00B95766">
        <w:rPr>
          <w:b/>
          <w:bCs w:val="0"/>
          <w:szCs w:val="20"/>
        </w:rPr>
        <w:t xml:space="preserve">any </w:t>
      </w:r>
      <w:r w:rsidR="000847A3">
        <w:rPr>
          <w:b/>
          <w:bCs w:val="0"/>
          <w:szCs w:val="20"/>
        </w:rPr>
        <w:t>new</w:t>
      </w:r>
      <w:r w:rsidR="000847A3" w:rsidRPr="00B95766">
        <w:rPr>
          <w:b/>
          <w:bCs w:val="0"/>
          <w:szCs w:val="20"/>
        </w:rPr>
        <w:t xml:space="preserve"> insiders </w:t>
      </w:r>
      <w:r w:rsidR="000847A3">
        <w:rPr>
          <w:b/>
          <w:bCs w:val="0"/>
          <w:szCs w:val="20"/>
        </w:rPr>
        <w:t xml:space="preserve">created as a result of </w:t>
      </w:r>
      <w:r w:rsidR="000847A3" w:rsidRPr="00B95766">
        <w:rPr>
          <w:b/>
          <w:bCs w:val="0"/>
          <w:szCs w:val="20"/>
        </w:rPr>
        <w:t>the private placement</w:t>
      </w:r>
      <w:r w:rsidR="000847A3">
        <w:rPr>
          <w:b/>
          <w:bCs w:val="0"/>
          <w:szCs w:val="20"/>
        </w:rPr>
        <w:t>, please provide the name(s) of the new insider</w:t>
      </w:r>
      <w:r w:rsidR="00900DBB">
        <w:rPr>
          <w:b/>
          <w:bCs w:val="0"/>
          <w:szCs w:val="20"/>
        </w:rPr>
        <w:t>(s)</w:t>
      </w:r>
      <w:r w:rsidR="000847A3">
        <w:rPr>
          <w:b/>
          <w:bCs w:val="0"/>
          <w:szCs w:val="20"/>
        </w:rPr>
        <w:t xml:space="preserve">. </w:t>
      </w:r>
      <w:r w:rsidR="000847A3" w:rsidRPr="001761FB">
        <w:rPr>
          <w:sz w:val="16"/>
          <w:szCs w:val="16"/>
        </w:rPr>
        <w:t>(</w:t>
      </w:r>
      <w:r w:rsidR="000847A3">
        <w:rPr>
          <w:sz w:val="16"/>
          <w:szCs w:val="16"/>
        </w:rPr>
        <w:t>Note that TSX may require the new insider</w:t>
      </w:r>
      <w:r w:rsidR="00900DBB">
        <w:rPr>
          <w:sz w:val="16"/>
          <w:szCs w:val="16"/>
        </w:rPr>
        <w:t>(s)</w:t>
      </w:r>
      <w:r w:rsidR="000847A3">
        <w:rPr>
          <w:sz w:val="16"/>
          <w:szCs w:val="16"/>
        </w:rPr>
        <w:t xml:space="preserve"> to complete and clear a Personal Information Form prior to the closing of the private placement.</w:t>
      </w:r>
      <w:r w:rsidR="000847A3" w:rsidRPr="001761FB">
        <w:rPr>
          <w:sz w:val="16"/>
          <w:szCs w:val="16"/>
        </w:rPr>
        <w:t>)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C147A0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Pr="00642E8E" w:rsidRDefault="00CE0DCA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szCs w:val="20"/>
        </w:rPr>
      </w:pPr>
      <w:r>
        <w:rPr>
          <w:b/>
          <w:bCs w:val="0"/>
          <w:szCs w:val="20"/>
        </w:rPr>
        <w:br w:type="page"/>
      </w:r>
      <w:r w:rsidR="000847A3" w:rsidRPr="00B95766">
        <w:rPr>
          <w:b/>
          <w:bCs w:val="0"/>
          <w:szCs w:val="20"/>
        </w:rPr>
        <w:lastRenderedPageBreak/>
        <w:t>Are there any issuances to insiders under the private placement?</w:t>
      </w:r>
      <w:r w:rsidR="00644D9F">
        <w:rPr>
          <w:b/>
          <w:bCs w:val="0"/>
          <w:szCs w:val="20"/>
        </w:rPr>
        <w:t xml:space="preserve"> </w:t>
      </w:r>
      <w:r w:rsidR="000847A3" w:rsidRPr="001761FB">
        <w:rPr>
          <w:sz w:val="16"/>
          <w:szCs w:val="16"/>
        </w:rPr>
        <w:t xml:space="preserve">(For this purpose, “insider” has the same meaning as found in the </w:t>
      </w:r>
      <w:r w:rsidR="000847A3" w:rsidRPr="001761FB">
        <w:rPr>
          <w:i/>
          <w:iCs/>
          <w:sz w:val="16"/>
          <w:szCs w:val="16"/>
        </w:rPr>
        <w:t xml:space="preserve">Securities Act </w:t>
      </w:r>
      <w:r w:rsidR="000847A3" w:rsidRPr="001761FB">
        <w:rPr>
          <w:sz w:val="16"/>
          <w:szCs w:val="16"/>
        </w:rPr>
        <w:t>(</w:t>
      </w:r>
      <w:smartTag w:uri="urn:schemas-microsoft-com:office:smarttags" w:element="State">
        <w:smartTag w:uri="urn:schemas-microsoft-com:office:smarttags" w:element="place">
          <w:r w:rsidR="000847A3" w:rsidRPr="001761FB">
            <w:rPr>
              <w:sz w:val="16"/>
              <w:szCs w:val="16"/>
            </w:rPr>
            <w:t>Ontario</w:t>
          </w:r>
        </w:smartTag>
      </w:smartTag>
      <w:r w:rsidR="000847A3" w:rsidRPr="001761FB">
        <w:rPr>
          <w:sz w:val="16"/>
          <w:szCs w:val="16"/>
        </w:rPr>
        <w:t>) and also includes associates and affiliates of the insider; and “issuances to insiders” includes direct and indirect issuances to insiders, their associates and affiliated companies.)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b/>
          <w:szCs w:val="20"/>
        </w:rPr>
      </w:pPr>
    </w:p>
    <w:p w:rsidR="004C15E2" w:rsidRPr="004C54BA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b/>
          <w:bCs w:val="0"/>
          <w:szCs w:val="20"/>
        </w:rPr>
        <w:t xml:space="preserve">If </w:t>
      </w:r>
      <w:r w:rsidRPr="00B95766">
        <w:rPr>
          <w:b/>
          <w:szCs w:val="20"/>
        </w:rPr>
        <w:t>the</w:t>
      </w:r>
      <w:r w:rsidRPr="00B95766">
        <w:rPr>
          <w:b/>
          <w:bCs w:val="0"/>
          <w:szCs w:val="20"/>
        </w:rPr>
        <w:t xml:space="preserve"> answer to question </w:t>
      </w:r>
      <w:r>
        <w:rPr>
          <w:b/>
          <w:bCs w:val="0"/>
          <w:szCs w:val="20"/>
        </w:rPr>
        <w:t>5</w:t>
      </w:r>
      <w:r w:rsidRPr="00B95766">
        <w:rPr>
          <w:b/>
          <w:bCs w:val="0"/>
          <w:szCs w:val="20"/>
        </w:rPr>
        <w:t xml:space="preserve"> is yes:</w:t>
      </w:r>
    </w:p>
    <w:p w:rsidR="004C15E2" w:rsidRPr="00642E8E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total percentage of placement being issued to insiders:</w:t>
      </w:r>
    </w:p>
    <w:tbl>
      <w:tblPr>
        <w:tblW w:w="9000" w:type="dxa"/>
        <w:tblInd w:w="46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C147A0" w:rsidRPr="00E37FCE" w:rsidTr="00E37FCE">
        <w:tc>
          <w:tcPr>
            <w:tcW w:w="9000" w:type="dxa"/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for each insider placee, state:</w:t>
      </w:r>
    </w:p>
    <w:p w:rsidR="004C15E2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707"/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the placee's name: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147A0" w:rsidRPr="00E37FCE" w:rsidTr="00E37FCE">
        <w:tc>
          <w:tcPr>
            <w:tcW w:w="8640" w:type="dxa"/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707"/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current holdings of voting securities of the issuer (direct or indirect) in terms of number and</w:t>
      </w:r>
      <w:r>
        <w:rPr>
          <w:szCs w:val="20"/>
        </w:rPr>
        <w:t xml:space="preserve"> </w:t>
      </w:r>
      <w:r w:rsidRPr="00B95766">
        <w:rPr>
          <w:szCs w:val="20"/>
        </w:rPr>
        <w:t>percentage: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147A0" w:rsidRPr="00E37FCE" w:rsidTr="00E37FCE">
        <w:tc>
          <w:tcPr>
            <w:tcW w:w="8640" w:type="dxa"/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4C15E2" w:rsidP="00760930">
      <w:pPr>
        <w:pStyle w:val="BodyText2"/>
        <w:widowControl w:val="0"/>
        <w:numPr>
          <w:ilvl w:val="2"/>
          <w:numId w:val="5"/>
        </w:numPr>
        <w:tabs>
          <w:tab w:val="left" w:pos="707"/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 xml:space="preserve"> </w:t>
      </w:r>
      <w:r w:rsidR="000847A3" w:rsidRPr="00B95766">
        <w:rPr>
          <w:szCs w:val="20"/>
        </w:rPr>
        <w:t>the number of securities to be purchased by the insider under the private placement in</w:t>
      </w:r>
      <w:r>
        <w:rPr>
          <w:szCs w:val="20"/>
        </w:rPr>
        <w:t xml:space="preserve"> terms of number and percentage</w:t>
      </w:r>
      <w:r w:rsidR="000847A3" w:rsidRPr="00B95766">
        <w:rPr>
          <w:szCs w:val="20"/>
        </w:rPr>
        <w:t>: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147A0" w:rsidRPr="00E37FCE" w:rsidTr="00E37FCE">
        <w:tc>
          <w:tcPr>
            <w:tcW w:w="8640" w:type="dxa"/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2"/>
          <w:numId w:val="5"/>
        </w:numPr>
        <w:tabs>
          <w:tab w:val="left" w:pos="707"/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holdings of voting securities of the issuer (direct or indirect) after the placement in terms of number and percentage:</w:t>
      </w:r>
    </w:p>
    <w:tbl>
      <w:tblPr>
        <w:tblW w:w="8640" w:type="dxa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C147A0" w:rsidRPr="00E37FCE" w:rsidTr="00E37FCE">
        <w:tc>
          <w:tcPr>
            <w:tcW w:w="8640" w:type="dxa"/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644D9F">
      <w:pPr>
        <w:pStyle w:val="BodyText2"/>
        <w:widowControl w:val="0"/>
        <w:tabs>
          <w:tab w:val="left" w:pos="1954"/>
        </w:tabs>
        <w:ind w:left="360"/>
        <w:jc w:val="both"/>
        <w:rPr>
          <w:b/>
          <w:szCs w:val="20"/>
        </w:rPr>
      </w:pPr>
    </w:p>
    <w:p w:rsidR="004C15E2" w:rsidRPr="00642E8E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707"/>
          <w:tab w:val="left" w:pos="1954"/>
        </w:tabs>
        <w:jc w:val="both"/>
        <w:rPr>
          <w:b/>
          <w:szCs w:val="20"/>
        </w:rPr>
      </w:pPr>
      <w:r w:rsidRPr="00B95766">
        <w:rPr>
          <w:b/>
          <w:szCs w:val="20"/>
        </w:rPr>
        <w:t>Has</w:t>
      </w:r>
      <w:r w:rsidRPr="00B95766">
        <w:rPr>
          <w:b/>
          <w:bCs w:val="0"/>
          <w:szCs w:val="20"/>
        </w:rPr>
        <w:t xml:space="preserve"> the issuer completed any other private placements within the past six months where securities were issued or made issuable to insiders (include private placements that have been conditionally approved and/or currently contemplated)?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720"/>
          <w:tab w:val="left" w:pos="1954"/>
        </w:tabs>
        <w:jc w:val="both"/>
        <w:rPr>
          <w:b/>
          <w:szCs w:val="20"/>
        </w:rPr>
      </w:pPr>
      <w:r>
        <w:rPr>
          <w:b/>
          <w:szCs w:val="20"/>
        </w:rPr>
        <w:t>I</w:t>
      </w:r>
      <w:r w:rsidRPr="00B95766">
        <w:rPr>
          <w:b/>
          <w:szCs w:val="20"/>
        </w:rPr>
        <w:t xml:space="preserve">f the answer to </w:t>
      </w:r>
      <w:r>
        <w:rPr>
          <w:b/>
          <w:szCs w:val="20"/>
        </w:rPr>
        <w:t>7</w:t>
      </w:r>
      <w:r w:rsidRPr="00B95766">
        <w:rPr>
          <w:b/>
          <w:szCs w:val="20"/>
        </w:rPr>
        <w:t xml:space="preserve"> is yes, state:</w:t>
      </w:r>
    </w:p>
    <w:p w:rsidR="004C15E2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dates on which each private placement closed: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900DBB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900DBB" w:rsidRDefault="00900DBB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4C15E2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>
        <w:rPr>
          <w:szCs w:val="20"/>
        </w:rPr>
        <w:t>n</w:t>
      </w:r>
      <w:r w:rsidR="000847A3" w:rsidRPr="00B95766">
        <w:rPr>
          <w:szCs w:val="20"/>
        </w:rPr>
        <w:t>umber and class of listed securities issued or issuable under each placement: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900DBB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760930">
      <w:pPr>
        <w:pStyle w:val="BodyText2"/>
        <w:widowControl w:val="0"/>
        <w:tabs>
          <w:tab w:val="left" w:pos="1954"/>
        </w:tabs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t>number and class of securities issued or issuable to insiders under each private placement: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900DBB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Default="00642E8E" w:rsidP="00760930">
      <w:pPr>
        <w:pStyle w:val="BodyText2"/>
        <w:widowControl w:val="0"/>
        <w:tabs>
          <w:tab w:val="left" w:pos="1954"/>
        </w:tabs>
        <w:jc w:val="both"/>
        <w:rPr>
          <w:szCs w:val="20"/>
        </w:rPr>
      </w:pPr>
    </w:p>
    <w:p w:rsidR="00900DBB" w:rsidRDefault="00900DBB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  <w:r>
        <w:rPr>
          <w:szCs w:val="20"/>
        </w:rPr>
        <w:br w:type="page"/>
      </w:r>
    </w:p>
    <w:p w:rsidR="004C15E2" w:rsidRDefault="000847A3" w:rsidP="00760930">
      <w:pPr>
        <w:pStyle w:val="BodyText2"/>
        <w:widowControl w:val="0"/>
        <w:numPr>
          <w:ilvl w:val="1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szCs w:val="20"/>
        </w:rPr>
        <w:lastRenderedPageBreak/>
        <w:t>whether securityholders approved any of the private placements and, if so, identify which private placements were so approved:</w:t>
      </w:r>
    </w:p>
    <w:tbl>
      <w:tblPr>
        <w:tblW w:w="8640" w:type="dxa"/>
        <w:tblInd w:w="828" w:type="dxa"/>
        <w:tblLook w:val="01E0" w:firstRow="1" w:lastRow="1" w:firstColumn="1" w:lastColumn="1" w:noHBand="0" w:noVBand="0"/>
      </w:tblPr>
      <w:tblGrid>
        <w:gridCol w:w="8640"/>
      </w:tblGrid>
      <w:tr w:rsidR="00900DBB" w:rsidRPr="00E37FCE" w:rsidTr="00E37FCE">
        <w:tc>
          <w:tcPr>
            <w:tcW w:w="8640" w:type="dxa"/>
            <w:tcBorders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  <w:tr w:rsidR="00900DBB" w:rsidRPr="00E37FCE" w:rsidTr="00E37FCE">
        <w:tc>
          <w:tcPr>
            <w:tcW w:w="8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0DBB" w:rsidRPr="00E37FCE" w:rsidRDefault="00900DBB" w:rsidP="00E37FCE">
            <w:pPr>
              <w:pStyle w:val="BodyText2"/>
              <w:widowControl w:val="0"/>
              <w:tabs>
                <w:tab w:val="left" w:pos="1954"/>
              </w:tabs>
              <w:jc w:val="both"/>
              <w:rPr>
                <w:szCs w:val="20"/>
              </w:rPr>
            </w:pPr>
          </w:p>
        </w:tc>
      </w:tr>
    </w:tbl>
    <w:p w:rsidR="00642E8E" w:rsidRPr="00642E8E" w:rsidRDefault="00642E8E" w:rsidP="00760930">
      <w:pPr>
        <w:pStyle w:val="BodyText2"/>
        <w:widowControl w:val="0"/>
        <w:tabs>
          <w:tab w:val="left" w:pos="1954"/>
        </w:tabs>
        <w:jc w:val="both"/>
        <w:rPr>
          <w:szCs w:val="20"/>
        </w:rPr>
      </w:pPr>
    </w:p>
    <w:p w:rsidR="004C15E2" w:rsidRPr="00642E8E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b/>
          <w:szCs w:val="20"/>
        </w:rPr>
        <w:t>Will</w:t>
      </w:r>
      <w:r w:rsidRPr="00B95766">
        <w:rPr>
          <w:b/>
          <w:bCs w:val="0"/>
          <w:szCs w:val="20"/>
        </w:rPr>
        <w:t xml:space="preserve"> the issuer obtain securityholder approval for this private placement? If the issuer is relying on an exemption from securityholder approval, please provide details. 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bCs w:val="0"/>
          <w:szCs w:val="20"/>
        </w:rPr>
      </w:pPr>
      <w:r w:rsidRPr="00B95766">
        <w:rPr>
          <w:b/>
          <w:szCs w:val="20"/>
        </w:rPr>
        <w:t>What</w:t>
      </w:r>
      <w:r w:rsidRPr="00B95766">
        <w:rPr>
          <w:b/>
          <w:bCs w:val="0"/>
          <w:szCs w:val="20"/>
        </w:rPr>
        <w:t xml:space="preserve"> will be the use of proceeds?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bCs w:val="0"/>
          <w:szCs w:val="20"/>
        </w:rPr>
      </w:pPr>
      <w:r w:rsidRPr="00B95766">
        <w:rPr>
          <w:b/>
          <w:bCs w:val="0"/>
          <w:szCs w:val="20"/>
        </w:rPr>
        <w:t>Could the placement potentially material</w:t>
      </w:r>
      <w:r w:rsidR="0048539F">
        <w:rPr>
          <w:b/>
          <w:bCs w:val="0"/>
          <w:szCs w:val="20"/>
        </w:rPr>
        <w:t>ly</w:t>
      </w:r>
      <w:r w:rsidRPr="00B95766">
        <w:rPr>
          <w:b/>
          <w:bCs w:val="0"/>
          <w:szCs w:val="20"/>
        </w:rPr>
        <w:t xml:space="preserve"> affect control</w:t>
      </w:r>
      <w:r w:rsidR="0048539F">
        <w:rPr>
          <w:b/>
          <w:bCs w:val="0"/>
          <w:szCs w:val="20"/>
        </w:rPr>
        <w:t xml:space="preserve"> of the listed issuer</w:t>
      </w:r>
      <w:r w:rsidRPr="00B95766">
        <w:rPr>
          <w:b/>
          <w:bCs w:val="0"/>
          <w:szCs w:val="20"/>
        </w:rPr>
        <w:t>?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C147A0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Pr="00642E8E" w:rsidRDefault="00444F6B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szCs w:val="20"/>
        </w:rPr>
      </w:pPr>
      <w:r>
        <w:rPr>
          <w:b/>
          <w:bCs w:val="0"/>
          <w:szCs w:val="20"/>
        </w:rPr>
        <w:t>Disclose a</w:t>
      </w:r>
      <w:r w:rsidR="000847A3" w:rsidRPr="00B95766">
        <w:rPr>
          <w:b/>
          <w:bCs w:val="0"/>
          <w:szCs w:val="20"/>
        </w:rPr>
        <w:t xml:space="preserve">ny significant information regarding the proposed private </w:t>
      </w:r>
      <w:r w:rsidR="00CA58E7" w:rsidRPr="00B95766">
        <w:rPr>
          <w:b/>
          <w:bCs w:val="0"/>
          <w:szCs w:val="20"/>
        </w:rPr>
        <w:t>placement not</w:t>
      </w:r>
      <w:r w:rsidR="000847A3" w:rsidRPr="00B95766">
        <w:rPr>
          <w:b/>
          <w:bCs w:val="0"/>
          <w:szCs w:val="20"/>
        </w:rPr>
        <w:t xml:space="preserve"> disclosed above</w:t>
      </w:r>
      <w:r w:rsidR="00CA58E7">
        <w:rPr>
          <w:b/>
          <w:bCs w:val="0"/>
          <w:szCs w:val="20"/>
        </w:rPr>
        <w:t xml:space="preserve">. </w:t>
      </w:r>
      <w:r w:rsidR="00CA58E7" w:rsidRPr="00B15B65">
        <w:rPr>
          <w:b/>
          <w:bCs w:val="0"/>
          <w:sz w:val="16"/>
          <w:szCs w:val="16"/>
        </w:rPr>
        <w:t>(This includes any relevant significant matters including, but not limited to, any upcoming shareholders meeting for which a record date has been or is shortly expected to be determined, any pending mergers, acquisitions, take-over bids, changes to capital structure or other significant transactions, and any details regarding potential dissident shareholders and/or proxy contests.)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4C15E2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b/>
          <w:szCs w:val="20"/>
        </w:rPr>
      </w:pPr>
      <w:r w:rsidRPr="00B95766">
        <w:rPr>
          <w:b/>
          <w:szCs w:val="20"/>
        </w:rPr>
        <w:t xml:space="preserve">Is this private placement related to any other private placement completed in the last six months? 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642E8E" w:rsidRPr="004C15E2" w:rsidRDefault="00642E8E" w:rsidP="00760930">
      <w:pPr>
        <w:pStyle w:val="BodyText2"/>
        <w:widowControl w:val="0"/>
        <w:tabs>
          <w:tab w:val="left" w:pos="1954"/>
        </w:tabs>
        <w:ind w:left="360"/>
        <w:jc w:val="both"/>
        <w:rPr>
          <w:szCs w:val="20"/>
        </w:rPr>
      </w:pPr>
    </w:p>
    <w:p w:rsidR="000847A3" w:rsidRPr="00642E8E" w:rsidRDefault="000847A3" w:rsidP="00760930">
      <w:pPr>
        <w:pStyle w:val="BodyText2"/>
        <w:widowControl w:val="0"/>
        <w:numPr>
          <w:ilvl w:val="0"/>
          <w:numId w:val="5"/>
        </w:numPr>
        <w:tabs>
          <w:tab w:val="left" w:pos="1954"/>
        </w:tabs>
        <w:jc w:val="both"/>
        <w:rPr>
          <w:szCs w:val="20"/>
        </w:rPr>
      </w:pPr>
      <w:r w:rsidRPr="00B95766">
        <w:rPr>
          <w:b/>
          <w:szCs w:val="20"/>
        </w:rPr>
        <w:t>Was the subscription price (or formula within a binding agreement) determined at a time when material undisclosed information existed?</w:t>
      </w:r>
    </w:p>
    <w:tbl>
      <w:tblPr>
        <w:tblW w:w="9000" w:type="dxa"/>
        <w:tblInd w:w="468" w:type="dxa"/>
        <w:tblLook w:val="01E0" w:firstRow="1" w:lastRow="1" w:firstColumn="1" w:lastColumn="1" w:noHBand="0" w:noVBand="0"/>
      </w:tblPr>
      <w:tblGrid>
        <w:gridCol w:w="9000"/>
      </w:tblGrid>
      <w:tr w:rsidR="00642E8E" w:rsidRPr="00E37FCE" w:rsidTr="00E37FCE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2E8E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2E8E" w:rsidRPr="00E37FCE" w:rsidRDefault="00642E8E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644D9F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44D9F" w:rsidRPr="00E37FCE" w:rsidRDefault="00644D9F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  <w:tr w:rsidR="00C147A0" w:rsidRPr="00E37FCE" w:rsidTr="00E37FCE"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7A0" w:rsidRPr="00E37FCE" w:rsidRDefault="00C147A0" w:rsidP="00E37FCE">
            <w:pPr>
              <w:pStyle w:val="BodyText2"/>
              <w:widowControl w:val="0"/>
              <w:tabs>
                <w:tab w:val="left" w:pos="1954"/>
              </w:tabs>
              <w:ind w:left="360"/>
              <w:jc w:val="both"/>
              <w:rPr>
                <w:szCs w:val="20"/>
              </w:rPr>
            </w:pPr>
          </w:p>
        </w:tc>
      </w:tr>
    </w:tbl>
    <w:p w:rsidR="004C15E2" w:rsidRPr="00B95766" w:rsidRDefault="00900DBB" w:rsidP="00760930">
      <w:pPr>
        <w:pStyle w:val="BodyText2"/>
        <w:widowControl w:val="0"/>
        <w:tabs>
          <w:tab w:val="left" w:pos="360"/>
          <w:tab w:val="left" w:pos="1954"/>
        </w:tabs>
        <w:jc w:val="both"/>
        <w:rPr>
          <w:szCs w:val="20"/>
        </w:rPr>
      </w:pPr>
      <w:r>
        <w:rPr>
          <w:szCs w:val="20"/>
        </w:rPr>
        <w:br w:type="page"/>
      </w:r>
    </w:p>
    <w:p w:rsidR="000847A3" w:rsidRPr="00FB68F6" w:rsidRDefault="000847A3" w:rsidP="00760930">
      <w:pPr>
        <w:pStyle w:val="BodyText2"/>
        <w:widowControl w:val="0"/>
        <w:ind w:left="352" w:hanging="352"/>
        <w:jc w:val="both"/>
        <w:rPr>
          <w:b/>
          <w:lang w:val="en-CA"/>
        </w:rPr>
      </w:pPr>
      <w:r>
        <w:rPr>
          <w:b/>
          <w:szCs w:val="20"/>
        </w:rPr>
        <w:lastRenderedPageBreak/>
        <w:t>15</w:t>
      </w:r>
      <w:r w:rsidRPr="00B95766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FB68F6">
        <w:rPr>
          <w:b/>
          <w:lang w:val="en-CA"/>
        </w:rPr>
        <w:t xml:space="preserve">Certificate – The undersigned, a director or senior officer of the issuer duly authorized by the issuer’s board of directors, certifies that this notice is complete and accurate. This notice contains no untrue statement of a material fact and does not omit to state a material fact that is required to be stated or that is necessary to make a statement not misleading in the light of the circumstances in which it is made. </w:t>
      </w:r>
    </w:p>
    <w:p w:rsidR="004C15E2" w:rsidRDefault="004C15E2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</w:p>
    <w:p w:rsidR="004C54BA" w:rsidRDefault="004C54BA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</w:p>
    <w:p w:rsidR="000847A3" w:rsidRDefault="000847A3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  <w:r>
        <w:rPr>
          <w:szCs w:val="20"/>
        </w:rPr>
        <w:t>Signature:</w:t>
      </w:r>
      <w:r w:rsidRPr="00B95766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  <w:t>Date:</w:t>
      </w:r>
    </w:p>
    <w:p w:rsidR="004C54BA" w:rsidRPr="00B95766" w:rsidRDefault="004C54BA" w:rsidP="00760930">
      <w:pPr>
        <w:pStyle w:val="BodyText2"/>
        <w:widowControl w:val="0"/>
        <w:pBdr>
          <w:bottom w:val="single" w:sz="4" w:space="1" w:color="auto"/>
        </w:pBdr>
        <w:tabs>
          <w:tab w:val="left" w:pos="1615"/>
        </w:tabs>
        <w:ind w:left="8"/>
        <w:jc w:val="both"/>
        <w:rPr>
          <w:szCs w:val="20"/>
        </w:rPr>
      </w:pPr>
    </w:p>
    <w:p w:rsidR="004C54BA" w:rsidRDefault="004C54BA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</w:p>
    <w:p w:rsidR="00900DBB" w:rsidRDefault="00900DBB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</w:p>
    <w:p w:rsidR="000847A3" w:rsidRDefault="000847A3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  <w:r>
        <w:rPr>
          <w:szCs w:val="20"/>
        </w:rPr>
        <w:t>Name:</w:t>
      </w:r>
      <w:r w:rsidRPr="00B95766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</w:r>
      <w:r w:rsidR="004C54BA">
        <w:rPr>
          <w:szCs w:val="20"/>
        </w:rPr>
        <w:tab/>
        <w:t>Title:</w:t>
      </w:r>
    </w:p>
    <w:p w:rsidR="004C54BA" w:rsidRPr="00B95766" w:rsidRDefault="004C54BA" w:rsidP="00760930">
      <w:pPr>
        <w:pStyle w:val="BodyText2"/>
        <w:widowControl w:val="0"/>
        <w:pBdr>
          <w:bottom w:val="single" w:sz="4" w:space="1" w:color="auto"/>
        </w:pBdr>
        <w:tabs>
          <w:tab w:val="left" w:pos="1615"/>
        </w:tabs>
        <w:ind w:left="8"/>
        <w:jc w:val="both"/>
        <w:rPr>
          <w:szCs w:val="20"/>
        </w:rPr>
      </w:pPr>
    </w:p>
    <w:p w:rsidR="004C54BA" w:rsidRDefault="004C54BA" w:rsidP="00760930">
      <w:pPr>
        <w:pStyle w:val="BodyText2"/>
        <w:widowControl w:val="0"/>
        <w:tabs>
          <w:tab w:val="left" w:pos="1615"/>
        </w:tabs>
        <w:ind w:left="8"/>
        <w:jc w:val="both"/>
        <w:rPr>
          <w:szCs w:val="20"/>
        </w:rPr>
      </w:pPr>
    </w:p>
    <w:p w:rsidR="00FB68F6" w:rsidRPr="00F5591E" w:rsidRDefault="00FB68F6" w:rsidP="00760930">
      <w:pPr>
        <w:pStyle w:val="TableBody"/>
        <w:spacing w:before="0" w:after="0" w:line="240" w:lineRule="auto"/>
        <w:jc w:val="both"/>
      </w:pPr>
    </w:p>
    <w:sectPr w:rsidR="00FB68F6" w:rsidRPr="00F5591E" w:rsidSect="004C5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33" w:rsidRDefault="00C82833">
      <w:r>
        <w:separator/>
      </w:r>
    </w:p>
  </w:endnote>
  <w:endnote w:type="continuationSeparator" w:id="0">
    <w:p w:rsidR="00C82833" w:rsidRDefault="00C8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35" w:rsidRDefault="008F1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40" w:rsidRPr="006727A5" w:rsidRDefault="00B66E40" w:rsidP="00644D9F">
    <w:pPr>
      <w:pStyle w:val="Footer"/>
      <w:tabs>
        <w:tab w:val="clear" w:pos="2030"/>
        <w:tab w:val="clear" w:pos="2232"/>
        <w:tab w:val="right" w:pos="9360"/>
      </w:tabs>
      <w:ind w:left="0"/>
      <w:rPr>
        <w:b/>
        <w:sz w:val="16"/>
        <w:szCs w:val="16"/>
      </w:rPr>
    </w:pPr>
    <w:r w:rsidRPr="006727A5">
      <w:rPr>
        <w:rFonts w:cs="Arial"/>
        <w:b/>
        <w:sz w:val="16"/>
        <w:szCs w:val="16"/>
      </w:rPr>
      <w:t>© 20</w:t>
    </w:r>
    <w:r w:rsidR="00C654D9">
      <w:rPr>
        <w:rFonts w:cs="Arial"/>
        <w:b/>
        <w:sz w:val="16"/>
        <w:szCs w:val="16"/>
      </w:rPr>
      <w:t>18</w:t>
    </w:r>
    <w:r w:rsidR="00207A1E">
      <w:rPr>
        <w:rFonts w:cs="Arial"/>
        <w:b/>
        <w:sz w:val="16"/>
        <w:szCs w:val="16"/>
      </w:rPr>
      <w:t>, TS</w:t>
    </w:r>
    <w:r w:rsidRPr="006727A5">
      <w:rPr>
        <w:rFonts w:cs="Arial"/>
        <w:b/>
        <w:sz w:val="16"/>
        <w:szCs w:val="16"/>
      </w:rPr>
      <w:t xml:space="preserve">X </w:t>
    </w:r>
    <w:r w:rsidR="00207A1E">
      <w:rPr>
        <w:rFonts w:cs="Arial"/>
        <w:b/>
        <w:sz w:val="16"/>
        <w:szCs w:val="16"/>
      </w:rPr>
      <w:t>I</w:t>
    </w:r>
    <w:r w:rsidRPr="006727A5">
      <w:rPr>
        <w:rFonts w:cs="Arial"/>
        <w:b/>
        <w:sz w:val="16"/>
        <w:szCs w:val="16"/>
      </w:rPr>
      <w:t>nc.</w:t>
    </w:r>
    <w:r w:rsidRPr="006727A5">
      <w:rPr>
        <w:rFonts w:cs="Arial"/>
        <w:b/>
        <w:sz w:val="16"/>
        <w:szCs w:val="16"/>
      </w:rPr>
      <w:tab/>
    </w:r>
    <w:r w:rsidRPr="006727A5">
      <w:rPr>
        <w:b/>
        <w:sz w:val="16"/>
        <w:szCs w:val="16"/>
      </w:rPr>
      <w:t xml:space="preserve">Page </w:t>
    </w:r>
    <w:r w:rsidRPr="006727A5">
      <w:rPr>
        <w:b/>
        <w:sz w:val="16"/>
        <w:szCs w:val="16"/>
      </w:rPr>
      <w:fldChar w:fldCharType="begin"/>
    </w:r>
    <w:r w:rsidRPr="006727A5">
      <w:rPr>
        <w:b/>
        <w:sz w:val="16"/>
        <w:szCs w:val="16"/>
      </w:rPr>
      <w:instrText xml:space="preserve"> PAGE </w:instrText>
    </w:r>
    <w:r w:rsidRPr="006727A5">
      <w:rPr>
        <w:b/>
        <w:sz w:val="16"/>
        <w:szCs w:val="16"/>
      </w:rPr>
      <w:fldChar w:fldCharType="separate"/>
    </w:r>
    <w:r w:rsidR="001D6464">
      <w:rPr>
        <w:b/>
        <w:noProof/>
        <w:sz w:val="16"/>
        <w:szCs w:val="16"/>
      </w:rPr>
      <w:t>2</w:t>
    </w:r>
    <w:r w:rsidRPr="006727A5">
      <w:rPr>
        <w:b/>
        <w:sz w:val="16"/>
        <w:szCs w:val="16"/>
      </w:rPr>
      <w:fldChar w:fldCharType="end"/>
    </w:r>
    <w:r w:rsidRPr="006727A5">
      <w:rPr>
        <w:b/>
        <w:sz w:val="16"/>
        <w:szCs w:val="16"/>
      </w:rPr>
      <w:t xml:space="preserve"> of </w:t>
    </w:r>
    <w:r w:rsidRPr="006727A5">
      <w:rPr>
        <w:rStyle w:val="PageNumber"/>
        <w:b/>
        <w:sz w:val="16"/>
        <w:szCs w:val="16"/>
      </w:rPr>
      <w:fldChar w:fldCharType="begin"/>
    </w:r>
    <w:r w:rsidRPr="006727A5">
      <w:rPr>
        <w:rStyle w:val="PageNumber"/>
        <w:b/>
        <w:sz w:val="16"/>
        <w:szCs w:val="16"/>
      </w:rPr>
      <w:instrText xml:space="preserve"> NUMPAGES </w:instrText>
    </w:r>
    <w:r w:rsidRPr="006727A5">
      <w:rPr>
        <w:rStyle w:val="PageNumber"/>
        <w:b/>
        <w:sz w:val="16"/>
        <w:szCs w:val="16"/>
      </w:rPr>
      <w:fldChar w:fldCharType="separate"/>
    </w:r>
    <w:r w:rsidR="001D6464">
      <w:rPr>
        <w:rStyle w:val="PageNumber"/>
        <w:b/>
        <w:noProof/>
        <w:sz w:val="16"/>
        <w:szCs w:val="16"/>
      </w:rPr>
      <w:t>5</w:t>
    </w:r>
    <w:r w:rsidRPr="006727A5">
      <w:rPr>
        <w:rStyle w:val="PageNumber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40" w:rsidRPr="006727A5" w:rsidRDefault="00B66E40" w:rsidP="00644D9F">
    <w:pPr>
      <w:pStyle w:val="Footer"/>
      <w:tabs>
        <w:tab w:val="clear" w:pos="2030"/>
        <w:tab w:val="clear" w:pos="2232"/>
        <w:tab w:val="right" w:pos="9360"/>
      </w:tabs>
      <w:ind w:left="0"/>
      <w:rPr>
        <w:b/>
        <w:sz w:val="16"/>
        <w:szCs w:val="16"/>
      </w:rPr>
    </w:pPr>
    <w:r w:rsidRPr="006727A5">
      <w:rPr>
        <w:rFonts w:cs="Arial"/>
        <w:b/>
        <w:sz w:val="16"/>
        <w:szCs w:val="16"/>
      </w:rPr>
      <w:t>© 20</w:t>
    </w:r>
    <w:r w:rsidR="00C654D9">
      <w:rPr>
        <w:rFonts w:cs="Arial"/>
        <w:b/>
        <w:sz w:val="16"/>
        <w:szCs w:val="16"/>
      </w:rPr>
      <w:t>18</w:t>
    </w:r>
    <w:r w:rsidRPr="006727A5">
      <w:rPr>
        <w:rFonts w:cs="Arial"/>
        <w:b/>
        <w:sz w:val="16"/>
        <w:szCs w:val="16"/>
      </w:rPr>
      <w:t>, T</w:t>
    </w:r>
    <w:r w:rsidR="00207A1E">
      <w:rPr>
        <w:rFonts w:cs="Arial"/>
        <w:b/>
        <w:sz w:val="16"/>
        <w:szCs w:val="16"/>
      </w:rPr>
      <w:t>SX</w:t>
    </w:r>
    <w:r w:rsidRPr="006727A5">
      <w:rPr>
        <w:rFonts w:cs="Arial"/>
        <w:b/>
        <w:sz w:val="16"/>
        <w:szCs w:val="16"/>
      </w:rPr>
      <w:t xml:space="preserve"> Inc.</w:t>
    </w:r>
    <w:r w:rsidRPr="006727A5">
      <w:rPr>
        <w:rFonts w:cs="Arial"/>
        <w:b/>
        <w:sz w:val="16"/>
        <w:szCs w:val="16"/>
      </w:rPr>
      <w:tab/>
    </w:r>
    <w:r w:rsidRPr="006727A5">
      <w:rPr>
        <w:b/>
        <w:sz w:val="16"/>
        <w:szCs w:val="16"/>
      </w:rPr>
      <w:t xml:space="preserve">Page </w:t>
    </w:r>
    <w:r w:rsidRPr="006727A5">
      <w:rPr>
        <w:b/>
        <w:sz w:val="16"/>
        <w:szCs w:val="16"/>
      </w:rPr>
      <w:fldChar w:fldCharType="begin"/>
    </w:r>
    <w:r w:rsidRPr="006727A5">
      <w:rPr>
        <w:b/>
        <w:sz w:val="16"/>
        <w:szCs w:val="16"/>
      </w:rPr>
      <w:instrText xml:space="preserve"> PAGE </w:instrText>
    </w:r>
    <w:r w:rsidRPr="006727A5">
      <w:rPr>
        <w:b/>
        <w:sz w:val="16"/>
        <w:szCs w:val="16"/>
      </w:rPr>
      <w:fldChar w:fldCharType="separate"/>
    </w:r>
    <w:r w:rsidR="001D6464">
      <w:rPr>
        <w:b/>
        <w:noProof/>
        <w:sz w:val="16"/>
        <w:szCs w:val="16"/>
      </w:rPr>
      <w:t>1</w:t>
    </w:r>
    <w:r w:rsidRPr="006727A5">
      <w:rPr>
        <w:b/>
        <w:sz w:val="16"/>
        <w:szCs w:val="16"/>
      </w:rPr>
      <w:fldChar w:fldCharType="end"/>
    </w:r>
    <w:r w:rsidRPr="006727A5">
      <w:rPr>
        <w:b/>
        <w:sz w:val="16"/>
        <w:szCs w:val="16"/>
      </w:rPr>
      <w:t xml:space="preserve"> of </w:t>
    </w:r>
    <w:r w:rsidRPr="006727A5">
      <w:rPr>
        <w:rStyle w:val="PageNumber"/>
        <w:b/>
        <w:sz w:val="16"/>
        <w:szCs w:val="16"/>
      </w:rPr>
      <w:fldChar w:fldCharType="begin"/>
    </w:r>
    <w:r w:rsidRPr="006727A5">
      <w:rPr>
        <w:rStyle w:val="PageNumber"/>
        <w:b/>
        <w:sz w:val="16"/>
        <w:szCs w:val="16"/>
      </w:rPr>
      <w:instrText xml:space="preserve"> NUMPAGES </w:instrText>
    </w:r>
    <w:r w:rsidRPr="006727A5">
      <w:rPr>
        <w:rStyle w:val="PageNumber"/>
        <w:b/>
        <w:sz w:val="16"/>
        <w:szCs w:val="16"/>
      </w:rPr>
      <w:fldChar w:fldCharType="separate"/>
    </w:r>
    <w:r w:rsidR="001D6464">
      <w:rPr>
        <w:rStyle w:val="PageNumber"/>
        <w:b/>
        <w:noProof/>
        <w:sz w:val="16"/>
        <w:szCs w:val="16"/>
      </w:rPr>
      <w:t>5</w:t>
    </w:r>
    <w:r w:rsidRPr="006727A5">
      <w:rPr>
        <w:rStyle w:val="PageNumber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33" w:rsidRDefault="00C82833">
      <w:r>
        <w:separator/>
      </w:r>
    </w:p>
  </w:footnote>
  <w:footnote w:type="continuationSeparator" w:id="0">
    <w:p w:rsidR="00C82833" w:rsidRDefault="00C8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35" w:rsidRDefault="008F1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40" w:rsidRDefault="00B66E40" w:rsidP="00CE0DCA">
    <w:pPr>
      <w:pStyle w:val="Header"/>
      <w:spacing w:line="240" w:lineRule="auto"/>
      <w:rPr>
        <w:b/>
        <w:szCs w:val="16"/>
        <w:lang w:val="en-US"/>
      </w:rPr>
    </w:pPr>
    <w:r w:rsidRPr="00CE0DCA">
      <w:rPr>
        <w:b/>
        <w:szCs w:val="16"/>
        <w:lang w:val="en-US"/>
      </w:rPr>
      <w:t>Form 11 – Notice of Private Placement</w:t>
    </w:r>
    <w:r w:rsidR="00A758CA"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33375"/>
          <wp:effectExtent l="0" t="0" r="0" b="9525"/>
          <wp:wrapNone/>
          <wp:docPr id="2" name="Picture 1" descr="tmx_t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x_t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E40" w:rsidRDefault="00B66E40" w:rsidP="00CE0DCA">
    <w:pPr>
      <w:pStyle w:val="Header"/>
      <w:spacing w:line="240" w:lineRule="auto"/>
      <w:rPr>
        <w:szCs w:val="16"/>
        <w:lang w:val="en-US"/>
      </w:rPr>
    </w:pPr>
    <w:r w:rsidRPr="00FF60B0">
      <w:rPr>
        <w:szCs w:val="16"/>
        <w:lang w:val="en-US"/>
      </w:rPr>
      <w:t xml:space="preserve">(Effective </w:t>
    </w:r>
    <w:r w:rsidR="008F1F35">
      <w:rPr>
        <w:szCs w:val="16"/>
        <w:lang w:val="en-US"/>
      </w:rPr>
      <w:t>February 1</w:t>
    </w:r>
    <w:r w:rsidR="00C654D9">
      <w:rPr>
        <w:szCs w:val="16"/>
        <w:lang w:val="en-US"/>
      </w:rPr>
      <w:t>, 2018</w:t>
    </w:r>
    <w:r>
      <w:rPr>
        <w:szCs w:val="16"/>
        <w:lang w:val="en-US"/>
      </w:rPr>
      <w:t>)</w:t>
    </w:r>
  </w:p>
  <w:p w:rsidR="00B66E40" w:rsidRPr="00FF60B0" w:rsidRDefault="00B66E40" w:rsidP="00CE0DCA">
    <w:pPr>
      <w:pStyle w:val="Header"/>
      <w:spacing w:line="240" w:lineRule="auto"/>
      <w:rPr>
        <w:szCs w:val="16"/>
        <w:lang w:val="en-US"/>
      </w:rPr>
    </w:pPr>
  </w:p>
  <w:p w:rsidR="00B66E40" w:rsidRPr="00CE7690" w:rsidRDefault="00B66E40" w:rsidP="00CE7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E40" w:rsidRDefault="00A758CA" w:rsidP="004C54BA">
    <w:pPr>
      <w:pStyle w:val="Header"/>
      <w:spacing w:line="240" w:lineRule="auto"/>
      <w:jc w:val="right"/>
      <w:rPr>
        <w:b/>
        <w:sz w:val="28"/>
        <w:szCs w:val="28"/>
        <w:lang w:val="en-US"/>
      </w:rPr>
    </w:pPr>
    <w:r w:rsidRPr="00372941">
      <w:rPr>
        <w:b/>
        <w:noProof/>
        <w:lang w:val="en-US"/>
      </w:rPr>
      <w:drawing>
        <wp:inline distT="0" distB="0" distL="0" distR="0">
          <wp:extent cx="1319530" cy="509270"/>
          <wp:effectExtent l="0" t="0" r="0" b="5080"/>
          <wp:docPr id="1" name="Picture 1" descr="tmx_t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mx_t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6E40" w:rsidRDefault="00B66E40" w:rsidP="00CE0DCA">
    <w:pPr>
      <w:pStyle w:val="Header"/>
      <w:spacing w:line="240" w:lineRule="auto"/>
      <w:rPr>
        <w:b/>
        <w:sz w:val="28"/>
        <w:szCs w:val="28"/>
        <w:lang w:val="en-US"/>
      </w:rPr>
    </w:pPr>
    <w:r w:rsidRPr="00A62624">
      <w:rPr>
        <w:b/>
        <w:sz w:val="28"/>
        <w:szCs w:val="28"/>
        <w:lang w:val="en-US"/>
      </w:rPr>
      <w:t>Form 11 – Notice of Private Placement</w:t>
    </w:r>
  </w:p>
  <w:p w:rsidR="00B66E40" w:rsidRDefault="00B66E40" w:rsidP="00CE0DCA">
    <w:pPr>
      <w:pStyle w:val="Header"/>
      <w:spacing w:line="240" w:lineRule="auto"/>
      <w:rPr>
        <w:sz w:val="24"/>
        <w:szCs w:val="24"/>
        <w:lang w:val="en-US"/>
      </w:rPr>
    </w:pPr>
    <w:r w:rsidRPr="006727A5">
      <w:rPr>
        <w:sz w:val="28"/>
        <w:szCs w:val="28"/>
        <w:lang w:val="en-US"/>
      </w:rPr>
      <w:t>(</w:t>
    </w:r>
    <w:r w:rsidRPr="00CE0DCA">
      <w:rPr>
        <w:sz w:val="24"/>
        <w:szCs w:val="24"/>
        <w:lang w:val="en-US"/>
      </w:rPr>
      <w:t xml:space="preserve">Effective </w:t>
    </w:r>
    <w:r w:rsidR="008F1F35">
      <w:rPr>
        <w:sz w:val="24"/>
        <w:szCs w:val="24"/>
        <w:lang w:val="en-US"/>
      </w:rPr>
      <w:t>February 1</w:t>
    </w:r>
    <w:r w:rsidR="00C654D9">
      <w:rPr>
        <w:sz w:val="24"/>
        <w:szCs w:val="24"/>
        <w:lang w:val="en-US"/>
      </w:rPr>
      <w:t>, 2018</w:t>
    </w:r>
    <w:r w:rsidRPr="00CE0DCA">
      <w:rPr>
        <w:sz w:val="24"/>
        <w:szCs w:val="24"/>
        <w:lang w:val="en-US"/>
      </w:rPr>
      <w:t>)</w:t>
    </w:r>
    <w:r w:rsidRPr="004C54BA">
      <w:rPr>
        <w:b/>
      </w:rPr>
      <w:t xml:space="preserve"> </w:t>
    </w:r>
  </w:p>
  <w:p w:rsidR="00B66E40" w:rsidRPr="00A62624" w:rsidRDefault="00B66E40" w:rsidP="00CE0DCA">
    <w:pPr>
      <w:pStyle w:val="Header"/>
      <w:spacing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53FB2"/>
    <w:multiLevelType w:val="multilevel"/>
    <w:tmpl w:val="30F0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2A03A37"/>
    <w:multiLevelType w:val="multilevel"/>
    <w:tmpl w:val="9646A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752A36"/>
    <w:multiLevelType w:val="multilevel"/>
    <w:tmpl w:val="56BAA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FC2676E"/>
    <w:multiLevelType w:val="hybridMultilevel"/>
    <w:tmpl w:val="66A8B9DC"/>
    <w:lvl w:ilvl="0" w:tplc="FFBC8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7D38A1"/>
    <w:multiLevelType w:val="multilevel"/>
    <w:tmpl w:val="3222A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35A23BE"/>
    <w:multiLevelType w:val="multilevel"/>
    <w:tmpl w:val="9DEE5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52D225B"/>
    <w:multiLevelType w:val="multilevel"/>
    <w:tmpl w:val="28F488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87E7D"/>
    <w:multiLevelType w:val="hybridMultilevel"/>
    <w:tmpl w:val="7730FE1C"/>
    <w:lvl w:ilvl="0" w:tplc="FFBC8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51946"/>
    <w:multiLevelType w:val="multilevel"/>
    <w:tmpl w:val="3222A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9F90E20"/>
    <w:multiLevelType w:val="multilevel"/>
    <w:tmpl w:val="28F488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CA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AD"/>
    <w:rsid w:val="0000413B"/>
    <w:rsid w:val="0003096A"/>
    <w:rsid w:val="00047D13"/>
    <w:rsid w:val="00060FCE"/>
    <w:rsid w:val="00062EED"/>
    <w:rsid w:val="00071074"/>
    <w:rsid w:val="000847A3"/>
    <w:rsid w:val="000B0074"/>
    <w:rsid w:val="000B124F"/>
    <w:rsid w:val="000B1CF4"/>
    <w:rsid w:val="000B3A97"/>
    <w:rsid w:val="000C1B04"/>
    <w:rsid w:val="000C5FBD"/>
    <w:rsid w:val="000E3D15"/>
    <w:rsid w:val="00113317"/>
    <w:rsid w:val="0012563C"/>
    <w:rsid w:val="00127A90"/>
    <w:rsid w:val="00130205"/>
    <w:rsid w:val="001660D5"/>
    <w:rsid w:val="00166239"/>
    <w:rsid w:val="001666C9"/>
    <w:rsid w:val="0016741F"/>
    <w:rsid w:val="001676F4"/>
    <w:rsid w:val="00171599"/>
    <w:rsid w:val="001761FB"/>
    <w:rsid w:val="00181D81"/>
    <w:rsid w:val="00182800"/>
    <w:rsid w:val="00193B2F"/>
    <w:rsid w:val="001A4A67"/>
    <w:rsid w:val="001A5C28"/>
    <w:rsid w:val="001B7A4C"/>
    <w:rsid w:val="001C197C"/>
    <w:rsid w:val="001D6464"/>
    <w:rsid w:val="001D6FEA"/>
    <w:rsid w:val="00207A1E"/>
    <w:rsid w:val="00214425"/>
    <w:rsid w:val="00230854"/>
    <w:rsid w:val="00233773"/>
    <w:rsid w:val="00247EA4"/>
    <w:rsid w:val="00267518"/>
    <w:rsid w:val="00296B34"/>
    <w:rsid w:val="002B6887"/>
    <w:rsid w:val="002C1C77"/>
    <w:rsid w:val="002C31D4"/>
    <w:rsid w:val="002C7C7E"/>
    <w:rsid w:val="002E1090"/>
    <w:rsid w:val="0030235F"/>
    <w:rsid w:val="00305178"/>
    <w:rsid w:val="00307D1D"/>
    <w:rsid w:val="003134EF"/>
    <w:rsid w:val="00332B09"/>
    <w:rsid w:val="00361B57"/>
    <w:rsid w:val="0036582B"/>
    <w:rsid w:val="003B6588"/>
    <w:rsid w:val="003F3BF0"/>
    <w:rsid w:val="00415DD9"/>
    <w:rsid w:val="00444F6B"/>
    <w:rsid w:val="00446313"/>
    <w:rsid w:val="004626FC"/>
    <w:rsid w:val="00483985"/>
    <w:rsid w:val="0048539F"/>
    <w:rsid w:val="004C15E2"/>
    <w:rsid w:val="004C16CB"/>
    <w:rsid w:val="004C54BA"/>
    <w:rsid w:val="004D0C0D"/>
    <w:rsid w:val="00502216"/>
    <w:rsid w:val="00512219"/>
    <w:rsid w:val="00515A6C"/>
    <w:rsid w:val="00516EA4"/>
    <w:rsid w:val="00542436"/>
    <w:rsid w:val="00543175"/>
    <w:rsid w:val="00561877"/>
    <w:rsid w:val="00567CF0"/>
    <w:rsid w:val="005A0B1D"/>
    <w:rsid w:val="005B7A25"/>
    <w:rsid w:val="005B7FB4"/>
    <w:rsid w:val="005F3918"/>
    <w:rsid w:val="0060492A"/>
    <w:rsid w:val="00612B15"/>
    <w:rsid w:val="0063090E"/>
    <w:rsid w:val="00642E8E"/>
    <w:rsid w:val="00644D9F"/>
    <w:rsid w:val="006727A5"/>
    <w:rsid w:val="00683D75"/>
    <w:rsid w:val="006927A8"/>
    <w:rsid w:val="006C3327"/>
    <w:rsid w:val="006D1CBC"/>
    <w:rsid w:val="006D5EB9"/>
    <w:rsid w:val="006F1ECE"/>
    <w:rsid w:val="00707ED1"/>
    <w:rsid w:val="0071330A"/>
    <w:rsid w:val="007172B3"/>
    <w:rsid w:val="00720330"/>
    <w:rsid w:val="007209A4"/>
    <w:rsid w:val="00721861"/>
    <w:rsid w:val="007247F8"/>
    <w:rsid w:val="00724868"/>
    <w:rsid w:val="007608B0"/>
    <w:rsid w:val="00760930"/>
    <w:rsid w:val="00775A87"/>
    <w:rsid w:val="00777346"/>
    <w:rsid w:val="00794557"/>
    <w:rsid w:val="007A53B5"/>
    <w:rsid w:val="007F3838"/>
    <w:rsid w:val="00815D17"/>
    <w:rsid w:val="008244CF"/>
    <w:rsid w:val="0083242D"/>
    <w:rsid w:val="008354DA"/>
    <w:rsid w:val="00844E7A"/>
    <w:rsid w:val="00850830"/>
    <w:rsid w:val="00875BA2"/>
    <w:rsid w:val="00882AB5"/>
    <w:rsid w:val="00883F17"/>
    <w:rsid w:val="0089325F"/>
    <w:rsid w:val="008A1CE4"/>
    <w:rsid w:val="008E3DC8"/>
    <w:rsid w:val="008F1F35"/>
    <w:rsid w:val="00900DBB"/>
    <w:rsid w:val="00923753"/>
    <w:rsid w:val="00924F8F"/>
    <w:rsid w:val="00941B96"/>
    <w:rsid w:val="00950998"/>
    <w:rsid w:val="00956A27"/>
    <w:rsid w:val="00962615"/>
    <w:rsid w:val="009B0803"/>
    <w:rsid w:val="009C3FEB"/>
    <w:rsid w:val="009D2CA0"/>
    <w:rsid w:val="009E0D07"/>
    <w:rsid w:val="00A015FC"/>
    <w:rsid w:val="00A047DF"/>
    <w:rsid w:val="00A1604F"/>
    <w:rsid w:val="00A30E02"/>
    <w:rsid w:val="00A329EE"/>
    <w:rsid w:val="00A603A3"/>
    <w:rsid w:val="00A62624"/>
    <w:rsid w:val="00A73158"/>
    <w:rsid w:val="00A758CA"/>
    <w:rsid w:val="00A76960"/>
    <w:rsid w:val="00AC112E"/>
    <w:rsid w:val="00AC1238"/>
    <w:rsid w:val="00AE6680"/>
    <w:rsid w:val="00B0053E"/>
    <w:rsid w:val="00B026FE"/>
    <w:rsid w:val="00B15B65"/>
    <w:rsid w:val="00B35648"/>
    <w:rsid w:val="00B44214"/>
    <w:rsid w:val="00B63957"/>
    <w:rsid w:val="00B66E40"/>
    <w:rsid w:val="00B671DE"/>
    <w:rsid w:val="00B74915"/>
    <w:rsid w:val="00B77F40"/>
    <w:rsid w:val="00B86A60"/>
    <w:rsid w:val="00B877F9"/>
    <w:rsid w:val="00B95766"/>
    <w:rsid w:val="00BA0BD8"/>
    <w:rsid w:val="00BA5819"/>
    <w:rsid w:val="00BD54DD"/>
    <w:rsid w:val="00BE174A"/>
    <w:rsid w:val="00C1080C"/>
    <w:rsid w:val="00C147A0"/>
    <w:rsid w:val="00C23D0B"/>
    <w:rsid w:val="00C3093C"/>
    <w:rsid w:val="00C314A6"/>
    <w:rsid w:val="00C31BAD"/>
    <w:rsid w:val="00C46C74"/>
    <w:rsid w:val="00C654D9"/>
    <w:rsid w:val="00C70E01"/>
    <w:rsid w:val="00C7511B"/>
    <w:rsid w:val="00C82833"/>
    <w:rsid w:val="00C829F0"/>
    <w:rsid w:val="00C869AB"/>
    <w:rsid w:val="00C902FC"/>
    <w:rsid w:val="00CA27FC"/>
    <w:rsid w:val="00CA58E7"/>
    <w:rsid w:val="00CA74F1"/>
    <w:rsid w:val="00CC0D10"/>
    <w:rsid w:val="00CE0DCA"/>
    <w:rsid w:val="00CE7690"/>
    <w:rsid w:val="00D372C6"/>
    <w:rsid w:val="00D80690"/>
    <w:rsid w:val="00D85AA0"/>
    <w:rsid w:val="00D866D3"/>
    <w:rsid w:val="00DA4496"/>
    <w:rsid w:val="00DA5109"/>
    <w:rsid w:val="00DC254E"/>
    <w:rsid w:val="00DD2469"/>
    <w:rsid w:val="00DD39AB"/>
    <w:rsid w:val="00DD457E"/>
    <w:rsid w:val="00DD6DA2"/>
    <w:rsid w:val="00DE4150"/>
    <w:rsid w:val="00E11E44"/>
    <w:rsid w:val="00E36C4F"/>
    <w:rsid w:val="00E37FCE"/>
    <w:rsid w:val="00E52A05"/>
    <w:rsid w:val="00E90668"/>
    <w:rsid w:val="00EC2756"/>
    <w:rsid w:val="00ED6FB3"/>
    <w:rsid w:val="00F0277C"/>
    <w:rsid w:val="00F02DB8"/>
    <w:rsid w:val="00F15199"/>
    <w:rsid w:val="00F320CD"/>
    <w:rsid w:val="00F4125F"/>
    <w:rsid w:val="00F446F0"/>
    <w:rsid w:val="00F5591E"/>
    <w:rsid w:val="00F615C9"/>
    <w:rsid w:val="00F96ACC"/>
    <w:rsid w:val="00FA668F"/>
    <w:rsid w:val="00FB50AE"/>
    <w:rsid w:val="00FB68F6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docId w15:val="{C8A4CAD6-3820-488D-8520-8E530103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2" w:after="50"/>
      <w:outlineLvl w:val="0"/>
    </w:pPr>
    <w:rPr>
      <w:rFonts w:ascii="Arial" w:hAnsi="Arial"/>
      <w:b/>
      <w:caps/>
      <w:spacing w:val="4"/>
      <w:kern w:val="22"/>
      <w:szCs w:val="20"/>
      <w:lang w:val="en-CA"/>
    </w:rPr>
  </w:style>
  <w:style w:type="paragraph" w:styleId="Heading2">
    <w:name w:val="heading 2"/>
    <w:basedOn w:val="Normal"/>
    <w:next w:val="Normal"/>
    <w:qFormat/>
    <w:pPr>
      <w:keepNext/>
      <w:spacing w:before="128" w:after="38" w:line="240" w:lineRule="exact"/>
      <w:outlineLvl w:val="1"/>
    </w:pPr>
    <w:rPr>
      <w:rFonts w:ascii="Arial" w:hAnsi="Arial"/>
      <w:caps/>
      <w:spacing w:val="4"/>
      <w:kern w:val="16"/>
      <w:sz w:val="17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40" w:after="75" w:line="240" w:lineRule="exact"/>
      <w:outlineLvl w:val="2"/>
    </w:pPr>
    <w:rPr>
      <w:rFonts w:ascii="Arial" w:hAnsi="Arial"/>
      <w:b/>
      <w:caps/>
      <w:spacing w:val="6"/>
      <w:sz w:val="16"/>
      <w:szCs w:val="20"/>
      <w:lang w:val="en-CA"/>
    </w:rPr>
  </w:style>
  <w:style w:type="paragraph" w:styleId="Heading4">
    <w:name w:val="heading 4"/>
    <w:basedOn w:val="Normal"/>
    <w:next w:val="Normal"/>
    <w:qFormat/>
    <w:pPr>
      <w:keepNext/>
      <w:spacing w:line="290" w:lineRule="exact"/>
      <w:outlineLvl w:val="3"/>
    </w:pPr>
    <w:rPr>
      <w:rFonts w:ascii="Arial" w:hAnsi="Arial"/>
      <w:b/>
      <w:caps/>
      <w:spacing w:val="4"/>
      <w:szCs w:val="20"/>
      <w:lang w:val="en-CA"/>
    </w:rPr>
  </w:style>
  <w:style w:type="paragraph" w:styleId="Heading5">
    <w:name w:val="heading 5"/>
    <w:basedOn w:val="Normal"/>
    <w:next w:val="Normal"/>
    <w:qFormat/>
    <w:pPr>
      <w:keepNext/>
      <w:spacing w:before="20"/>
      <w:outlineLvl w:val="4"/>
    </w:pPr>
    <w:rPr>
      <w:rFonts w:ascii="Arial" w:hAnsi="Arial"/>
      <w:caps/>
      <w:noProof/>
      <w:sz w:val="1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basedOn w:val="Normal"/>
    <w:pPr>
      <w:spacing w:before="40" w:after="75" w:line="240" w:lineRule="exact"/>
    </w:pPr>
    <w:rPr>
      <w:rFonts w:ascii="Arial" w:hAnsi="Arial"/>
      <w:spacing w:val="4"/>
      <w:sz w:val="17"/>
      <w:szCs w:val="20"/>
      <w:lang w:val="en-CA"/>
    </w:rPr>
  </w:style>
  <w:style w:type="paragraph" w:styleId="TOC2">
    <w:name w:val="toc 2"/>
    <w:basedOn w:val="Normal"/>
    <w:next w:val="Normal"/>
    <w:autoRedefine/>
    <w:semiHidden/>
    <w:pPr>
      <w:spacing w:line="240" w:lineRule="exact"/>
    </w:pPr>
    <w:rPr>
      <w:rFonts w:ascii="Arial" w:hAnsi="Arial"/>
      <w:b/>
      <w:spacing w:val="6"/>
      <w:sz w:val="17"/>
      <w:szCs w:val="20"/>
      <w:lang w:val="en-CA"/>
    </w:rPr>
  </w:style>
  <w:style w:type="paragraph" w:styleId="TOC3">
    <w:name w:val="toc 3"/>
    <w:basedOn w:val="Normal"/>
    <w:next w:val="Normal"/>
    <w:autoRedefine/>
    <w:semiHidden/>
    <w:pPr>
      <w:spacing w:line="240" w:lineRule="exact"/>
    </w:pPr>
    <w:rPr>
      <w:rFonts w:ascii="Arial" w:hAnsi="Arial"/>
      <w:spacing w:val="6"/>
      <w:sz w:val="17"/>
      <w:szCs w:val="20"/>
      <w:lang w:val="en-CA"/>
    </w:rPr>
  </w:style>
  <w:style w:type="paragraph" w:styleId="TOC1">
    <w:name w:val="toc 1"/>
    <w:basedOn w:val="Normal"/>
    <w:next w:val="Normal"/>
    <w:autoRedefine/>
    <w:semiHidden/>
    <w:pPr>
      <w:spacing w:before="240" w:line="240" w:lineRule="exact"/>
    </w:pPr>
    <w:rPr>
      <w:rFonts w:ascii="Arial" w:hAnsi="Arial"/>
      <w:b/>
      <w:caps/>
      <w:noProof/>
      <w:spacing w:val="6"/>
      <w:sz w:val="17"/>
      <w:szCs w:val="20"/>
      <w:lang w:val="en-CA"/>
    </w:rPr>
  </w:style>
  <w:style w:type="character" w:styleId="Hyperlink">
    <w:name w:val="Hyperlink"/>
    <w:rPr>
      <w:rFonts w:ascii="Arial" w:hAnsi="Arial"/>
      <w:color w:val="auto"/>
      <w:u w:val="none"/>
    </w:rPr>
  </w:style>
  <w:style w:type="paragraph" w:customStyle="1" w:styleId="Heading1Title">
    <w:name w:val="Heading 1 Title"/>
    <w:basedOn w:val="Heading1"/>
    <w:pPr>
      <w:ind w:firstLine="180"/>
    </w:pPr>
  </w:style>
  <w:style w:type="paragraph" w:styleId="BodyTextIndent">
    <w:name w:val="Body Text Indent"/>
    <w:basedOn w:val="Normal"/>
    <w:pPr>
      <w:spacing w:before="100" w:after="90"/>
      <w:ind w:left="1382"/>
    </w:pPr>
    <w:rPr>
      <w:rFonts w:ascii="Arial" w:hAnsi="Arial" w:cs="Arial"/>
      <w:sz w:val="17"/>
    </w:rPr>
  </w:style>
  <w:style w:type="paragraph" w:styleId="BodyTextIndent3">
    <w:name w:val="Body Text Indent 3"/>
    <w:basedOn w:val="Normal"/>
    <w:pPr>
      <w:spacing w:line="240" w:lineRule="exact"/>
      <w:ind w:left="1468" w:hanging="86"/>
    </w:pPr>
    <w:rPr>
      <w:rFonts w:ascii="Arial" w:hAnsi="Arial"/>
      <w:spacing w:val="6"/>
      <w:sz w:val="17"/>
      <w:szCs w:val="20"/>
      <w:lang w:val="en-CA"/>
    </w:rPr>
  </w:style>
  <w:style w:type="paragraph" w:styleId="BodyText">
    <w:name w:val="Body Text"/>
    <w:basedOn w:val="Normal"/>
    <w:pPr>
      <w:spacing w:before="240" w:after="120" w:line="240" w:lineRule="exact"/>
      <w:jc w:val="both"/>
    </w:pPr>
    <w:rPr>
      <w:rFonts w:ascii="Arial" w:hAnsi="Arial"/>
      <w:b/>
      <w:spacing w:val="-4"/>
      <w:sz w:val="17"/>
      <w:szCs w:val="20"/>
      <w:lang w:val="en-CA"/>
    </w:rPr>
  </w:style>
  <w:style w:type="paragraph" w:styleId="BodyTextIndent2">
    <w:name w:val="Body Text Indent 2"/>
    <w:basedOn w:val="Normal"/>
    <w:pPr>
      <w:spacing w:line="240" w:lineRule="exact"/>
      <w:ind w:left="153" w:hanging="153"/>
    </w:pPr>
    <w:rPr>
      <w:rFonts w:ascii="Arial" w:hAnsi="Arial"/>
      <w:spacing w:val="6"/>
      <w:sz w:val="17"/>
      <w:szCs w:val="20"/>
      <w:lang w:val="en-CA"/>
    </w:rPr>
  </w:style>
  <w:style w:type="paragraph" w:styleId="Footer">
    <w:name w:val="footer"/>
    <w:basedOn w:val="Normal"/>
    <w:pPr>
      <w:tabs>
        <w:tab w:val="center" w:pos="2030"/>
        <w:tab w:val="left" w:pos="2232"/>
      </w:tabs>
      <w:ind w:left="1382"/>
    </w:pPr>
    <w:rPr>
      <w:rFonts w:ascii="Arial" w:hAnsi="Arial"/>
      <w:spacing w:val="6"/>
      <w:sz w:val="14"/>
      <w:szCs w:val="20"/>
      <w:lang w:val="en-GB"/>
    </w:rPr>
  </w:style>
  <w:style w:type="paragraph" w:styleId="Header">
    <w:name w:val="header"/>
    <w:basedOn w:val="Normal"/>
    <w:pPr>
      <w:spacing w:line="240" w:lineRule="exact"/>
    </w:pPr>
    <w:rPr>
      <w:rFonts w:ascii="Arial" w:hAnsi="Arial"/>
      <w:sz w:val="16"/>
      <w:szCs w:val="20"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2">
    <w:name w:val="Body Text 2"/>
    <w:basedOn w:val="Normal"/>
    <w:link w:val="BodyText2Char"/>
    <w:rPr>
      <w:rFonts w:ascii="Arial" w:hAnsi="Arial" w:cs="Arial"/>
      <w:bCs/>
      <w:color w:val="000000"/>
      <w:sz w:val="20"/>
    </w:rPr>
  </w:style>
  <w:style w:type="paragraph" w:styleId="CommentText">
    <w:name w:val="annotation text"/>
    <w:basedOn w:val="Normal"/>
    <w:semiHidden/>
    <w:rsid w:val="00307D1D"/>
    <w:pPr>
      <w:widowControl w:val="0"/>
    </w:pPr>
    <w:rPr>
      <w:rFonts w:ascii="CG Times" w:hAnsi="CG Times"/>
      <w:sz w:val="20"/>
      <w:szCs w:val="20"/>
    </w:rPr>
  </w:style>
  <w:style w:type="paragraph" w:styleId="BodyText3">
    <w:name w:val="Body Text 3"/>
    <w:basedOn w:val="Normal"/>
    <w:rsid w:val="00307D1D"/>
    <w:pPr>
      <w:widowControl w:val="0"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3870"/>
      </w:tabs>
    </w:pPr>
    <w:rPr>
      <w:b/>
      <w:sz w:val="20"/>
      <w:szCs w:val="20"/>
      <w:lang w:val="en-GB"/>
    </w:rPr>
  </w:style>
  <w:style w:type="paragraph" w:styleId="Title">
    <w:name w:val="Title"/>
    <w:basedOn w:val="Normal"/>
    <w:qFormat/>
    <w:rsid w:val="00307D1D"/>
    <w:pPr>
      <w:tabs>
        <w:tab w:val="center" w:pos="4896"/>
      </w:tabs>
      <w:jc w:val="center"/>
    </w:pPr>
    <w:rPr>
      <w:rFonts w:ascii="Century Gothic" w:hAnsi="Century Gothic"/>
      <w:b/>
      <w:sz w:val="36"/>
      <w:szCs w:val="20"/>
      <w:lang w:val="en-GB"/>
    </w:rPr>
  </w:style>
  <w:style w:type="character" w:customStyle="1" w:styleId="textdrkgrey1">
    <w:name w:val="textdrkgrey1"/>
    <w:rsid w:val="00307D1D"/>
    <w:rPr>
      <w:rFonts w:ascii="Arial" w:hAnsi="Arial" w:cs="Arial" w:hint="default"/>
      <w:color w:val="333333"/>
      <w:sz w:val="21"/>
      <w:szCs w:val="21"/>
    </w:rPr>
  </w:style>
  <w:style w:type="character" w:customStyle="1" w:styleId="BodyText2Char">
    <w:name w:val="Body Text 2 Char"/>
    <w:link w:val="BodyText2"/>
    <w:rsid w:val="00181D81"/>
    <w:rPr>
      <w:rFonts w:ascii="Arial" w:hAnsi="Arial" w:cs="Arial"/>
      <w:bCs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CA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1604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42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Stock Exchange - Appendix H - Reporting Form 11</vt:lpstr>
    </vt:vector>
  </TitlesOfParts>
  <Company>ThomsonReuters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Stock Exchange - Appendix H - Reporting Form 11</dc:title>
  <dc:creator>TSX Group Inc.</dc:creator>
  <cp:lastModifiedBy>Catherine De Giusti</cp:lastModifiedBy>
  <cp:revision>2</cp:revision>
  <cp:lastPrinted>2017-10-31T18:43:00Z</cp:lastPrinted>
  <dcterms:created xsi:type="dcterms:W3CDTF">2019-12-03T16:42:00Z</dcterms:created>
  <dcterms:modified xsi:type="dcterms:W3CDTF">2019-12-03T16:42:00Z</dcterms:modified>
</cp:coreProperties>
</file>