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617" w:rsidRPr="00CC1617" w:rsidRDefault="00CC1617" w:rsidP="00CC1617">
      <w:pPr>
        <w:widowControl w:val="0"/>
        <w:tabs>
          <w:tab w:val="left" w:pos="1080"/>
        </w:tabs>
        <w:spacing w:after="0"/>
        <w:jc w:val="left"/>
        <w:rPr>
          <w:rFonts w:cs="Arial"/>
          <w:b/>
          <w:color w:val="000000"/>
          <w:sz w:val="24"/>
          <w:lang w:val="fr-FR"/>
        </w:rPr>
      </w:pPr>
      <w:proofErr w:type="spellStart"/>
      <w:r w:rsidRPr="00CC1617">
        <w:rPr>
          <w:rFonts w:cs="Arial"/>
          <w:b/>
          <w:color w:val="000000"/>
          <w:sz w:val="24"/>
          <w:lang w:val="fr-FR" w:bidi="fr-CA"/>
        </w:rPr>
        <w:t>Veuillez vous</w:t>
      </w:r>
      <w:proofErr w:type="spellEnd"/>
      <w:r w:rsidRPr="00CC1617">
        <w:rPr>
          <w:rFonts w:cs="Arial"/>
          <w:b/>
          <w:color w:val="000000"/>
          <w:sz w:val="24"/>
          <w:lang w:val="fr-FR" w:bidi="fr-CA"/>
        </w:rPr>
        <w:t xml:space="preserve"> reporter aux </w:t>
      </w:r>
      <w:hyperlink r:id="rId8" w:history="1">
        <w:r w:rsidRPr="00CC1617">
          <w:rPr>
            <w:rFonts w:cs="Arial"/>
            <w:b/>
            <w:color w:val="0000FF"/>
            <w:sz w:val="24"/>
            <w:u w:val="single"/>
            <w:lang w:val="fr-FR" w:bidi="fr-CA"/>
          </w:rPr>
          <w:t>directives</w:t>
        </w:r>
      </w:hyperlink>
      <w:r w:rsidRPr="00CC1617">
        <w:rPr>
          <w:rFonts w:cs="Arial"/>
          <w:b/>
          <w:color w:val="000000"/>
          <w:sz w:val="24"/>
          <w:lang w:val="fr-FR" w:bidi="fr-CA"/>
        </w:rPr>
        <w:t xml:space="preserve"> pour obtenir de l’aide afin de remplir ce formulaire. </w:t>
      </w:r>
    </w:p>
    <w:p w:rsidR="00CC1617" w:rsidRDefault="00CC1617" w:rsidP="000E290E">
      <w:pPr>
        <w:keepNext/>
        <w:tabs>
          <w:tab w:val="right" w:pos="9360"/>
        </w:tabs>
        <w:ind w:left="720" w:hanging="720"/>
        <w:rPr>
          <w:rFonts w:cs="Arial"/>
          <w:b/>
          <w:bCs/>
          <w:noProof/>
          <w:szCs w:val="22"/>
          <w:lang w:val="fr-CA"/>
        </w:rPr>
      </w:pPr>
    </w:p>
    <w:p w:rsidR="000E290E" w:rsidRDefault="000E290E" w:rsidP="000E290E">
      <w:pPr>
        <w:keepNext/>
        <w:tabs>
          <w:tab w:val="right" w:pos="9360"/>
        </w:tabs>
        <w:ind w:left="720" w:hanging="720"/>
        <w:rPr>
          <w:rFonts w:cs="Arial"/>
          <w:b/>
          <w:bCs/>
          <w:noProof/>
          <w:szCs w:val="22"/>
          <w:lang w:val="fr-CA"/>
        </w:rPr>
      </w:pPr>
      <w:r>
        <w:rPr>
          <w:rFonts w:cs="Arial"/>
          <w:b/>
          <w:bCs/>
          <w:noProof/>
          <w:szCs w:val="22"/>
          <w:lang w:val="fr-CA"/>
        </w:rPr>
        <w:t>1.</w:t>
      </w:r>
      <w:r>
        <w:rPr>
          <w:rFonts w:cs="Arial"/>
          <w:b/>
          <w:bCs/>
          <w:noProof/>
          <w:szCs w:val="22"/>
          <w:lang w:val="fr-CA"/>
        </w:rPr>
        <w:tab/>
        <w:t>Titres visés –</w:t>
      </w:r>
    </w:p>
    <w:p w:rsidR="000E290E" w:rsidRDefault="000E290E" w:rsidP="000E290E">
      <w:pPr>
        <w:tabs>
          <w:tab w:val="right" w:pos="9360"/>
        </w:tabs>
        <w:spacing w:after="180"/>
        <w:ind w:left="1440" w:hanging="720"/>
        <w:rPr>
          <w:rFonts w:cs="Arial"/>
          <w:noProof/>
          <w:szCs w:val="22"/>
          <w:u w:val="single"/>
          <w:lang w:val="fr-CA"/>
        </w:rPr>
      </w:pPr>
      <w:r>
        <w:rPr>
          <w:rFonts w:cs="Arial"/>
          <w:noProof/>
          <w:szCs w:val="22"/>
          <w:lang w:val="fr-CA"/>
        </w:rPr>
        <w:t>a)</w:t>
      </w:r>
      <w:r>
        <w:rPr>
          <w:rFonts w:cs="Arial"/>
          <w:noProof/>
          <w:szCs w:val="22"/>
          <w:lang w:val="fr-CA"/>
        </w:rPr>
        <w:tab/>
        <w:t xml:space="preserve">Catégorie(s) des titres visés par l’offre : </w:t>
      </w:r>
      <w:r>
        <w:rPr>
          <w:rFonts w:cs="Arial"/>
          <w:noProof/>
          <w:szCs w:val="22"/>
          <w:u w:val="single"/>
          <w:lang w:val="fr-CA"/>
        </w:rPr>
        <w:tab/>
      </w:r>
    </w:p>
    <w:p w:rsidR="000E290E" w:rsidRDefault="000E290E" w:rsidP="000E290E">
      <w:pPr>
        <w:tabs>
          <w:tab w:val="right" w:pos="9360"/>
        </w:tabs>
        <w:spacing w:after="120"/>
        <w:ind w:left="1440" w:hanging="720"/>
        <w:rPr>
          <w:rFonts w:cs="Arial"/>
          <w:noProof/>
          <w:szCs w:val="22"/>
          <w:lang w:val="fr-CA"/>
        </w:rPr>
      </w:pPr>
      <w:r>
        <w:rPr>
          <w:rFonts w:cs="Arial"/>
          <w:noProof/>
          <w:szCs w:val="22"/>
          <w:lang w:val="fr-CA"/>
        </w:rPr>
        <w:t>b)</w:t>
      </w:r>
      <w:r>
        <w:rPr>
          <w:rFonts w:cs="Arial"/>
          <w:noProof/>
          <w:szCs w:val="22"/>
          <w:lang w:val="fr-CA"/>
        </w:rPr>
        <w:tab/>
        <w:t>Nombre total de titres :</w:t>
      </w:r>
    </w:p>
    <w:p w:rsidR="00CC1617" w:rsidRPr="00CC1617" w:rsidRDefault="000E290E" w:rsidP="008A3F67">
      <w:pPr>
        <w:widowControl w:val="0"/>
        <w:tabs>
          <w:tab w:val="left" w:pos="540"/>
        </w:tabs>
        <w:spacing w:before="72" w:after="0"/>
        <w:ind w:left="2160" w:right="360" w:hanging="720"/>
        <w:jc w:val="left"/>
        <w:rPr>
          <w:rFonts w:cs="Arial"/>
          <w:color w:val="000000"/>
          <w:sz w:val="20"/>
          <w:szCs w:val="20"/>
          <w:u w:val="single"/>
          <w:lang w:val="fr-FR"/>
        </w:rPr>
      </w:pPr>
      <w:r>
        <w:rPr>
          <w:rFonts w:cs="Arial"/>
          <w:noProof/>
          <w:szCs w:val="22"/>
          <w:lang w:val="fr-CA"/>
        </w:rPr>
        <w:t>(i)</w:t>
      </w:r>
      <w:r>
        <w:rPr>
          <w:rFonts w:cs="Arial"/>
          <w:noProof/>
          <w:szCs w:val="22"/>
          <w:lang w:val="fr-CA"/>
        </w:rPr>
        <w:tab/>
      </w:r>
      <w:r w:rsidR="00CC1617" w:rsidRPr="00F11FBD">
        <w:rPr>
          <w:rFonts w:cs="Arial"/>
          <w:noProof/>
          <w:szCs w:val="22"/>
          <w:lang w:val="fr-CA"/>
        </w:rPr>
        <w:t xml:space="preserve">émis et en circulation (nombre se rapportant à une date tombant dans les deux semaines civiles </w:t>
      </w:r>
      <w:r w:rsidR="00CE2E08" w:rsidRPr="00CE2E08">
        <w:rPr>
          <w:rFonts w:cs="Arial"/>
          <w:noProof/>
          <w:szCs w:val="22"/>
          <w:lang w:val="fr-CA"/>
        </w:rPr>
        <w:t xml:space="preserve">qui précèdent </w:t>
      </w:r>
      <w:r w:rsidR="002C6868">
        <w:rPr>
          <w:rFonts w:cs="Arial"/>
          <w:noProof/>
          <w:szCs w:val="22"/>
          <w:lang w:val="fr-CA"/>
        </w:rPr>
        <w:t xml:space="preserve">le </w:t>
      </w:r>
      <w:bookmarkStart w:id="0" w:name="_GoBack"/>
      <w:bookmarkEnd w:id="0"/>
      <w:r w:rsidR="00CC1617" w:rsidRPr="00F11FBD">
        <w:rPr>
          <w:rFonts w:cs="Arial"/>
          <w:noProof/>
          <w:szCs w:val="22"/>
          <w:lang w:val="fr-CA"/>
        </w:rPr>
        <w:t xml:space="preserve">début de l’offre publique de rachat dans le cours normal des activités) (au </w:t>
      </w:r>
      <w:r w:rsidR="00CC1617" w:rsidRPr="00F11FBD">
        <w:rPr>
          <w:rFonts w:cs="Arial"/>
          <w:noProof/>
          <w:szCs w:val="22"/>
          <w:lang w:val="fr-CA"/>
        </w:rPr>
        <w:tab/>
      </w:r>
      <w:r w:rsidR="00CC1617" w:rsidRPr="00F11FBD">
        <w:rPr>
          <w:rFonts w:eastAsia="Arial" w:cs="Arial"/>
          <w:color w:val="000000"/>
          <w:sz w:val="20"/>
          <w:szCs w:val="20"/>
          <w:lang w:val="fr-FR" w:bidi="fr-CA"/>
        </w:rPr>
        <w:tab/>
        <w:t>)</w:t>
      </w:r>
      <w:r w:rsidR="00CC1617" w:rsidRPr="00CC1617">
        <w:rPr>
          <w:rFonts w:eastAsia="Arial" w:cs="Arial"/>
          <w:color w:val="000000"/>
          <w:sz w:val="20"/>
          <w:szCs w:val="20"/>
          <w:lang w:val="fr-FR" w:bidi="fr-CA"/>
        </w:rPr>
        <w:t xml:space="preserve"> : </w:t>
      </w:r>
      <w:r w:rsidR="008A3F67">
        <w:rPr>
          <w:rFonts w:eastAsia="Arial" w:cs="Arial"/>
          <w:color w:val="000000"/>
          <w:sz w:val="20"/>
          <w:szCs w:val="20"/>
          <w:lang w:val="fr-FR" w:bidi="fr-CA"/>
        </w:rPr>
        <w:t>_______</w:t>
      </w:r>
      <w:r w:rsidR="00CC1617" w:rsidRPr="00CC1617">
        <w:rPr>
          <w:rFonts w:eastAsia="Arial" w:cs="Arial"/>
          <w:color w:val="000000"/>
          <w:sz w:val="20"/>
          <w:szCs w:val="20"/>
          <w:u w:val="single"/>
          <w:lang w:val="fr-FR" w:bidi="fr-CA"/>
        </w:rPr>
        <w:tab/>
      </w:r>
      <w:r w:rsidR="00CC1617" w:rsidRPr="00CC1617">
        <w:rPr>
          <w:rFonts w:eastAsia="Arial" w:cs="Arial"/>
          <w:color w:val="000000"/>
          <w:sz w:val="20"/>
          <w:szCs w:val="20"/>
          <w:u w:val="single"/>
          <w:lang w:val="fr-FR" w:bidi="fr-CA"/>
        </w:rPr>
        <w:tab/>
      </w:r>
      <w:r w:rsidR="00CC1617" w:rsidRPr="00CC1617">
        <w:rPr>
          <w:rFonts w:eastAsia="Arial" w:cs="Arial"/>
          <w:color w:val="000000"/>
          <w:sz w:val="20"/>
          <w:szCs w:val="20"/>
          <w:u w:val="single"/>
          <w:lang w:val="fr-FR" w:bidi="fr-CA"/>
        </w:rPr>
        <w:tab/>
      </w:r>
      <w:r w:rsidR="00F11FBD">
        <w:rPr>
          <w:rFonts w:eastAsia="Arial" w:cs="Arial"/>
          <w:color w:val="000000"/>
          <w:sz w:val="20"/>
          <w:szCs w:val="20"/>
          <w:u w:val="single"/>
          <w:lang w:val="fr-FR" w:bidi="fr-CA"/>
        </w:rPr>
        <w:t>____________</w:t>
      </w:r>
      <w:r w:rsidR="00CC1617" w:rsidRPr="00CC1617">
        <w:rPr>
          <w:rFonts w:eastAsia="Arial" w:cs="Arial"/>
          <w:color w:val="000000"/>
          <w:sz w:val="20"/>
          <w:szCs w:val="20"/>
          <w:u w:val="single"/>
          <w:lang w:val="fr-FR" w:bidi="fr-CA"/>
        </w:rPr>
        <w:tab/>
      </w:r>
    </w:p>
    <w:p w:rsidR="000E290E" w:rsidRDefault="000E290E" w:rsidP="000E290E">
      <w:pPr>
        <w:numPr>
          <w:ilvl w:val="0"/>
          <w:numId w:val="1"/>
        </w:numPr>
        <w:tabs>
          <w:tab w:val="right" w:pos="9360"/>
        </w:tabs>
        <w:autoSpaceDE/>
        <w:autoSpaceDN/>
        <w:adjustRightInd/>
        <w:spacing w:after="180"/>
        <w:rPr>
          <w:rFonts w:cs="Arial"/>
          <w:noProof/>
          <w:szCs w:val="22"/>
          <w:lang w:val="fr-CA"/>
        </w:rPr>
      </w:pPr>
      <w:r>
        <w:rPr>
          <w:rFonts w:cs="Arial"/>
          <w:noProof/>
          <w:szCs w:val="22"/>
          <w:lang w:val="fr-CA"/>
        </w:rPr>
        <w:t>détenus dans le public, le cas échéant (au ) :</w:t>
      </w:r>
      <w:r>
        <w:rPr>
          <w:rFonts w:cs="Arial"/>
          <w:noProof/>
          <w:szCs w:val="22"/>
          <w:u w:val="single"/>
          <w:lang w:val="fr-CA"/>
        </w:rPr>
        <w:t xml:space="preserve"> </w:t>
      </w:r>
      <w:r>
        <w:rPr>
          <w:rFonts w:cs="Arial"/>
          <w:noProof/>
          <w:szCs w:val="22"/>
          <w:u w:val="single"/>
          <w:lang w:val="fr-CA"/>
        </w:rPr>
        <w:tab/>
      </w:r>
    </w:p>
    <w:p w:rsidR="000E290E" w:rsidRDefault="000E290E" w:rsidP="000E290E">
      <w:pPr>
        <w:tabs>
          <w:tab w:val="right" w:pos="9360"/>
        </w:tabs>
        <w:spacing w:after="0"/>
        <w:ind w:left="1440" w:hanging="720"/>
        <w:rPr>
          <w:rFonts w:cs="Arial"/>
          <w:noProof/>
          <w:szCs w:val="22"/>
          <w:lang w:val="fr-CA"/>
        </w:rPr>
      </w:pPr>
      <w:r>
        <w:rPr>
          <w:rFonts w:cs="Arial"/>
          <w:noProof/>
          <w:szCs w:val="22"/>
          <w:lang w:val="fr-CA"/>
        </w:rPr>
        <w:t>c)</w:t>
      </w:r>
      <w:r>
        <w:rPr>
          <w:rFonts w:cs="Arial"/>
          <w:noProof/>
          <w:szCs w:val="22"/>
          <w:lang w:val="fr-CA"/>
        </w:rPr>
        <w:tab/>
        <w:t>Pourcentage de titres pouvant être achetés</w:t>
      </w:r>
      <w:r>
        <w:rPr>
          <w:rFonts w:cs="Arial"/>
          <w:bCs/>
          <w:noProof/>
          <w:szCs w:val="22"/>
          <w:lang w:val="fr-CA"/>
        </w:rPr>
        <w:t xml:space="preserve"> dans le cadre de l’offre</w:t>
      </w:r>
      <w:r>
        <w:rPr>
          <w:rFonts w:cs="Arial"/>
          <w:noProof/>
          <w:szCs w:val="22"/>
          <w:lang w:val="fr-CA"/>
        </w:rPr>
        <w:t xml:space="preserve"> : </w:t>
      </w:r>
    </w:p>
    <w:p w:rsidR="000E290E" w:rsidRDefault="000E290E" w:rsidP="000E290E">
      <w:pPr>
        <w:numPr>
          <w:ilvl w:val="0"/>
          <w:numId w:val="2"/>
        </w:numPr>
        <w:tabs>
          <w:tab w:val="right" w:pos="9360"/>
        </w:tabs>
        <w:autoSpaceDE/>
        <w:autoSpaceDN/>
        <w:adjustRightInd/>
        <w:spacing w:before="120" w:after="180"/>
        <w:rPr>
          <w:rFonts w:cs="Arial"/>
          <w:noProof/>
          <w:szCs w:val="22"/>
          <w:lang w:val="fr-CA"/>
        </w:rPr>
      </w:pPr>
      <w:r>
        <w:rPr>
          <w:rFonts w:cs="Arial"/>
          <w:noProof/>
          <w:szCs w:val="22"/>
          <w:lang w:val="fr-CA"/>
        </w:rPr>
        <w:t>pourcentage des titres émis et en circulation (maximum de 5 %) :</w:t>
      </w:r>
      <w:r>
        <w:rPr>
          <w:rFonts w:cs="Arial"/>
          <w:noProof/>
          <w:szCs w:val="22"/>
          <w:lang w:val="fr-CA"/>
        </w:rPr>
        <w:br/>
      </w:r>
      <w:r>
        <w:rPr>
          <w:rFonts w:cs="Arial"/>
          <w:noProof/>
          <w:szCs w:val="22"/>
          <w:u w:val="single"/>
          <w:lang w:val="fr-CA"/>
        </w:rPr>
        <w:tab/>
      </w:r>
    </w:p>
    <w:p w:rsidR="000E290E" w:rsidRDefault="000E290E" w:rsidP="000E290E">
      <w:pPr>
        <w:numPr>
          <w:ilvl w:val="0"/>
          <w:numId w:val="2"/>
        </w:numPr>
        <w:tabs>
          <w:tab w:val="right" w:pos="9360"/>
        </w:tabs>
        <w:autoSpaceDE/>
        <w:autoSpaceDN/>
        <w:adjustRightInd/>
        <w:spacing w:after="180"/>
        <w:rPr>
          <w:rFonts w:cs="Arial"/>
          <w:noProof/>
          <w:szCs w:val="22"/>
          <w:u w:val="single"/>
          <w:lang w:val="fr-CA"/>
        </w:rPr>
      </w:pPr>
      <w:r>
        <w:rPr>
          <w:rFonts w:cs="Arial"/>
          <w:noProof/>
          <w:szCs w:val="22"/>
          <w:lang w:val="fr-CA"/>
        </w:rPr>
        <w:t xml:space="preserve">pourcentage des titres détenus dans le public, le cas échéant (maximum de 10 %) : </w:t>
      </w:r>
      <w:r>
        <w:rPr>
          <w:rFonts w:cs="Arial"/>
          <w:noProof/>
          <w:szCs w:val="22"/>
          <w:u w:val="single"/>
          <w:lang w:val="fr-CA"/>
        </w:rPr>
        <w:tab/>
      </w:r>
    </w:p>
    <w:p w:rsidR="000E290E" w:rsidRDefault="000E290E" w:rsidP="000E290E">
      <w:pPr>
        <w:tabs>
          <w:tab w:val="right" w:pos="9360"/>
        </w:tabs>
        <w:spacing w:after="180"/>
        <w:ind w:left="1440" w:hanging="720"/>
        <w:rPr>
          <w:rFonts w:cs="Arial"/>
          <w:noProof/>
          <w:szCs w:val="22"/>
          <w:u w:val="single"/>
          <w:lang w:val="fr-CA"/>
        </w:rPr>
      </w:pPr>
      <w:r>
        <w:rPr>
          <w:rFonts w:cs="Arial"/>
          <w:noProof/>
          <w:szCs w:val="22"/>
          <w:lang w:val="fr-CA"/>
        </w:rPr>
        <w:t>d)</w:t>
      </w:r>
      <w:r>
        <w:rPr>
          <w:rFonts w:cs="Arial"/>
          <w:noProof/>
          <w:szCs w:val="22"/>
          <w:lang w:val="fr-CA"/>
        </w:rPr>
        <w:tab/>
        <w:t>Nombre maximal de titres pouvant être acquis dans le cadre de l’offre :</w:t>
      </w:r>
      <w:r>
        <w:rPr>
          <w:rFonts w:cs="Arial"/>
          <w:noProof/>
          <w:szCs w:val="22"/>
          <w:lang w:val="fr-CA"/>
        </w:rPr>
        <w:br/>
      </w:r>
      <w:r>
        <w:rPr>
          <w:rFonts w:cs="Arial"/>
          <w:noProof/>
          <w:szCs w:val="22"/>
          <w:u w:val="single"/>
          <w:lang w:val="fr-CA"/>
        </w:rPr>
        <w:tab/>
      </w:r>
    </w:p>
    <w:p w:rsidR="000E290E" w:rsidRDefault="000E290E" w:rsidP="000E290E">
      <w:pPr>
        <w:tabs>
          <w:tab w:val="right" w:pos="9360"/>
        </w:tabs>
        <w:ind w:left="1440" w:hanging="720"/>
        <w:rPr>
          <w:rFonts w:cs="Arial"/>
          <w:noProof/>
          <w:szCs w:val="22"/>
          <w:lang w:val="fr-CA"/>
        </w:rPr>
      </w:pPr>
      <w:r>
        <w:rPr>
          <w:rFonts w:cs="Arial"/>
          <w:noProof/>
          <w:szCs w:val="22"/>
          <w:lang w:val="fr-CA"/>
        </w:rPr>
        <w:t>e)</w:t>
      </w:r>
      <w:r>
        <w:rPr>
          <w:rFonts w:cs="Arial"/>
          <w:noProof/>
          <w:szCs w:val="22"/>
          <w:lang w:val="fr-CA"/>
        </w:rPr>
        <w:tab/>
        <w:t xml:space="preserve">Nombre de titres que l’émetteur entend </w:t>
      </w:r>
      <w:r w:rsidRPr="000E290E">
        <w:rPr>
          <w:rFonts w:cs="Arial"/>
          <w:noProof/>
          <w:szCs w:val="22"/>
          <w:lang w:val="fr-CA"/>
        </w:rPr>
        <w:t>effectivement acquérir dans le cadre de l’offre</w:t>
      </w:r>
      <w:r>
        <w:rPr>
          <w:rFonts w:cs="Arial"/>
          <w:noProof/>
          <w:szCs w:val="22"/>
          <w:lang w:val="fr-CA"/>
        </w:rPr>
        <w:t xml:space="preserve"> </w:t>
      </w:r>
      <w:r w:rsidRPr="000E290E">
        <w:rPr>
          <w:rFonts w:cs="Arial"/>
          <w:noProof/>
          <w:szCs w:val="22"/>
          <w:lang w:val="fr-CA"/>
        </w:rPr>
        <w:t>(c.</w:t>
      </w:r>
      <w:r w:rsidR="006E7C62">
        <w:rPr>
          <w:rFonts w:cs="Arial"/>
          <w:noProof/>
          <w:szCs w:val="22"/>
          <w:lang w:val="fr-CA"/>
        </w:rPr>
        <w:t>-</w:t>
      </w:r>
      <w:r w:rsidRPr="000E290E">
        <w:rPr>
          <w:rFonts w:cs="Arial"/>
          <w:noProof/>
          <w:szCs w:val="22"/>
          <w:lang w:val="fr-CA"/>
        </w:rPr>
        <w:t>à</w:t>
      </w:r>
      <w:r w:rsidR="006E7C62">
        <w:rPr>
          <w:rFonts w:cs="Arial"/>
          <w:noProof/>
          <w:szCs w:val="22"/>
          <w:lang w:val="fr-CA"/>
        </w:rPr>
        <w:t>-</w:t>
      </w:r>
      <w:r w:rsidRPr="000E290E">
        <w:rPr>
          <w:rFonts w:cs="Arial"/>
          <w:noProof/>
          <w:szCs w:val="22"/>
          <w:lang w:val="fr-CA"/>
        </w:rPr>
        <w:t>d. pas nécessairement le nombre maximal)</w:t>
      </w:r>
      <w:r>
        <w:rPr>
          <w:rFonts w:cs="Arial"/>
          <w:noProof/>
          <w:szCs w:val="22"/>
          <w:lang w:val="fr-CA"/>
        </w:rPr>
        <w:t xml:space="preserve">: </w:t>
      </w:r>
      <w:r>
        <w:rPr>
          <w:rFonts w:cs="Arial"/>
          <w:noProof/>
          <w:szCs w:val="22"/>
          <w:u w:val="single"/>
          <w:lang w:val="fr-CA"/>
        </w:rPr>
        <w:tab/>
      </w:r>
    </w:p>
    <w:p w:rsidR="000E290E" w:rsidRDefault="000E290E" w:rsidP="00B01F5D">
      <w:pPr>
        <w:tabs>
          <w:tab w:val="right" w:pos="9360"/>
        </w:tabs>
        <w:spacing w:after="120"/>
        <w:ind w:left="1440" w:hanging="720"/>
        <w:rPr>
          <w:rFonts w:cs="Arial"/>
          <w:noProof/>
          <w:szCs w:val="22"/>
          <w:lang w:val="fr-CA"/>
        </w:rPr>
      </w:pPr>
      <w:r>
        <w:rPr>
          <w:rFonts w:cs="Arial"/>
          <w:noProof/>
          <w:szCs w:val="22"/>
          <w:lang w:val="fr-CA"/>
        </w:rPr>
        <w:t>f)</w:t>
      </w:r>
      <w:r>
        <w:rPr>
          <w:rFonts w:cs="Arial"/>
          <w:noProof/>
          <w:szCs w:val="22"/>
          <w:lang w:val="fr-CA"/>
        </w:rPr>
        <w:tab/>
        <w:t>L’émetteur est</w:t>
      </w:r>
      <w:r>
        <w:rPr>
          <w:rFonts w:cs="Arial"/>
          <w:noProof/>
          <w:szCs w:val="22"/>
          <w:lang w:val="fr-CA"/>
        </w:rPr>
        <w:noBreakHyphen/>
        <w:t>il un fonds d’investissement :</w:t>
      </w:r>
      <w:r>
        <w:rPr>
          <w:rFonts w:cs="Arial"/>
          <w:noProof/>
          <w:szCs w:val="22"/>
          <w:u w:val="single"/>
          <w:lang w:val="fr-CA"/>
        </w:rPr>
        <w:t xml:space="preserve"> </w:t>
      </w:r>
      <w:r>
        <w:rPr>
          <w:rFonts w:cs="Arial"/>
          <w:noProof/>
          <w:szCs w:val="22"/>
          <w:u w:val="single"/>
          <w:lang w:val="fr-CA"/>
        </w:rPr>
        <w:tab/>
      </w:r>
    </w:p>
    <w:p w:rsidR="00CC1617" w:rsidRPr="00F11FBD" w:rsidRDefault="00CC1617" w:rsidP="00B01F5D">
      <w:pPr>
        <w:pStyle w:val="ListParagraph"/>
        <w:numPr>
          <w:ilvl w:val="5"/>
          <w:numId w:val="6"/>
        </w:numPr>
        <w:spacing w:after="0"/>
        <w:ind w:right="360" w:hanging="720"/>
        <w:rPr>
          <w:rFonts w:ascii="Arial" w:eastAsia="Times New Roman" w:hAnsi="Arial" w:cs="Arial"/>
          <w:noProof/>
          <w:lang w:val="fr-CA"/>
        </w:rPr>
      </w:pPr>
      <w:r w:rsidRPr="00F11FBD">
        <w:rPr>
          <w:rFonts w:ascii="Arial" w:eastAsia="Times New Roman" w:hAnsi="Arial" w:cs="Arial"/>
          <w:noProof/>
          <w:lang w:val="fr-CA"/>
        </w:rPr>
        <w:t>Dans la négative :</w:t>
      </w:r>
    </w:p>
    <w:p w:rsidR="00CC1617" w:rsidRPr="00F11FBD" w:rsidRDefault="00CC1617" w:rsidP="00B01F5D">
      <w:pPr>
        <w:widowControl w:val="0"/>
        <w:spacing w:after="0"/>
        <w:ind w:left="1080"/>
        <w:jc w:val="left"/>
        <w:rPr>
          <w:rFonts w:cs="Arial"/>
          <w:color w:val="000000"/>
          <w:sz w:val="20"/>
          <w:szCs w:val="20"/>
          <w:u w:val="single"/>
        </w:rPr>
      </w:pPr>
    </w:p>
    <w:p w:rsidR="00CC1617" w:rsidRPr="00F11FBD" w:rsidRDefault="00CC1617" w:rsidP="00B01F5D">
      <w:pPr>
        <w:pStyle w:val="ListParagraph"/>
        <w:numPr>
          <w:ilvl w:val="4"/>
          <w:numId w:val="7"/>
        </w:numPr>
        <w:tabs>
          <w:tab w:val="clear" w:pos="1800"/>
          <w:tab w:val="num" w:pos="2160"/>
        </w:tabs>
        <w:spacing w:after="0"/>
        <w:ind w:left="2160" w:right="360"/>
        <w:rPr>
          <w:rFonts w:ascii="Arial" w:hAnsi="Arial" w:cs="Arial"/>
          <w:color w:val="000000"/>
          <w:u w:val="single"/>
          <w:lang w:val="fr-FR"/>
        </w:rPr>
      </w:pPr>
      <w:proofErr w:type="gramStart"/>
      <w:r w:rsidRPr="00F11FBD">
        <w:rPr>
          <w:rFonts w:ascii="Arial" w:hAnsi="Arial" w:cs="Arial"/>
          <w:color w:val="000000"/>
          <w:lang w:val="fr-FR" w:bidi="fr-CA"/>
        </w:rPr>
        <w:t>indiquer</w:t>
      </w:r>
      <w:proofErr w:type="gramEnd"/>
      <w:r w:rsidRPr="00F11FBD">
        <w:rPr>
          <w:rFonts w:ascii="Arial" w:hAnsi="Arial" w:cs="Arial"/>
          <w:color w:val="000000"/>
          <w:lang w:val="fr-FR" w:bidi="fr-CA"/>
        </w:rPr>
        <w:t xml:space="preserve"> la moyenne quotidienne des opérations pour la période de six mois précédant la date des présentes : </w:t>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r w:rsidR="00F11FBD" w:rsidRPr="00F11FBD">
        <w:rPr>
          <w:rFonts w:ascii="Arial" w:hAnsi="Arial" w:cs="Arial"/>
          <w:color w:val="000000"/>
          <w:u w:val="single"/>
          <w:lang w:val="fr-FR" w:bidi="fr-CA"/>
        </w:rPr>
        <w:tab/>
      </w:r>
    </w:p>
    <w:p w:rsidR="00CC1617" w:rsidRPr="00F11FBD" w:rsidRDefault="00CC1617" w:rsidP="00B01F5D">
      <w:pPr>
        <w:widowControl w:val="0"/>
        <w:spacing w:after="0"/>
        <w:ind w:left="2160"/>
        <w:contextualSpacing/>
        <w:jc w:val="left"/>
        <w:rPr>
          <w:rFonts w:cs="Arial"/>
          <w:color w:val="000000"/>
          <w:szCs w:val="22"/>
          <w:u w:val="single"/>
          <w:lang w:val="fr-FR"/>
        </w:rPr>
      </w:pPr>
    </w:p>
    <w:p w:rsidR="00CC1617" w:rsidRPr="00F11FBD" w:rsidRDefault="00CC1617" w:rsidP="00B01F5D">
      <w:pPr>
        <w:widowControl w:val="0"/>
        <w:numPr>
          <w:ilvl w:val="4"/>
          <w:numId w:val="7"/>
        </w:numPr>
        <w:tabs>
          <w:tab w:val="clear" w:pos="1800"/>
          <w:tab w:val="num" w:pos="2160"/>
        </w:tabs>
        <w:spacing w:after="0"/>
        <w:ind w:left="2160" w:right="360"/>
        <w:contextualSpacing/>
        <w:jc w:val="left"/>
        <w:rPr>
          <w:rFonts w:cs="Arial"/>
          <w:color w:val="000000"/>
          <w:szCs w:val="22"/>
          <w:lang w:val="fr-FR"/>
        </w:rPr>
      </w:pPr>
      <w:proofErr w:type="gramStart"/>
      <w:r w:rsidRPr="00F11FBD">
        <w:rPr>
          <w:rFonts w:cs="Arial"/>
          <w:color w:val="000000"/>
          <w:szCs w:val="22"/>
          <w:lang w:val="fr-FR" w:bidi="fr-CA"/>
        </w:rPr>
        <w:t>le</w:t>
      </w:r>
      <w:proofErr w:type="gramEnd"/>
      <w:r w:rsidRPr="00F11FBD">
        <w:rPr>
          <w:rFonts w:cs="Arial"/>
          <w:color w:val="000000"/>
          <w:szCs w:val="22"/>
          <w:lang w:val="fr-FR" w:bidi="fr-CA"/>
        </w:rPr>
        <w:t xml:space="preserve"> nombre d’actions achetées dans le cadre d’une offre publique de rachat dans le cours normal des activités antérieure à la TSX au cours des six derniers mois civils : </w:t>
      </w:r>
      <w:r w:rsidRPr="00F11FBD">
        <w:rPr>
          <w:rFonts w:cs="Arial"/>
          <w:color w:val="000000"/>
          <w:szCs w:val="22"/>
          <w:u w:val="single"/>
          <w:lang w:val="fr-FR" w:bidi="fr-CA"/>
        </w:rPr>
        <w:tab/>
      </w:r>
      <w:r w:rsidRPr="00F11FBD">
        <w:rPr>
          <w:rFonts w:cs="Arial"/>
          <w:color w:val="000000"/>
          <w:szCs w:val="22"/>
          <w:u w:val="single"/>
          <w:lang w:val="fr-FR" w:bidi="fr-CA"/>
        </w:rPr>
        <w:tab/>
      </w:r>
      <w:r w:rsidRPr="00F11FBD">
        <w:rPr>
          <w:rFonts w:cs="Arial"/>
          <w:color w:val="000000"/>
          <w:szCs w:val="22"/>
          <w:u w:val="single"/>
          <w:lang w:val="fr-FR" w:bidi="fr-CA"/>
        </w:rPr>
        <w:tab/>
      </w:r>
      <w:r w:rsidRPr="00F11FBD">
        <w:rPr>
          <w:rFonts w:cs="Arial"/>
          <w:color w:val="000000"/>
          <w:szCs w:val="22"/>
          <w:u w:val="single"/>
          <w:lang w:val="fr-FR" w:bidi="fr-CA"/>
        </w:rPr>
        <w:tab/>
      </w:r>
      <w:r w:rsidRPr="00F11FBD">
        <w:rPr>
          <w:rFonts w:cs="Arial"/>
          <w:color w:val="000000"/>
          <w:szCs w:val="22"/>
          <w:u w:val="single"/>
          <w:lang w:val="fr-FR" w:bidi="fr-CA"/>
        </w:rPr>
        <w:tab/>
      </w:r>
    </w:p>
    <w:p w:rsidR="00CC1617" w:rsidRPr="00F11FBD" w:rsidRDefault="00CC1617" w:rsidP="00B01F5D">
      <w:pPr>
        <w:widowControl w:val="0"/>
        <w:spacing w:after="0"/>
        <w:ind w:left="360"/>
        <w:jc w:val="left"/>
        <w:rPr>
          <w:rFonts w:cs="Arial"/>
          <w:color w:val="000000"/>
          <w:szCs w:val="22"/>
          <w:lang w:val="fr-FR"/>
        </w:rPr>
      </w:pPr>
    </w:p>
    <w:p w:rsidR="00CC1617" w:rsidRPr="00F11FBD" w:rsidRDefault="00CC1617" w:rsidP="00B01F5D">
      <w:pPr>
        <w:widowControl w:val="0"/>
        <w:numPr>
          <w:ilvl w:val="4"/>
          <w:numId w:val="7"/>
        </w:numPr>
        <w:tabs>
          <w:tab w:val="clear" w:pos="1800"/>
          <w:tab w:val="num" w:pos="2160"/>
        </w:tabs>
        <w:spacing w:after="0"/>
        <w:ind w:left="2160" w:right="360"/>
        <w:contextualSpacing/>
        <w:jc w:val="left"/>
        <w:rPr>
          <w:rFonts w:cs="Arial"/>
          <w:color w:val="000000"/>
          <w:szCs w:val="22"/>
          <w:u w:val="single"/>
          <w:lang w:val="fr-FR"/>
        </w:rPr>
      </w:pPr>
      <w:r w:rsidRPr="00F11FBD">
        <w:rPr>
          <w:rFonts w:cs="Arial"/>
          <w:color w:val="000000"/>
          <w:szCs w:val="22"/>
          <w:lang w:val="fr-FR" w:bidi="fr-CA"/>
        </w:rPr>
        <w:t xml:space="preserve">la limite quotidienne (25 % de la moyenne quotidienne des </w:t>
      </w:r>
      <w:r w:rsidRPr="00F11FBD">
        <w:rPr>
          <w:rFonts w:cs="Arial"/>
          <w:color w:val="000000"/>
          <w:szCs w:val="22"/>
          <w:lang w:val="fr-FR" w:bidi="fr-CA"/>
        </w:rPr>
        <w:br/>
        <w:t xml:space="preserve">opérations) : </w:t>
      </w:r>
      <w:r w:rsidRPr="00F11FBD">
        <w:rPr>
          <w:rFonts w:cs="Arial"/>
          <w:color w:val="000000"/>
          <w:szCs w:val="22"/>
          <w:u w:val="single"/>
          <w:lang w:val="fr-FR" w:bidi="fr-CA"/>
        </w:rPr>
        <w:tab/>
      </w:r>
      <w:r w:rsidRPr="00F11FBD">
        <w:rPr>
          <w:rFonts w:cs="Arial"/>
          <w:color w:val="000000"/>
          <w:szCs w:val="22"/>
          <w:u w:val="single"/>
          <w:lang w:val="fr-FR" w:bidi="fr-CA"/>
        </w:rPr>
        <w:tab/>
      </w:r>
      <w:r w:rsidRPr="00F11FBD">
        <w:rPr>
          <w:rFonts w:cs="Arial"/>
          <w:color w:val="000000"/>
          <w:szCs w:val="22"/>
          <w:u w:val="single"/>
          <w:lang w:val="fr-FR" w:bidi="fr-CA"/>
        </w:rPr>
        <w:tab/>
      </w:r>
      <w:r w:rsidRPr="00F11FBD">
        <w:rPr>
          <w:rFonts w:cs="Arial"/>
          <w:color w:val="000000"/>
          <w:szCs w:val="22"/>
          <w:u w:val="single"/>
          <w:lang w:val="fr-FR" w:bidi="fr-CA"/>
        </w:rPr>
        <w:tab/>
      </w:r>
      <w:r w:rsidRPr="00F11FBD">
        <w:rPr>
          <w:rFonts w:cs="Arial"/>
          <w:color w:val="000000"/>
          <w:szCs w:val="22"/>
          <w:u w:val="single"/>
          <w:lang w:val="fr-FR" w:bidi="fr-CA"/>
        </w:rPr>
        <w:tab/>
      </w:r>
      <w:r w:rsidRPr="00F11FBD">
        <w:rPr>
          <w:rFonts w:cs="Arial"/>
          <w:color w:val="000000"/>
          <w:szCs w:val="22"/>
          <w:u w:val="single"/>
          <w:lang w:val="fr-FR" w:bidi="fr-CA"/>
        </w:rPr>
        <w:tab/>
      </w:r>
      <w:r w:rsidRPr="00F11FBD">
        <w:rPr>
          <w:rFonts w:cs="Arial"/>
          <w:color w:val="000000"/>
          <w:szCs w:val="22"/>
          <w:u w:val="single"/>
          <w:lang w:val="fr-FR" w:bidi="fr-CA"/>
        </w:rPr>
        <w:tab/>
      </w:r>
      <w:r w:rsidRPr="00F11FBD">
        <w:rPr>
          <w:rFonts w:cs="Arial"/>
          <w:color w:val="000000"/>
          <w:szCs w:val="22"/>
          <w:u w:val="single"/>
          <w:lang w:val="fr-FR" w:bidi="fr-CA"/>
        </w:rPr>
        <w:tab/>
      </w:r>
    </w:p>
    <w:p w:rsidR="000E290E" w:rsidRPr="00F11FBD" w:rsidRDefault="000E290E" w:rsidP="000E290E">
      <w:pPr>
        <w:tabs>
          <w:tab w:val="right" w:pos="9360"/>
        </w:tabs>
        <w:spacing w:after="180"/>
        <w:ind w:left="1440" w:hanging="720"/>
        <w:rPr>
          <w:rFonts w:cs="Arial"/>
          <w:noProof/>
          <w:szCs w:val="22"/>
          <w:lang w:val="fr-FR"/>
        </w:rPr>
      </w:pPr>
    </w:p>
    <w:p w:rsidR="000E290E" w:rsidRDefault="000E290E" w:rsidP="000E290E">
      <w:pPr>
        <w:tabs>
          <w:tab w:val="right" w:pos="9360"/>
        </w:tabs>
        <w:spacing w:after="180"/>
        <w:ind w:left="1440" w:hanging="720"/>
        <w:rPr>
          <w:rFonts w:cs="Arial"/>
          <w:noProof/>
          <w:szCs w:val="22"/>
          <w:lang w:val="fr-CA"/>
        </w:rPr>
      </w:pPr>
      <w:r>
        <w:rPr>
          <w:rFonts w:cs="Arial"/>
          <w:noProof/>
          <w:szCs w:val="22"/>
          <w:lang w:val="fr-CA"/>
        </w:rPr>
        <w:t>g)</w:t>
      </w:r>
      <w:r>
        <w:rPr>
          <w:rFonts w:cs="Arial"/>
          <w:noProof/>
          <w:szCs w:val="22"/>
          <w:lang w:val="fr-CA"/>
        </w:rPr>
        <w:tab/>
        <w:t>L’émetteur a</w:t>
      </w:r>
      <w:r>
        <w:rPr>
          <w:rFonts w:cs="Arial"/>
          <w:noProof/>
          <w:szCs w:val="22"/>
          <w:lang w:val="fr-CA"/>
        </w:rPr>
        <w:noBreakHyphen/>
        <w:t>t</w:t>
      </w:r>
      <w:r>
        <w:rPr>
          <w:rFonts w:cs="Arial"/>
          <w:noProof/>
          <w:szCs w:val="22"/>
          <w:lang w:val="fr-CA"/>
        </w:rPr>
        <w:noBreakHyphen/>
        <w:t xml:space="preserve">il une catégorie de titres subalternes : </w:t>
      </w:r>
      <w:r>
        <w:rPr>
          <w:rFonts w:cs="Arial"/>
          <w:noProof/>
          <w:szCs w:val="22"/>
          <w:u w:val="single"/>
          <w:lang w:val="fr-CA"/>
        </w:rPr>
        <w:tab/>
      </w:r>
      <w:r>
        <w:rPr>
          <w:rFonts w:cs="Arial"/>
          <w:noProof/>
          <w:szCs w:val="22"/>
          <w:lang w:val="fr-CA"/>
        </w:rPr>
        <w:t>dans l’affirmative :</w:t>
      </w:r>
    </w:p>
    <w:p w:rsidR="000E290E" w:rsidRDefault="000E290E" w:rsidP="000E290E">
      <w:pPr>
        <w:numPr>
          <w:ilvl w:val="0"/>
          <w:numId w:val="3"/>
        </w:numPr>
        <w:tabs>
          <w:tab w:val="right" w:pos="9360"/>
        </w:tabs>
        <w:autoSpaceDE/>
        <w:autoSpaceDN/>
        <w:adjustRightInd/>
        <w:spacing w:after="0"/>
        <w:rPr>
          <w:rFonts w:cs="Arial"/>
          <w:noProof/>
          <w:szCs w:val="22"/>
          <w:u w:val="single"/>
          <w:lang w:val="fr-CA"/>
        </w:rPr>
      </w:pPr>
      <w:r>
        <w:rPr>
          <w:rFonts w:cs="Arial"/>
          <w:noProof/>
          <w:szCs w:val="22"/>
          <w:lang w:val="fr-CA"/>
        </w:rPr>
        <w:t xml:space="preserve">décrire les droits de vote rattachés à tous les titres de participation : </w:t>
      </w:r>
      <w:r>
        <w:rPr>
          <w:rFonts w:cs="Arial"/>
          <w:noProof/>
          <w:szCs w:val="22"/>
          <w:u w:val="single"/>
          <w:lang w:val="fr-CA"/>
        </w:rPr>
        <w:tab/>
      </w:r>
    </w:p>
    <w:p w:rsidR="000E290E" w:rsidRDefault="000E290E" w:rsidP="000E290E">
      <w:pPr>
        <w:tabs>
          <w:tab w:val="right" w:pos="9360"/>
        </w:tabs>
        <w:spacing w:after="0"/>
        <w:ind w:left="2160"/>
        <w:rPr>
          <w:rFonts w:cs="Arial"/>
          <w:noProof/>
          <w:szCs w:val="22"/>
          <w:u w:val="single"/>
          <w:lang w:val="fr-CA"/>
        </w:rPr>
      </w:pPr>
      <w:r>
        <w:rPr>
          <w:rFonts w:cs="Arial"/>
          <w:noProof/>
          <w:szCs w:val="22"/>
          <w:u w:val="single"/>
          <w:lang w:val="fr-CA"/>
        </w:rPr>
        <w:tab/>
      </w:r>
    </w:p>
    <w:p w:rsidR="000E290E" w:rsidRDefault="000E290E" w:rsidP="000E290E">
      <w:pPr>
        <w:tabs>
          <w:tab w:val="right" w:pos="9360"/>
        </w:tabs>
        <w:spacing w:after="180"/>
        <w:ind w:left="2160"/>
        <w:rPr>
          <w:rFonts w:cs="Arial"/>
          <w:noProof/>
          <w:szCs w:val="22"/>
          <w:u w:val="single"/>
          <w:lang w:val="fr-CA"/>
        </w:rPr>
      </w:pPr>
      <w:r>
        <w:rPr>
          <w:rFonts w:cs="Arial"/>
          <w:noProof/>
          <w:szCs w:val="22"/>
          <w:u w:val="single"/>
          <w:lang w:val="fr-CA"/>
        </w:rPr>
        <w:tab/>
      </w:r>
    </w:p>
    <w:p w:rsidR="000E290E" w:rsidRDefault="000E290E" w:rsidP="000E290E">
      <w:pPr>
        <w:numPr>
          <w:ilvl w:val="0"/>
          <w:numId w:val="3"/>
        </w:numPr>
        <w:tabs>
          <w:tab w:val="right" w:pos="9360"/>
        </w:tabs>
        <w:autoSpaceDE/>
        <w:autoSpaceDN/>
        <w:adjustRightInd/>
        <w:spacing w:after="120"/>
        <w:rPr>
          <w:rFonts w:cs="Arial"/>
          <w:noProof/>
          <w:szCs w:val="22"/>
          <w:u w:val="single"/>
          <w:lang w:val="fr-CA"/>
        </w:rPr>
      </w:pPr>
      <w:r>
        <w:rPr>
          <w:rFonts w:cs="Arial"/>
          <w:noProof/>
          <w:szCs w:val="22"/>
          <w:lang w:val="fr-CA"/>
        </w:rPr>
        <w:t xml:space="preserve">donner les raisons pour lesquelles l’émetteur, le cas échéant, ne fera pas la même offre pour toutes les catégories de titres à droit de vote et de titres </w:t>
      </w:r>
      <w:r>
        <w:rPr>
          <w:rFonts w:cs="Arial"/>
          <w:noProof/>
          <w:szCs w:val="22"/>
          <w:lang w:val="fr-CA"/>
        </w:rPr>
        <w:lastRenderedPageBreak/>
        <w:t xml:space="preserve">de participation : </w:t>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tabs>
          <w:tab w:val="left" w:pos="1440"/>
          <w:tab w:val="right" w:pos="9360"/>
        </w:tabs>
        <w:ind w:left="1440" w:hanging="732"/>
        <w:rPr>
          <w:rFonts w:cs="Arial"/>
          <w:b/>
          <w:bCs/>
          <w:noProof/>
          <w:szCs w:val="22"/>
          <w:lang w:val="fr-CA"/>
        </w:rPr>
      </w:pPr>
      <w:r>
        <w:rPr>
          <w:rFonts w:cs="Arial"/>
          <w:noProof/>
          <w:szCs w:val="22"/>
          <w:lang w:val="fr-CA"/>
        </w:rPr>
        <w:t>h)</w:t>
      </w:r>
      <w:r>
        <w:rPr>
          <w:rFonts w:cs="Arial"/>
          <w:noProof/>
          <w:szCs w:val="22"/>
          <w:lang w:val="fr-CA"/>
        </w:rPr>
        <w:tab/>
        <w:t xml:space="preserve">Indiquer si les titres doivent être annulés; si tel n’est pas le cas, indiquer quelle mesure sera prise à leur égard : </w:t>
      </w:r>
      <w:r>
        <w:rPr>
          <w:rFonts w:cs="Arial"/>
          <w:noProof/>
          <w:szCs w:val="22"/>
          <w:lang w:val="fr-CA"/>
        </w:rPr>
        <w:tab/>
      </w:r>
      <w:r>
        <w:rPr>
          <w:rFonts w:cs="Arial"/>
          <w:noProof/>
          <w:szCs w:val="22"/>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keepNext/>
        <w:tabs>
          <w:tab w:val="right" w:pos="9360"/>
        </w:tabs>
        <w:ind w:left="720" w:hanging="720"/>
        <w:rPr>
          <w:rFonts w:cs="Arial"/>
          <w:b/>
          <w:bCs/>
          <w:noProof/>
          <w:szCs w:val="22"/>
          <w:lang w:val="fr-CA"/>
        </w:rPr>
      </w:pPr>
      <w:r>
        <w:rPr>
          <w:rFonts w:cs="Arial"/>
          <w:b/>
          <w:bCs/>
          <w:noProof/>
          <w:szCs w:val="22"/>
          <w:lang w:val="fr-CA"/>
        </w:rPr>
        <w:t>2.</w:t>
      </w:r>
      <w:r>
        <w:rPr>
          <w:rFonts w:cs="Arial"/>
          <w:noProof/>
          <w:szCs w:val="22"/>
          <w:lang w:val="fr-CA"/>
        </w:rPr>
        <w:tab/>
      </w:r>
      <w:r>
        <w:rPr>
          <w:rFonts w:cs="Arial"/>
          <w:b/>
          <w:bCs/>
          <w:noProof/>
          <w:szCs w:val="22"/>
          <w:lang w:val="fr-CA"/>
        </w:rPr>
        <w:t>Durée</w:t>
      </w:r>
      <w:r>
        <w:rPr>
          <w:rFonts w:cs="Arial"/>
          <w:noProof/>
          <w:szCs w:val="22"/>
          <w:lang w:val="fr-CA"/>
        </w:rPr>
        <w:t> – Indiquer la date du début et de la fin de l’offre. L’offre ne peut durer plus de un an à compter de la date à laquelle commencent les achats (p. ex. du 1</w:t>
      </w:r>
      <w:r>
        <w:rPr>
          <w:rFonts w:cs="Arial"/>
          <w:noProof/>
          <w:szCs w:val="22"/>
          <w:vertAlign w:val="superscript"/>
          <w:lang w:val="fr-CA"/>
        </w:rPr>
        <w:t>er</w:t>
      </w:r>
      <w:r>
        <w:rPr>
          <w:rFonts w:cs="Arial"/>
          <w:noProof/>
          <w:szCs w:val="22"/>
          <w:lang w:val="fr-CA"/>
        </w:rPr>
        <w:t xml:space="preserve"> mai 2004 au 30 avril 2005) : </w:t>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keepNext/>
        <w:rPr>
          <w:rFonts w:cs="Arial"/>
          <w:noProof/>
          <w:szCs w:val="22"/>
          <w:lang w:val="fr-CA"/>
        </w:rPr>
      </w:pPr>
      <w:r>
        <w:rPr>
          <w:rFonts w:cs="Arial"/>
          <w:b/>
          <w:bCs/>
          <w:noProof/>
          <w:szCs w:val="22"/>
          <w:lang w:val="fr-CA"/>
        </w:rPr>
        <w:t>3.</w:t>
      </w:r>
      <w:r>
        <w:rPr>
          <w:rFonts w:cs="Arial"/>
          <w:noProof/>
          <w:szCs w:val="22"/>
          <w:lang w:val="fr-CA"/>
        </w:rPr>
        <w:tab/>
      </w:r>
      <w:r>
        <w:rPr>
          <w:rFonts w:cs="Arial"/>
          <w:b/>
          <w:bCs/>
          <w:noProof/>
          <w:szCs w:val="22"/>
          <w:lang w:val="fr-CA"/>
        </w:rPr>
        <w:t>Mode d’acquisition</w:t>
      </w:r>
      <w:r>
        <w:rPr>
          <w:rFonts w:cs="Arial"/>
          <w:noProof/>
          <w:szCs w:val="22"/>
          <w:lang w:val="fr-CA"/>
        </w:rPr>
        <w:t> – </w:t>
      </w:r>
    </w:p>
    <w:p w:rsidR="000E290E" w:rsidRDefault="000E290E" w:rsidP="000E290E">
      <w:pPr>
        <w:tabs>
          <w:tab w:val="right" w:pos="9360"/>
        </w:tabs>
        <w:spacing w:after="0"/>
        <w:ind w:left="1440" w:hanging="720"/>
        <w:rPr>
          <w:rFonts w:cs="Arial"/>
          <w:noProof/>
          <w:szCs w:val="22"/>
          <w:u w:val="single"/>
          <w:lang w:val="fr-CA"/>
        </w:rPr>
      </w:pPr>
      <w:r>
        <w:rPr>
          <w:rFonts w:cs="Arial"/>
          <w:noProof/>
          <w:szCs w:val="22"/>
          <w:lang w:val="fr-CA"/>
        </w:rPr>
        <w:t>a)</w:t>
      </w:r>
      <w:r>
        <w:rPr>
          <w:rFonts w:cs="Arial"/>
          <w:noProof/>
          <w:szCs w:val="22"/>
          <w:lang w:val="fr-CA"/>
        </w:rPr>
        <w:tab/>
        <w:t xml:space="preserve">Indiquer si les achats seront effectués par l’intermédiaire de la TSX et indiquer toute autre bourse ou tout autre marché où les achats seront effectués : </w:t>
      </w:r>
      <w:r>
        <w:rPr>
          <w:rFonts w:cs="Arial"/>
          <w:noProof/>
          <w:szCs w:val="22"/>
          <w:u w:val="single"/>
          <w:lang w:val="fr-CA"/>
        </w:rPr>
        <w:tab/>
      </w:r>
    </w:p>
    <w:p w:rsidR="000E290E" w:rsidRDefault="000E290E" w:rsidP="000E290E">
      <w:pPr>
        <w:tabs>
          <w:tab w:val="right" w:pos="9360"/>
        </w:tabs>
        <w:spacing w:before="240" w:after="0"/>
        <w:ind w:left="1440" w:hanging="720"/>
        <w:rPr>
          <w:rFonts w:cs="Arial"/>
          <w:noProof/>
          <w:szCs w:val="22"/>
          <w:u w:val="single"/>
          <w:lang w:val="fr-CA"/>
        </w:rPr>
      </w:pPr>
      <w:r>
        <w:rPr>
          <w:rFonts w:cs="Arial"/>
          <w:noProof/>
          <w:szCs w:val="22"/>
          <w:lang w:val="fr-CA"/>
        </w:rPr>
        <w:t>b)</w:t>
      </w:r>
      <w:r>
        <w:rPr>
          <w:rFonts w:cs="Arial"/>
          <w:noProof/>
          <w:szCs w:val="22"/>
          <w:lang w:val="fr-CA"/>
        </w:rPr>
        <w:tab/>
        <w:t xml:space="preserve">Indiquer si l’achat et le règlement des titres seront faits par l’émetteur conformément aux exigences de la TSX : </w:t>
      </w:r>
      <w:r>
        <w:rPr>
          <w:rFonts w:cs="Arial"/>
          <w:noProof/>
          <w:szCs w:val="22"/>
          <w:u w:val="single"/>
          <w:lang w:val="fr-CA"/>
        </w:rPr>
        <w:tab/>
      </w:r>
    </w:p>
    <w:p w:rsidR="000E290E" w:rsidRDefault="000E290E" w:rsidP="000E290E">
      <w:pPr>
        <w:tabs>
          <w:tab w:val="right" w:pos="9360"/>
        </w:tabs>
        <w:spacing w:before="240" w:after="0"/>
        <w:ind w:left="1440" w:hanging="720"/>
        <w:rPr>
          <w:rFonts w:cs="Arial"/>
          <w:noProof/>
          <w:szCs w:val="22"/>
          <w:u w:val="single"/>
          <w:lang w:val="fr-CA"/>
        </w:rPr>
      </w:pPr>
      <w:r>
        <w:rPr>
          <w:rFonts w:cs="Arial"/>
          <w:noProof/>
          <w:szCs w:val="22"/>
          <w:lang w:val="fr-CA"/>
        </w:rPr>
        <w:t>c)</w:t>
      </w:r>
      <w:r>
        <w:rPr>
          <w:rFonts w:cs="Arial"/>
          <w:noProof/>
          <w:szCs w:val="22"/>
          <w:lang w:val="fr-CA"/>
        </w:rPr>
        <w:tab/>
        <w:t xml:space="preserve">Indiquer si le prix payé par l’émetteur pour les titres qu’il acquiert sera le cours des titres au moment de l’acquisition : </w:t>
      </w:r>
      <w:r>
        <w:rPr>
          <w:rFonts w:cs="Arial"/>
          <w:noProof/>
          <w:szCs w:val="22"/>
          <w:u w:val="single"/>
          <w:lang w:val="fr-CA"/>
        </w:rPr>
        <w:tab/>
      </w:r>
    </w:p>
    <w:p w:rsidR="000E290E" w:rsidRDefault="000E290E" w:rsidP="000E290E">
      <w:pPr>
        <w:tabs>
          <w:tab w:val="right" w:pos="9360"/>
        </w:tabs>
        <w:spacing w:before="240" w:after="0"/>
        <w:ind w:left="1440" w:hanging="720"/>
        <w:rPr>
          <w:rFonts w:cs="Arial"/>
          <w:noProof/>
          <w:szCs w:val="22"/>
          <w:u w:val="single"/>
          <w:lang w:val="fr-CA"/>
        </w:rPr>
      </w:pPr>
      <w:r>
        <w:rPr>
          <w:rFonts w:cs="Arial"/>
          <w:noProof/>
          <w:szCs w:val="22"/>
          <w:lang w:val="fr-CA"/>
        </w:rPr>
        <w:t>d)</w:t>
      </w:r>
      <w:r>
        <w:rPr>
          <w:rFonts w:cs="Arial"/>
          <w:noProof/>
          <w:szCs w:val="22"/>
          <w:lang w:val="fr-CA"/>
        </w:rPr>
        <w:tab/>
        <w:t xml:space="preserve">Indiquer si des achats (autrement que par une offre exempte) seront faits autrement que par des opérations sur le marché libre pendant la durée de l’offre : </w:t>
      </w:r>
      <w:r>
        <w:rPr>
          <w:rFonts w:cs="Arial"/>
          <w:noProof/>
          <w:szCs w:val="22"/>
          <w:u w:val="single"/>
          <w:lang w:val="fr-CA"/>
        </w:rPr>
        <w:tab/>
      </w:r>
      <w:r>
        <w:rPr>
          <w:rFonts w:cs="Arial"/>
          <w:noProof/>
          <w:szCs w:val="22"/>
          <w:lang w:val="fr-CA"/>
        </w:rPr>
        <w:br/>
      </w:r>
      <w:r>
        <w:rPr>
          <w:rFonts w:cs="Arial"/>
          <w:noProof/>
          <w:szCs w:val="22"/>
          <w:u w:val="single"/>
          <w:lang w:val="fr-CA"/>
        </w:rPr>
        <w:tab/>
      </w:r>
    </w:p>
    <w:p w:rsidR="000E290E" w:rsidRDefault="000E290E" w:rsidP="000E290E">
      <w:pPr>
        <w:tabs>
          <w:tab w:val="right" w:pos="9360"/>
        </w:tabs>
        <w:spacing w:before="240"/>
        <w:ind w:left="720" w:hanging="720"/>
        <w:rPr>
          <w:rFonts w:cs="Arial"/>
          <w:noProof/>
          <w:szCs w:val="22"/>
          <w:u w:val="single"/>
          <w:lang w:val="fr-CA"/>
        </w:rPr>
      </w:pPr>
      <w:r>
        <w:rPr>
          <w:rFonts w:cs="Arial"/>
          <w:b/>
          <w:bCs/>
          <w:noProof/>
          <w:szCs w:val="22"/>
          <w:lang w:val="fr-CA"/>
        </w:rPr>
        <w:t>4.</w:t>
      </w:r>
      <w:r>
        <w:rPr>
          <w:rFonts w:cs="Arial"/>
          <w:noProof/>
          <w:szCs w:val="22"/>
          <w:lang w:val="fr-CA"/>
        </w:rPr>
        <w:tab/>
      </w:r>
      <w:r>
        <w:rPr>
          <w:rFonts w:cs="Arial"/>
          <w:b/>
          <w:bCs/>
          <w:noProof/>
          <w:szCs w:val="22"/>
          <w:lang w:val="fr-CA"/>
        </w:rPr>
        <w:t>Contrepartie offerte</w:t>
      </w:r>
      <w:r>
        <w:rPr>
          <w:rFonts w:cs="Arial"/>
          <w:bCs/>
          <w:noProof/>
          <w:szCs w:val="22"/>
          <w:lang w:val="fr-CA"/>
        </w:rPr>
        <w:t> – </w:t>
      </w:r>
      <w:r>
        <w:rPr>
          <w:rFonts w:cs="Arial"/>
          <w:noProof/>
          <w:szCs w:val="22"/>
          <w:lang w:val="fr-CA"/>
        </w:rPr>
        <w:t xml:space="preserve">Indiquer si le prix que l’initiateur est disposé à payer est assujetti à des restrictions et si d’autres restrictions touchent l’offre, notamment le montant précis des fonds disponibles, le mode d’acquisition, etc. : </w:t>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tabs>
          <w:tab w:val="right" w:pos="9360"/>
        </w:tabs>
        <w:spacing w:before="240"/>
        <w:ind w:left="720" w:hanging="720"/>
        <w:rPr>
          <w:rFonts w:cs="Arial"/>
          <w:b/>
          <w:bCs/>
          <w:noProof/>
          <w:szCs w:val="22"/>
          <w:lang w:val="fr-CA"/>
        </w:rPr>
      </w:pPr>
      <w:r>
        <w:rPr>
          <w:rFonts w:cs="Arial"/>
          <w:b/>
          <w:bCs/>
          <w:noProof/>
          <w:szCs w:val="22"/>
          <w:lang w:val="fr-CA"/>
        </w:rPr>
        <w:t>5.</w:t>
      </w:r>
      <w:r>
        <w:rPr>
          <w:rFonts w:cs="Arial"/>
          <w:noProof/>
          <w:szCs w:val="22"/>
          <w:lang w:val="fr-CA"/>
        </w:rPr>
        <w:tab/>
      </w:r>
      <w:r>
        <w:rPr>
          <w:rFonts w:cs="Arial"/>
          <w:b/>
          <w:bCs/>
          <w:noProof/>
          <w:szCs w:val="22"/>
          <w:lang w:val="fr-CA"/>
        </w:rPr>
        <w:t>But de l’offre</w:t>
      </w:r>
      <w:r>
        <w:rPr>
          <w:rFonts w:cs="Arial"/>
          <w:noProof/>
          <w:szCs w:val="22"/>
          <w:lang w:val="fr-CA"/>
        </w:rPr>
        <w:t xml:space="preserve"> – Donner le but ou les raisons commerciales de l’offre : </w:t>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tabs>
          <w:tab w:val="right" w:pos="9360"/>
        </w:tabs>
        <w:ind w:left="720" w:hanging="720"/>
        <w:rPr>
          <w:rFonts w:cs="Arial"/>
          <w:noProof/>
          <w:szCs w:val="22"/>
          <w:u w:val="single"/>
          <w:lang w:val="fr-CA"/>
        </w:rPr>
      </w:pPr>
      <w:r>
        <w:rPr>
          <w:rFonts w:cs="Arial"/>
          <w:b/>
          <w:bCs/>
          <w:noProof/>
          <w:szCs w:val="22"/>
          <w:lang w:val="fr-CA"/>
        </w:rPr>
        <w:t>6.</w:t>
      </w:r>
      <w:r>
        <w:rPr>
          <w:rFonts w:cs="Arial"/>
          <w:noProof/>
          <w:szCs w:val="22"/>
          <w:lang w:val="fr-CA"/>
        </w:rPr>
        <w:tab/>
      </w:r>
      <w:r>
        <w:rPr>
          <w:rFonts w:cs="Arial"/>
          <w:b/>
          <w:bCs/>
          <w:noProof/>
          <w:szCs w:val="22"/>
          <w:lang w:val="fr-CA"/>
        </w:rPr>
        <w:t>Évaluation</w:t>
      </w:r>
      <w:r>
        <w:rPr>
          <w:rFonts w:cs="Arial"/>
          <w:noProof/>
          <w:szCs w:val="22"/>
          <w:lang w:val="fr-CA"/>
        </w:rPr>
        <w:t xml:space="preserve"> – Indiquer si, à la connaissance des administrateurs ou des dirigeants de l’émetteur, après enquête raisonnable, l’émetteur, ses principaux actifs ou ses titres ont fait l’objet d’une expertise ou d’une évaluation établie dans les deux années précédant la date de l’avis; indiquer l’endroit et les heures raisonnables où la version originale ou une copie du rapport de cette expertise ou de cette évaluation peut être consultée. Pour les besoins de ce qui précède, on entend par </w:t>
      </w:r>
      <w:r>
        <w:rPr>
          <w:rFonts w:cs="Arial"/>
          <w:i/>
          <w:iCs/>
          <w:noProof/>
          <w:szCs w:val="22"/>
          <w:lang w:val="fr-CA"/>
        </w:rPr>
        <w:t xml:space="preserve">expertise </w:t>
      </w:r>
      <w:r>
        <w:rPr>
          <w:rFonts w:cs="Arial"/>
          <w:noProof/>
          <w:szCs w:val="22"/>
          <w:lang w:val="fr-CA"/>
        </w:rPr>
        <w:t xml:space="preserve">ou </w:t>
      </w:r>
      <w:r>
        <w:rPr>
          <w:rFonts w:cs="Arial"/>
          <w:i/>
          <w:iCs/>
          <w:noProof/>
          <w:szCs w:val="22"/>
          <w:lang w:val="fr-CA"/>
        </w:rPr>
        <w:t xml:space="preserve">évaluation </w:t>
      </w:r>
      <w:r>
        <w:rPr>
          <w:rFonts w:cs="Arial"/>
          <w:noProof/>
          <w:szCs w:val="22"/>
          <w:lang w:val="fr-CA"/>
        </w:rPr>
        <w:t xml:space="preserve">à la fois une expertise ou une évaluation indépendante et une expertise ou une évaluation non indépendante </w:t>
      </w:r>
      <w:r>
        <w:rPr>
          <w:rFonts w:cs="Arial"/>
          <w:noProof/>
          <w:szCs w:val="22"/>
          <w:lang w:val="fr-CA"/>
        </w:rPr>
        <w:lastRenderedPageBreak/>
        <w:t>importante. Si une telle expertise ou évaluation a été faite, inclure un sommaire de celle</w:t>
      </w:r>
      <w:r>
        <w:rPr>
          <w:rFonts w:cs="Arial"/>
          <w:noProof/>
          <w:szCs w:val="22"/>
          <w:lang w:val="fr-CA"/>
        </w:rPr>
        <w:noBreakHyphen/>
        <w:t xml:space="preserve">ci : </w:t>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tabs>
          <w:tab w:val="right" w:pos="9360"/>
        </w:tabs>
        <w:ind w:left="720" w:hanging="720"/>
        <w:rPr>
          <w:rFonts w:cs="Arial"/>
          <w:noProof/>
          <w:szCs w:val="22"/>
          <w:lang w:val="fr-CA"/>
        </w:rPr>
      </w:pPr>
      <w:r>
        <w:rPr>
          <w:rFonts w:cs="Arial"/>
          <w:b/>
          <w:bCs/>
          <w:noProof/>
          <w:szCs w:val="22"/>
          <w:lang w:val="fr-CA"/>
        </w:rPr>
        <w:t>7.</w:t>
      </w:r>
      <w:r>
        <w:rPr>
          <w:rFonts w:cs="Arial"/>
          <w:noProof/>
          <w:szCs w:val="22"/>
          <w:lang w:val="fr-CA"/>
        </w:rPr>
        <w:tab/>
      </w:r>
      <w:r>
        <w:rPr>
          <w:rFonts w:cs="Arial"/>
          <w:b/>
          <w:bCs/>
          <w:noProof/>
          <w:szCs w:val="22"/>
          <w:lang w:val="fr-CA"/>
        </w:rPr>
        <w:t>Achats antérieurs</w:t>
      </w:r>
      <w:r>
        <w:rPr>
          <w:rFonts w:cs="Arial"/>
          <w:noProof/>
          <w:szCs w:val="22"/>
          <w:lang w:val="fr-CA"/>
        </w:rPr>
        <w:t> – Si l’émetteur a, au cours des 12 derniers mois, acheté des titres dans le cadre d’une offre, préciser :</w:t>
      </w:r>
    </w:p>
    <w:p w:rsidR="000E290E" w:rsidRDefault="000E290E" w:rsidP="000E290E">
      <w:pPr>
        <w:tabs>
          <w:tab w:val="right" w:pos="9360"/>
        </w:tabs>
        <w:ind w:left="1440" w:hanging="720"/>
        <w:rPr>
          <w:rFonts w:cs="Arial"/>
          <w:noProof/>
          <w:szCs w:val="22"/>
          <w:u w:val="single"/>
          <w:lang w:val="fr-CA"/>
        </w:rPr>
      </w:pPr>
      <w:r>
        <w:rPr>
          <w:rFonts w:cs="Arial"/>
          <w:noProof/>
          <w:szCs w:val="22"/>
          <w:lang w:val="fr-CA"/>
        </w:rPr>
        <w:t>a)</w:t>
      </w:r>
      <w:r>
        <w:rPr>
          <w:rFonts w:cs="Arial"/>
          <w:noProof/>
          <w:szCs w:val="22"/>
          <w:lang w:val="fr-CA"/>
        </w:rPr>
        <w:tab/>
        <w:t xml:space="preserve">le mode d’acquisition : </w:t>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221B11" w:rsidRPr="004435AF" w:rsidRDefault="00221B11" w:rsidP="00221B11">
      <w:pPr>
        <w:pStyle w:val="ListParagraph"/>
        <w:numPr>
          <w:ilvl w:val="0"/>
          <w:numId w:val="4"/>
        </w:numPr>
        <w:tabs>
          <w:tab w:val="left" w:pos="1440"/>
        </w:tabs>
        <w:ind w:right="-90" w:firstLine="0"/>
        <w:rPr>
          <w:rFonts w:ascii="Arial" w:hAnsi="Arial" w:cs="Arial"/>
          <w:lang w:val="fr-CA"/>
        </w:rPr>
      </w:pPr>
      <w:proofErr w:type="gramStart"/>
      <w:r w:rsidRPr="004435AF">
        <w:rPr>
          <w:rFonts w:ascii="Arial" w:hAnsi="Arial" w:cs="Arial"/>
          <w:bCs/>
          <w:bdr w:val="none" w:sz="0" w:space="0" w:color="auto" w:frame="1"/>
          <w:lang w:val="fr-CA"/>
        </w:rPr>
        <w:t>le</w:t>
      </w:r>
      <w:proofErr w:type="gramEnd"/>
      <w:r w:rsidRPr="004435AF">
        <w:rPr>
          <w:rFonts w:ascii="Arial" w:hAnsi="Arial" w:cs="Arial"/>
          <w:bCs/>
          <w:bdr w:val="none" w:sz="0" w:space="0" w:color="auto" w:frame="1"/>
          <w:lang w:val="fr-CA"/>
        </w:rPr>
        <w:t xml:space="preserve"> nombre maximal approuvé de titres à acquérir :</w:t>
      </w:r>
      <w:r>
        <w:rPr>
          <w:rFonts w:ascii="Arial" w:hAnsi="Arial" w:cs="Arial"/>
          <w:bCs/>
          <w:bdr w:val="none" w:sz="0" w:space="0" w:color="auto" w:frame="1"/>
          <w:lang w:val="fr-CA"/>
        </w:rPr>
        <w:t>_________________________</w:t>
      </w:r>
    </w:p>
    <w:p w:rsidR="000E290E" w:rsidRPr="00221B11" w:rsidRDefault="00221B11" w:rsidP="00221B11">
      <w:pPr>
        <w:tabs>
          <w:tab w:val="right" w:pos="9360"/>
        </w:tabs>
        <w:ind w:left="1440" w:hanging="720"/>
        <w:rPr>
          <w:rFonts w:cs="Arial"/>
          <w:noProof/>
          <w:szCs w:val="22"/>
          <w:lang w:val="fr-CA"/>
        </w:rPr>
      </w:pPr>
      <w:r>
        <w:rPr>
          <w:rFonts w:cs="Arial"/>
          <w:noProof/>
          <w:szCs w:val="22"/>
          <w:lang w:val="fr-CA"/>
        </w:rPr>
        <w:t>c</w:t>
      </w:r>
      <w:r w:rsidR="000E290E">
        <w:rPr>
          <w:rFonts w:cs="Arial"/>
          <w:noProof/>
          <w:szCs w:val="22"/>
          <w:lang w:val="fr-CA"/>
        </w:rPr>
        <w:t>)</w:t>
      </w:r>
      <w:r w:rsidR="000E290E">
        <w:rPr>
          <w:rFonts w:cs="Arial"/>
          <w:noProof/>
          <w:szCs w:val="22"/>
          <w:lang w:val="fr-CA"/>
        </w:rPr>
        <w:tab/>
        <w:t xml:space="preserve">le nombre </w:t>
      </w:r>
      <w:r w:rsidRPr="00827D35">
        <w:rPr>
          <w:rFonts w:cs="Arial"/>
          <w:lang w:val="fr-CA"/>
        </w:rPr>
        <w:t>rée</w:t>
      </w:r>
      <w:r>
        <w:rPr>
          <w:rFonts w:cs="Arial"/>
          <w:lang w:val="fr-CA"/>
        </w:rPr>
        <w:t>l</w:t>
      </w:r>
      <w:r>
        <w:rPr>
          <w:rFonts w:cs="Arial"/>
          <w:noProof/>
          <w:szCs w:val="22"/>
          <w:lang w:val="fr-CA"/>
        </w:rPr>
        <w:t xml:space="preserve"> </w:t>
      </w:r>
      <w:r w:rsidR="000E290E">
        <w:rPr>
          <w:rFonts w:cs="Arial"/>
          <w:noProof/>
          <w:szCs w:val="22"/>
          <w:lang w:val="fr-CA"/>
        </w:rPr>
        <w:t xml:space="preserve">de titres acquis : </w:t>
      </w:r>
      <w:r w:rsidR="000E290E">
        <w:rPr>
          <w:rFonts w:cs="Arial"/>
          <w:noProof/>
          <w:szCs w:val="22"/>
          <w:u w:val="single"/>
          <w:lang w:val="fr-CA"/>
        </w:rPr>
        <w:tab/>
      </w:r>
    </w:p>
    <w:p w:rsidR="000E290E" w:rsidRDefault="00221B11" w:rsidP="000E290E">
      <w:pPr>
        <w:tabs>
          <w:tab w:val="right" w:pos="9360"/>
        </w:tabs>
        <w:ind w:left="1440" w:hanging="720"/>
        <w:rPr>
          <w:rFonts w:cs="Arial"/>
          <w:noProof/>
          <w:szCs w:val="22"/>
          <w:u w:val="single"/>
          <w:lang w:val="fr-CA"/>
        </w:rPr>
      </w:pPr>
      <w:r>
        <w:rPr>
          <w:rFonts w:cs="Arial"/>
          <w:noProof/>
          <w:szCs w:val="22"/>
          <w:lang w:val="fr-CA"/>
        </w:rPr>
        <w:t>d</w:t>
      </w:r>
      <w:r w:rsidR="000E290E">
        <w:rPr>
          <w:rFonts w:cs="Arial"/>
          <w:noProof/>
          <w:szCs w:val="22"/>
          <w:lang w:val="fr-CA"/>
        </w:rPr>
        <w:t>)</w:t>
      </w:r>
      <w:r w:rsidR="000E290E">
        <w:rPr>
          <w:rFonts w:cs="Arial"/>
          <w:noProof/>
          <w:szCs w:val="22"/>
          <w:lang w:val="fr-CA"/>
        </w:rPr>
        <w:tab/>
        <w:t xml:space="preserve">le prix moyen pondéré versé par titre : </w:t>
      </w:r>
      <w:r w:rsidR="000E290E">
        <w:rPr>
          <w:rFonts w:cs="Arial"/>
          <w:noProof/>
          <w:szCs w:val="22"/>
          <w:u w:val="single"/>
          <w:lang w:val="fr-CA"/>
        </w:rPr>
        <w:tab/>
      </w:r>
    </w:p>
    <w:p w:rsidR="000E290E" w:rsidRDefault="000E290E" w:rsidP="000E290E">
      <w:pPr>
        <w:keepLines/>
        <w:tabs>
          <w:tab w:val="right" w:pos="9360"/>
        </w:tabs>
        <w:ind w:left="720" w:hanging="720"/>
        <w:rPr>
          <w:rFonts w:cs="Arial"/>
          <w:noProof/>
          <w:szCs w:val="22"/>
          <w:u w:val="single"/>
          <w:lang w:val="fr-CA"/>
        </w:rPr>
      </w:pPr>
      <w:r>
        <w:rPr>
          <w:rFonts w:cs="Arial"/>
          <w:b/>
          <w:bCs/>
          <w:noProof/>
          <w:szCs w:val="22"/>
          <w:lang w:val="fr-CA"/>
        </w:rPr>
        <w:t>8.</w:t>
      </w:r>
      <w:r>
        <w:rPr>
          <w:rFonts w:cs="Arial"/>
          <w:b/>
          <w:bCs/>
          <w:noProof/>
          <w:szCs w:val="22"/>
          <w:lang w:val="fr-CA"/>
        </w:rPr>
        <w:tab/>
        <w:t>Personnes agissant de concert avec l’émetteur – </w:t>
      </w:r>
      <w:r>
        <w:rPr>
          <w:rFonts w:cs="Arial"/>
          <w:noProof/>
          <w:szCs w:val="22"/>
          <w:lang w:val="fr-CA"/>
        </w:rPr>
        <w:t xml:space="preserve">Donner l’identité de toute partie agissant de concert avec l’émetteur : </w:t>
      </w:r>
      <w:r>
        <w:rPr>
          <w:rFonts w:cs="Arial"/>
          <w:noProof/>
          <w:szCs w:val="22"/>
          <w:u w:val="single"/>
          <w:lang w:val="fr-CA"/>
        </w:rPr>
        <w:tab/>
      </w:r>
      <w:r>
        <w:rPr>
          <w:rFonts w:cs="Arial"/>
          <w:noProof/>
          <w:szCs w:val="22"/>
          <w:lang w:val="fr-CA"/>
        </w:rPr>
        <w:br/>
      </w:r>
      <w:r>
        <w:rPr>
          <w:rFonts w:cs="Arial"/>
          <w:noProof/>
          <w:szCs w:val="22"/>
          <w:u w:val="single"/>
          <w:lang w:val="fr-CA"/>
        </w:rPr>
        <w:tab/>
      </w:r>
    </w:p>
    <w:p w:rsidR="000E290E" w:rsidRDefault="000E290E" w:rsidP="000E290E">
      <w:pPr>
        <w:tabs>
          <w:tab w:val="left" w:pos="720"/>
          <w:tab w:val="right" w:pos="9360"/>
        </w:tabs>
        <w:ind w:left="720" w:hanging="720"/>
        <w:rPr>
          <w:rFonts w:cs="Arial"/>
          <w:noProof/>
          <w:szCs w:val="22"/>
          <w:lang w:val="fr-CA"/>
        </w:rPr>
      </w:pPr>
      <w:r>
        <w:rPr>
          <w:rFonts w:cs="Arial"/>
          <w:b/>
          <w:bCs/>
          <w:noProof/>
          <w:szCs w:val="22"/>
          <w:lang w:val="fr-CA"/>
        </w:rPr>
        <w:t>9.</w:t>
      </w:r>
      <w:r>
        <w:rPr>
          <w:rFonts w:cs="Arial"/>
          <w:b/>
          <w:bCs/>
          <w:noProof/>
          <w:szCs w:val="22"/>
          <w:lang w:val="fr-CA"/>
        </w:rPr>
        <w:tab/>
        <w:t>Acceptation de l’offre par des initiés, des membres du même groupe et des personnes qui ont un lien –</w:t>
      </w:r>
    </w:p>
    <w:p w:rsidR="000E290E" w:rsidRDefault="000E290E" w:rsidP="000E290E">
      <w:pPr>
        <w:tabs>
          <w:tab w:val="right" w:pos="9360"/>
        </w:tabs>
        <w:ind w:left="1440" w:hanging="720"/>
        <w:rPr>
          <w:rFonts w:cs="Arial"/>
          <w:noProof/>
          <w:szCs w:val="22"/>
          <w:lang w:val="fr-CA"/>
        </w:rPr>
      </w:pPr>
      <w:r>
        <w:rPr>
          <w:rFonts w:cs="Arial"/>
          <w:noProof/>
          <w:szCs w:val="22"/>
          <w:lang w:val="fr-CA"/>
        </w:rPr>
        <w:t>a)</w:t>
      </w:r>
      <w:r>
        <w:rPr>
          <w:rFonts w:cs="Arial"/>
          <w:noProof/>
          <w:szCs w:val="22"/>
          <w:lang w:val="fr-CA"/>
        </w:rPr>
        <w:tab/>
        <w:t>Donner le nom de chaque administrateur ou membre de la haute direction de l’émetteur qui entend vendre des titres de l’émetteur pendant l’offre :</w:t>
      </w:r>
      <w:r>
        <w:rPr>
          <w:rFonts w:cs="Arial"/>
          <w:noProof/>
          <w:szCs w:val="22"/>
          <w:u w:val="single"/>
          <w:lang w:val="fr-CA"/>
        </w:rPr>
        <w:tab/>
      </w:r>
      <w:r>
        <w:rPr>
          <w:rFonts w:cs="Arial"/>
          <w:noProof/>
          <w:szCs w:val="22"/>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tabs>
          <w:tab w:val="right" w:pos="9360"/>
        </w:tabs>
        <w:ind w:left="1440" w:hanging="720"/>
        <w:rPr>
          <w:rFonts w:cs="Arial"/>
          <w:noProof/>
          <w:szCs w:val="22"/>
          <w:u w:val="single"/>
          <w:lang w:val="fr-CA"/>
        </w:rPr>
      </w:pPr>
      <w:r>
        <w:rPr>
          <w:rFonts w:cs="Arial"/>
          <w:noProof/>
          <w:szCs w:val="22"/>
          <w:lang w:val="fr-CA"/>
        </w:rPr>
        <w:t>b)</w:t>
      </w:r>
      <w:r>
        <w:rPr>
          <w:rFonts w:cs="Arial"/>
          <w:noProof/>
          <w:szCs w:val="22"/>
          <w:lang w:val="fr-CA"/>
        </w:rPr>
        <w:tab/>
        <w:t xml:space="preserve">Lorsque leur intention est connue après enquête raisonnable, indiquer le nom des personnes qui ont un lien avec un administrateur ou un membre de la haute direction de l’émetteur, qui agissent de concert avec l’émetteur ou qui détiennent 10 % ou plus de toute catégorie de titres de participation de l’émetteur et qui prévoient vendre des titres : </w:t>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keepLines/>
        <w:tabs>
          <w:tab w:val="right" w:pos="9360"/>
        </w:tabs>
        <w:ind w:left="720" w:hanging="720"/>
        <w:rPr>
          <w:rFonts w:cs="Arial"/>
          <w:noProof/>
          <w:szCs w:val="22"/>
          <w:u w:val="single"/>
          <w:lang w:val="fr-CA"/>
        </w:rPr>
      </w:pPr>
      <w:r>
        <w:rPr>
          <w:rFonts w:cs="Arial"/>
          <w:b/>
          <w:bCs/>
          <w:noProof/>
          <w:szCs w:val="22"/>
          <w:lang w:val="fr-CA"/>
        </w:rPr>
        <w:lastRenderedPageBreak/>
        <w:t>10.</w:t>
      </w:r>
      <w:r>
        <w:rPr>
          <w:rFonts w:cs="Arial"/>
          <w:noProof/>
          <w:szCs w:val="22"/>
          <w:lang w:val="fr-CA"/>
        </w:rPr>
        <w:tab/>
      </w:r>
      <w:r>
        <w:rPr>
          <w:rFonts w:cs="Arial"/>
          <w:b/>
          <w:bCs/>
          <w:noProof/>
          <w:szCs w:val="22"/>
          <w:lang w:val="fr-CA"/>
        </w:rPr>
        <w:t>Avantages découlant de l’offre</w:t>
      </w:r>
      <w:r>
        <w:rPr>
          <w:rFonts w:cs="Arial"/>
          <w:noProof/>
          <w:szCs w:val="22"/>
          <w:lang w:val="fr-CA"/>
        </w:rPr>
        <w:t xml:space="preserve"> – Indiquer, pour les personnes physiques ou morales nommées à la rubrique 9, les avantages directs ou indirects découlant de la vente ou de la conservation des titres de l’émetteur pendant la durée de l’offre. Il n’est pas nécessaire de répondre à cette question lorsque les avantages que retire la personne physique ou morale en question sont les mêmes que ceux dont bénéficie tout autre porteur de titres qui décide de vendre ou de ne pas vendre ses titres : </w:t>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tabs>
          <w:tab w:val="right" w:pos="9360"/>
        </w:tabs>
        <w:ind w:left="720" w:hanging="720"/>
        <w:rPr>
          <w:rFonts w:cs="Arial"/>
          <w:noProof/>
          <w:szCs w:val="22"/>
          <w:u w:val="single"/>
          <w:lang w:val="fr-CA"/>
        </w:rPr>
      </w:pPr>
      <w:r>
        <w:rPr>
          <w:rFonts w:cs="Arial"/>
          <w:b/>
          <w:bCs/>
          <w:noProof/>
          <w:szCs w:val="22"/>
          <w:lang w:val="fr-CA"/>
        </w:rPr>
        <w:t>11.</w:t>
      </w:r>
      <w:r>
        <w:rPr>
          <w:rFonts w:cs="Arial"/>
          <w:noProof/>
          <w:szCs w:val="22"/>
          <w:lang w:val="fr-CA"/>
        </w:rPr>
        <w:tab/>
      </w:r>
      <w:r>
        <w:rPr>
          <w:rFonts w:cs="Arial"/>
          <w:b/>
          <w:bCs/>
          <w:noProof/>
          <w:szCs w:val="22"/>
          <w:lang w:val="fr-CA"/>
        </w:rPr>
        <w:t>Changements importants dans les affaires de l’émetteur</w:t>
      </w:r>
      <w:r>
        <w:rPr>
          <w:rFonts w:cs="Arial"/>
          <w:noProof/>
          <w:szCs w:val="22"/>
          <w:lang w:val="fr-CA"/>
        </w:rPr>
        <w:t xml:space="preserve"> – Mentionner tout changement important ou plan ou projet de changement important dans les affaires de l’émetteur qui n’a pas déjà été communiqué : </w:t>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tabs>
          <w:tab w:val="right" w:pos="9360"/>
        </w:tabs>
        <w:ind w:left="720" w:hanging="720"/>
        <w:rPr>
          <w:rFonts w:cs="Arial"/>
          <w:b/>
          <w:bCs/>
          <w:noProof/>
          <w:szCs w:val="22"/>
          <w:lang w:val="fr-CA"/>
        </w:rPr>
      </w:pPr>
      <w:r>
        <w:rPr>
          <w:rFonts w:cs="Arial"/>
          <w:b/>
          <w:bCs/>
          <w:noProof/>
          <w:szCs w:val="22"/>
          <w:lang w:val="fr-CA"/>
        </w:rPr>
        <w:t>12.</w:t>
      </w:r>
      <w:r>
        <w:rPr>
          <w:rFonts w:cs="Arial"/>
          <w:b/>
          <w:bCs/>
          <w:noProof/>
          <w:szCs w:val="22"/>
          <w:lang w:val="fr-CA"/>
        </w:rPr>
        <w:tab/>
        <w:t>Renseignements sur les organisations participantes –</w:t>
      </w:r>
    </w:p>
    <w:p w:rsidR="000E290E" w:rsidRDefault="000E290E" w:rsidP="000E290E">
      <w:pPr>
        <w:tabs>
          <w:tab w:val="right" w:pos="9360"/>
        </w:tabs>
        <w:ind w:left="1440" w:hanging="720"/>
        <w:rPr>
          <w:rFonts w:cs="Arial"/>
          <w:noProof/>
          <w:szCs w:val="22"/>
          <w:u w:val="single"/>
          <w:lang w:val="fr-CA"/>
        </w:rPr>
      </w:pPr>
      <w:r>
        <w:rPr>
          <w:rFonts w:cs="Arial"/>
          <w:noProof/>
          <w:szCs w:val="22"/>
          <w:lang w:val="fr-CA"/>
        </w:rPr>
        <w:t>a)</w:t>
      </w:r>
      <w:r>
        <w:rPr>
          <w:rFonts w:cs="Arial"/>
          <w:noProof/>
          <w:szCs w:val="22"/>
          <w:lang w:val="fr-CA"/>
        </w:rPr>
        <w:tab/>
        <w:t xml:space="preserve">Dénomination de la maison de courtage : </w:t>
      </w:r>
      <w:r>
        <w:rPr>
          <w:rFonts w:cs="Arial"/>
          <w:noProof/>
          <w:szCs w:val="22"/>
          <w:u w:val="single"/>
          <w:lang w:val="fr-CA"/>
        </w:rPr>
        <w:tab/>
      </w:r>
    </w:p>
    <w:p w:rsidR="000E290E" w:rsidRDefault="000E290E" w:rsidP="000E290E">
      <w:pPr>
        <w:tabs>
          <w:tab w:val="right" w:pos="9360"/>
        </w:tabs>
        <w:ind w:left="1440" w:hanging="720"/>
        <w:rPr>
          <w:rFonts w:cs="Arial"/>
          <w:noProof/>
          <w:szCs w:val="22"/>
          <w:u w:val="single"/>
          <w:lang w:val="fr-CA"/>
        </w:rPr>
      </w:pPr>
      <w:r>
        <w:rPr>
          <w:rFonts w:cs="Arial"/>
          <w:noProof/>
          <w:szCs w:val="22"/>
          <w:lang w:val="fr-CA"/>
        </w:rPr>
        <w:t>b)</w:t>
      </w:r>
      <w:r>
        <w:rPr>
          <w:rFonts w:cs="Arial"/>
          <w:noProof/>
          <w:szCs w:val="22"/>
          <w:lang w:val="fr-CA"/>
        </w:rPr>
        <w:tab/>
        <w:t xml:space="preserve">Nom du représentant inscrit : </w:t>
      </w:r>
      <w:r>
        <w:rPr>
          <w:rFonts w:cs="Arial"/>
          <w:noProof/>
          <w:szCs w:val="22"/>
          <w:u w:val="single"/>
          <w:lang w:val="fr-CA"/>
        </w:rPr>
        <w:tab/>
      </w:r>
    </w:p>
    <w:p w:rsidR="000E290E" w:rsidRDefault="000E290E" w:rsidP="000E290E">
      <w:pPr>
        <w:tabs>
          <w:tab w:val="right" w:pos="9360"/>
        </w:tabs>
        <w:ind w:left="1440" w:hanging="720"/>
        <w:rPr>
          <w:rFonts w:cs="Arial"/>
          <w:noProof/>
          <w:szCs w:val="22"/>
          <w:u w:val="single"/>
          <w:lang w:val="fr-CA"/>
        </w:rPr>
      </w:pPr>
      <w:r>
        <w:rPr>
          <w:rFonts w:cs="Arial"/>
          <w:noProof/>
          <w:szCs w:val="22"/>
          <w:lang w:val="fr-CA"/>
        </w:rPr>
        <w:t>c)</w:t>
      </w:r>
      <w:r>
        <w:rPr>
          <w:rFonts w:cs="Arial"/>
          <w:noProof/>
          <w:szCs w:val="22"/>
          <w:lang w:val="fr-CA"/>
        </w:rPr>
        <w:tab/>
        <w:t xml:space="preserve">Adresse de la maison de courtage : </w:t>
      </w:r>
      <w:r>
        <w:rPr>
          <w:rFonts w:cs="Arial"/>
          <w:noProof/>
          <w:szCs w:val="22"/>
          <w:u w:val="single"/>
          <w:lang w:val="fr-CA"/>
        </w:rPr>
        <w:tab/>
      </w:r>
    </w:p>
    <w:p w:rsidR="000E290E" w:rsidRDefault="000E290E" w:rsidP="000E290E">
      <w:pPr>
        <w:tabs>
          <w:tab w:val="right" w:pos="9360"/>
        </w:tabs>
        <w:ind w:left="1440" w:hanging="720"/>
        <w:rPr>
          <w:rFonts w:cs="Arial"/>
          <w:noProof/>
          <w:szCs w:val="22"/>
          <w:u w:val="single"/>
          <w:lang w:val="fr-CA"/>
        </w:rPr>
      </w:pPr>
      <w:r>
        <w:rPr>
          <w:rFonts w:cs="Arial"/>
          <w:noProof/>
          <w:szCs w:val="22"/>
          <w:lang w:val="fr-CA"/>
        </w:rPr>
        <w:t>d)</w:t>
      </w:r>
      <w:r>
        <w:rPr>
          <w:rFonts w:cs="Arial"/>
          <w:noProof/>
          <w:szCs w:val="22"/>
          <w:lang w:val="fr-CA"/>
        </w:rPr>
        <w:tab/>
      </w:r>
      <w:r w:rsidR="00CC1617" w:rsidRPr="00CC1617">
        <w:rPr>
          <w:rFonts w:cs="Arial"/>
          <w:noProof/>
          <w:szCs w:val="22"/>
          <w:lang w:val="fr-CA"/>
        </w:rPr>
        <w:t>Adresse courriel</w:t>
      </w:r>
      <w:r w:rsidR="00CC1617" w:rsidRPr="00F11FBD">
        <w:rPr>
          <w:rFonts w:cs="Arial"/>
          <w:color w:val="000000"/>
          <w:sz w:val="20"/>
          <w:szCs w:val="20"/>
          <w:lang w:val="fr-FR" w:bidi="fr-CA"/>
        </w:rPr>
        <w:t> </w:t>
      </w:r>
      <w:r>
        <w:rPr>
          <w:rFonts w:cs="Arial"/>
          <w:noProof/>
          <w:szCs w:val="22"/>
          <w:lang w:val="fr-CA"/>
        </w:rPr>
        <w:t xml:space="preserve">: </w:t>
      </w:r>
      <w:r>
        <w:rPr>
          <w:rFonts w:cs="Arial"/>
          <w:noProof/>
          <w:szCs w:val="22"/>
          <w:u w:val="single"/>
          <w:lang w:val="fr-CA"/>
        </w:rPr>
        <w:tab/>
      </w:r>
    </w:p>
    <w:p w:rsidR="000E290E" w:rsidRDefault="000E290E" w:rsidP="000E290E">
      <w:pPr>
        <w:tabs>
          <w:tab w:val="right" w:pos="9360"/>
        </w:tabs>
        <w:ind w:left="1440" w:hanging="720"/>
        <w:rPr>
          <w:rFonts w:cs="Arial"/>
          <w:noProof/>
          <w:szCs w:val="22"/>
          <w:lang w:val="fr-CA"/>
        </w:rPr>
      </w:pPr>
      <w:r>
        <w:rPr>
          <w:rFonts w:cs="Arial"/>
          <w:noProof/>
          <w:szCs w:val="22"/>
          <w:lang w:val="fr-CA"/>
        </w:rPr>
        <w:t>e)</w:t>
      </w:r>
      <w:r>
        <w:rPr>
          <w:rFonts w:cs="Arial"/>
          <w:noProof/>
          <w:szCs w:val="22"/>
          <w:lang w:val="fr-CA"/>
        </w:rPr>
        <w:tab/>
        <w:t xml:space="preserve">Numéro de téléphone : </w:t>
      </w:r>
      <w:r>
        <w:rPr>
          <w:rFonts w:cs="Arial"/>
          <w:noProof/>
          <w:szCs w:val="22"/>
          <w:u w:val="single"/>
          <w:lang w:val="fr-CA"/>
        </w:rPr>
        <w:tab/>
      </w:r>
    </w:p>
    <w:p w:rsidR="000E290E" w:rsidRDefault="000E290E" w:rsidP="000E290E">
      <w:pPr>
        <w:tabs>
          <w:tab w:val="right" w:pos="9360"/>
        </w:tabs>
        <w:ind w:left="720" w:hanging="720"/>
        <w:rPr>
          <w:rFonts w:cs="Arial"/>
          <w:b/>
          <w:bCs/>
          <w:noProof/>
          <w:szCs w:val="22"/>
          <w:u w:val="single"/>
          <w:lang w:val="fr-CA"/>
        </w:rPr>
      </w:pPr>
      <w:r>
        <w:rPr>
          <w:rFonts w:cs="Arial"/>
          <w:b/>
          <w:bCs/>
          <w:noProof/>
          <w:szCs w:val="22"/>
          <w:lang w:val="fr-CA"/>
        </w:rPr>
        <w:t>13.</w:t>
      </w:r>
      <w:r>
        <w:rPr>
          <w:rFonts w:cs="Arial"/>
          <w:b/>
          <w:bCs/>
          <w:noProof/>
          <w:szCs w:val="22"/>
          <w:lang w:val="fr-CA"/>
        </w:rPr>
        <w:tab/>
        <w:t>Indiquer toute information importante concernant l’offre qui n’a pas été présentée ci</w:t>
      </w:r>
      <w:r>
        <w:rPr>
          <w:rFonts w:cs="Arial"/>
          <w:b/>
          <w:bCs/>
          <w:noProof/>
          <w:szCs w:val="22"/>
          <w:lang w:val="fr-CA"/>
        </w:rPr>
        <w:noBreakHyphen/>
        <w:t xml:space="preserve">dessus, y compris sur l’utilisation d’options de vente ou de contrats d’achat à terme dans le cadre de l’offre : </w:t>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r>
        <w:rPr>
          <w:rFonts w:cs="Arial"/>
          <w:noProof/>
          <w:szCs w:val="22"/>
          <w:u w:val="single"/>
          <w:lang w:val="fr-CA"/>
        </w:rPr>
        <w:br/>
      </w:r>
      <w:r>
        <w:rPr>
          <w:rFonts w:cs="Arial"/>
          <w:noProof/>
          <w:szCs w:val="22"/>
          <w:u w:val="single"/>
          <w:lang w:val="fr-CA"/>
        </w:rPr>
        <w:tab/>
      </w:r>
    </w:p>
    <w:p w:rsidR="000E290E" w:rsidRDefault="000E290E" w:rsidP="000E290E">
      <w:pPr>
        <w:keepNext/>
        <w:keepLines/>
        <w:tabs>
          <w:tab w:val="right" w:pos="9360"/>
        </w:tabs>
        <w:ind w:left="720" w:hanging="720"/>
        <w:rPr>
          <w:rFonts w:cs="Arial"/>
          <w:noProof/>
          <w:szCs w:val="22"/>
          <w:lang w:val="fr-CA"/>
        </w:rPr>
      </w:pPr>
      <w:r>
        <w:rPr>
          <w:rFonts w:cs="Arial"/>
          <w:b/>
          <w:bCs/>
          <w:noProof/>
          <w:szCs w:val="22"/>
          <w:lang w:val="fr-CA"/>
        </w:rPr>
        <w:lastRenderedPageBreak/>
        <w:t>14.</w:t>
      </w:r>
      <w:r>
        <w:rPr>
          <w:rFonts w:cs="Arial"/>
          <w:b/>
          <w:bCs/>
          <w:noProof/>
          <w:szCs w:val="22"/>
          <w:lang w:val="fr-CA"/>
        </w:rPr>
        <w:tab/>
        <w:t>Attestation</w:t>
      </w:r>
      <w:r>
        <w:rPr>
          <w:rFonts w:cs="Arial"/>
          <w:noProof/>
          <w:szCs w:val="22"/>
          <w:lang w:val="fr-CA"/>
        </w:rPr>
        <w:t xml:space="preserve"> – Le soussigné, administrateur ou membre de la haute direction de l’émetteur dûment autorisé par le conseil d’administration de l’émetteur, atteste que le présent avis est complet et exact, et conforme </w:t>
      </w:r>
      <w:r w:rsidR="0038440C">
        <w:rPr>
          <w:rFonts w:cs="Arial"/>
          <w:noProof/>
          <w:szCs w:val="22"/>
          <w:lang w:val="fr-CA"/>
        </w:rPr>
        <w:t>à</w:t>
      </w:r>
      <w:r>
        <w:rPr>
          <w:rFonts w:cs="Arial"/>
          <w:noProof/>
          <w:szCs w:val="22"/>
          <w:lang w:val="fr-CA"/>
        </w:rPr>
        <w:t xml:space="preserve"> </w:t>
      </w:r>
      <w:r w:rsidR="0038440C">
        <w:rPr>
          <w:rFonts w:cs="Arial"/>
          <w:noProof/>
          <w:szCs w:val="22"/>
          <w:lang w:val="fr-CA"/>
        </w:rPr>
        <w:t>l’</w:t>
      </w:r>
      <w:r>
        <w:rPr>
          <w:rFonts w:cs="Arial"/>
          <w:noProof/>
          <w:szCs w:val="22"/>
          <w:lang w:val="fr-CA"/>
        </w:rPr>
        <w:t xml:space="preserve">article 629 du </w:t>
      </w:r>
      <w:r>
        <w:rPr>
          <w:rFonts w:cs="Arial"/>
          <w:i/>
          <w:iCs/>
          <w:noProof/>
          <w:szCs w:val="22"/>
          <w:lang w:val="fr-CA"/>
        </w:rPr>
        <w:t>Guide à l’intention des sociétés</w:t>
      </w:r>
      <w:r>
        <w:rPr>
          <w:rFonts w:cs="Arial"/>
          <w:noProof/>
          <w:szCs w:val="22"/>
          <w:lang w:val="fr-CA"/>
        </w:rPr>
        <w:t xml:space="preserve"> de la TSX. L’avis ne contient aucune fausse déclaration portant sur un fait important ni n’omet un fait important dont la mention s’impose pour éviter qu’une affirmation soit trompeuse à la lumière des circonstances dans lesquelles elle a été faite.</w:t>
      </w:r>
    </w:p>
    <w:p w:rsidR="000E290E" w:rsidRDefault="000E290E" w:rsidP="000E290E">
      <w:pPr>
        <w:keepNext/>
        <w:keepLines/>
        <w:tabs>
          <w:tab w:val="left" w:pos="720"/>
          <w:tab w:val="right" w:pos="6480"/>
        </w:tabs>
        <w:spacing w:before="480" w:after="0"/>
        <w:ind w:left="720"/>
        <w:jc w:val="left"/>
        <w:rPr>
          <w:rFonts w:cs="Arial"/>
          <w:noProof/>
          <w:szCs w:val="22"/>
          <w:lang w:val="fr-CA"/>
        </w:rPr>
      </w:pPr>
      <w:r>
        <w:rPr>
          <w:rFonts w:cs="Arial"/>
          <w:noProof/>
          <w:szCs w:val="22"/>
          <w:u w:val="single"/>
          <w:lang w:val="fr-CA"/>
        </w:rPr>
        <w:tab/>
      </w:r>
      <w:r>
        <w:rPr>
          <w:rFonts w:cs="Arial"/>
          <w:noProof/>
          <w:szCs w:val="22"/>
          <w:u w:val="single"/>
          <w:lang w:val="fr-CA"/>
        </w:rPr>
        <w:br/>
      </w:r>
      <w:r>
        <w:rPr>
          <w:rFonts w:cs="Arial"/>
          <w:noProof/>
          <w:szCs w:val="22"/>
          <w:lang w:val="fr-CA"/>
        </w:rPr>
        <w:t>NOM</w:t>
      </w:r>
    </w:p>
    <w:p w:rsidR="000E290E" w:rsidRDefault="000E290E" w:rsidP="000E290E">
      <w:pPr>
        <w:tabs>
          <w:tab w:val="left" w:pos="720"/>
          <w:tab w:val="right" w:pos="6480"/>
        </w:tabs>
        <w:spacing w:before="480" w:after="0"/>
        <w:ind w:left="720"/>
        <w:jc w:val="left"/>
        <w:rPr>
          <w:rFonts w:cs="Arial"/>
          <w:noProof/>
          <w:szCs w:val="22"/>
          <w:lang w:val="fr-CA"/>
        </w:rPr>
      </w:pPr>
      <w:r>
        <w:rPr>
          <w:rFonts w:cs="Arial"/>
          <w:noProof/>
          <w:szCs w:val="22"/>
          <w:u w:val="single"/>
          <w:lang w:val="fr-CA"/>
        </w:rPr>
        <w:tab/>
      </w:r>
      <w:r>
        <w:rPr>
          <w:rFonts w:cs="Arial"/>
          <w:noProof/>
          <w:szCs w:val="22"/>
          <w:u w:val="single"/>
          <w:lang w:val="fr-CA"/>
        </w:rPr>
        <w:br/>
      </w:r>
      <w:r>
        <w:rPr>
          <w:rFonts w:cs="Arial"/>
          <w:noProof/>
          <w:szCs w:val="22"/>
          <w:lang w:val="fr-CA"/>
        </w:rPr>
        <w:t>TITRE</w:t>
      </w:r>
    </w:p>
    <w:p w:rsidR="000E290E" w:rsidRDefault="000E290E" w:rsidP="000E290E">
      <w:pPr>
        <w:tabs>
          <w:tab w:val="right" w:pos="6480"/>
        </w:tabs>
        <w:spacing w:before="480" w:after="0"/>
        <w:ind w:left="720"/>
        <w:rPr>
          <w:rFonts w:cs="Arial"/>
          <w:b/>
          <w:bCs/>
          <w:noProof/>
          <w:szCs w:val="22"/>
          <w:lang w:val="fr-CA"/>
        </w:rPr>
      </w:pPr>
      <w:r>
        <w:rPr>
          <w:rFonts w:cs="Arial"/>
          <w:noProof/>
          <w:szCs w:val="22"/>
          <w:u w:val="single"/>
          <w:lang w:val="fr-CA"/>
        </w:rPr>
        <w:tab/>
      </w:r>
      <w:r>
        <w:rPr>
          <w:rFonts w:cs="Arial"/>
          <w:noProof/>
          <w:szCs w:val="22"/>
          <w:u w:val="single"/>
          <w:lang w:val="fr-CA"/>
        </w:rPr>
        <w:br/>
      </w:r>
      <w:r>
        <w:rPr>
          <w:rFonts w:cs="Arial"/>
          <w:noProof/>
          <w:szCs w:val="22"/>
          <w:lang w:val="fr-CA"/>
        </w:rPr>
        <w:t>DATE</w:t>
      </w:r>
    </w:p>
    <w:p w:rsidR="000E290E" w:rsidRDefault="000E290E" w:rsidP="00717032">
      <w:pPr>
        <w:rPr>
          <w:noProof/>
          <w:lang w:val="fr-CA"/>
        </w:rPr>
        <w:sectPr w:rsidR="000E290E">
          <w:headerReference w:type="default" r:id="rId9"/>
          <w:footerReference w:type="default" r:id="rId10"/>
          <w:headerReference w:type="first" r:id="rId11"/>
          <w:footerReference w:type="first" r:id="rId12"/>
          <w:footnotePr>
            <w:numRestart w:val="eachPage"/>
          </w:footnotePr>
          <w:pgSz w:w="12240" w:h="15840" w:code="1"/>
          <w:pgMar w:top="1267" w:right="1440" w:bottom="432" w:left="1440" w:header="720" w:footer="360" w:gutter="0"/>
          <w:pgNumType w:start="40"/>
          <w:cols w:space="720"/>
          <w:noEndnote/>
          <w:titlePg/>
        </w:sectPr>
      </w:pPr>
    </w:p>
    <w:p w:rsidR="007E2C0B" w:rsidRDefault="007E2C0B" w:rsidP="00717032"/>
    <w:sectPr w:rsidR="007E2C0B">
      <w:headerReference w:type="default" r:id="rId13"/>
      <w:footerReference w:type="default" r:id="rId14"/>
      <w:headerReference w:type="first" r:id="rId15"/>
      <w:footerReference w:type="first" r:id="rId16"/>
      <w:footnotePr>
        <w:numRestart w:val="eachPage"/>
      </w:footnotePr>
      <w:pgSz w:w="12240" w:h="15840" w:code="1"/>
      <w:pgMar w:top="1267" w:right="1440" w:bottom="432" w:left="1440" w:header="720" w:footer="36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075" w:rsidRDefault="00297075">
      <w:r>
        <w:separator/>
      </w:r>
    </w:p>
  </w:endnote>
  <w:endnote w:type="continuationSeparator" w:id="0">
    <w:p w:rsidR="00297075" w:rsidRDefault="0029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2676" w:type="dxa"/>
      <w:tblLook w:val="00A0" w:firstRow="1" w:lastRow="0" w:firstColumn="1" w:lastColumn="0" w:noHBand="0" w:noVBand="0"/>
    </w:tblPr>
    <w:tblGrid>
      <w:gridCol w:w="6588"/>
      <w:gridCol w:w="6588"/>
      <w:gridCol w:w="6588"/>
      <w:gridCol w:w="2912"/>
    </w:tblGrid>
    <w:tr w:rsidR="000E290E" w:rsidTr="000E290E">
      <w:tc>
        <w:tcPr>
          <w:tcW w:w="6588" w:type="dxa"/>
        </w:tcPr>
        <w:p w:rsidR="000E290E" w:rsidRPr="00CE2E08" w:rsidRDefault="000E290E" w:rsidP="00CE2E08">
          <w:pPr>
            <w:pStyle w:val="Footer"/>
            <w:jc w:val="left"/>
            <w:rPr>
              <w:rFonts w:cs="Arial"/>
              <w:b/>
              <w:sz w:val="19"/>
              <w:szCs w:val="19"/>
              <w:lang w:val="fr-FR"/>
            </w:rPr>
          </w:pPr>
          <w:r w:rsidRPr="00E60A4A">
            <w:rPr>
              <w:rFonts w:cs="Arial"/>
              <w:b/>
              <w:sz w:val="19"/>
              <w:szCs w:val="19"/>
              <w:lang w:val="fr-CA"/>
            </w:rPr>
            <w:t xml:space="preserve">Formulaire 12 – Avis d’intention de procéder à une offre publique de rachat dans le cours normal des </w:t>
          </w:r>
          <w:r w:rsidRPr="006502FE">
            <w:rPr>
              <w:rFonts w:cs="Arial"/>
              <w:b/>
              <w:sz w:val="19"/>
              <w:szCs w:val="19"/>
              <w:lang w:val="fr-CA"/>
            </w:rPr>
            <w:t>activités (au</w:t>
          </w:r>
          <w:r w:rsidR="003B24F1">
            <w:rPr>
              <w:rFonts w:cs="Arial"/>
              <w:b/>
              <w:sz w:val="19"/>
              <w:szCs w:val="19"/>
              <w:lang w:val="fr-CA"/>
            </w:rPr>
            <w:t xml:space="preserve"> </w:t>
          </w:r>
          <w:r w:rsidR="00CE2E08">
            <w:rPr>
              <w:rFonts w:cs="Arial"/>
              <w:b/>
              <w:sz w:val="19"/>
              <w:szCs w:val="19"/>
              <w:lang w:val="fr-CA"/>
            </w:rPr>
            <w:t>29</w:t>
          </w:r>
          <w:r w:rsidR="00CE2E08" w:rsidRPr="00CE2E08">
            <w:rPr>
              <w:rFonts w:ascii="inherit" w:hAnsi="inherit" w:cs="Courier New"/>
              <w:color w:val="202124"/>
              <w:sz w:val="42"/>
              <w:szCs w:val="42"/>
              <w:lang w:val="fr-FR"/>
            </w:rPr>
            <w:t xml:space="preserve"> </w:t>
          </w:r>
          <w:r w:rsidR="00CE2E08" w:rsidRPr="00CE2E08">
            <w:rPr>
              <w:rFonts w:cs="Arial"/>
              <w:b/>
              <w:sz w:val="19"/>
              <w:szCs w:val="19"/>
              <w:lang w:val="fr-FR"/>
            </w:rPr>
            <w:t>février</w:t>
          </w:r>
          <w:r w:rsidR="00E60A4A">
            <w:rPr>
              <w:rFonts w:cs="Arial"/>
              <w:b/>
              <w:sz w:val="19"/>
              <w:szCs w:val="19"/>
              <w:lang w:val="fr-CA"/>
            </w:rPr>
            <w:t xml:space="preserve"> </w:t>
          </w:r>
          <w:r w:rsidR="00221B11">
            <w:rPr>
              <w:rFonts w:cs="Arial"/>
              <w:b/>
              <w:sz w:val="19"/>
              <w:szCs w:val="19"/>
              <w:lang w:val="fr-CA"/>
            </w:rPr>
            <w:t>20</w:t>
          </w:r>
          <w:r w:rsidR="00CC1617">
            <w:rPr>
              <w:rFonts w:cs="Arial"/>
              <w:b/>
              <w:sz w:val="19"/>
              <w:szCs w:val="19"/>
              <w:lang w:val="fr-CA"/>
            </w:rPr>
            <w:t>2</w:t>
          </w:r>
          <w:r w:rsidR="00CE2E08">
            <w:rPr>
              <w:rFonts w:cs="Arial"/>
              <w:b/>
              <w:sz w:val="19"/>
              <w:szCs w:val="19"/>
              <w:lang w:val="fr-CA"/>
            </w:rPr>
            <w:t>4</w:t>
          </w:r>
          <w:r w:rsidRPr="00E60A4A">
            <w:rPr>
              <w:rFonts w:cs="Arial"/>
              <w:b/>
              <w:sz w:val="19"/>
              <w:szCs w:val="19"/>
              <w:lang w:val="fr-CA"/>
            </w:rPr>
            <w:t>)</w:t>
          </w:r>
        </w:p>
      </w:tc>
      <w:tc>
        <w:tcPr>
          <w:tcW w:w="6588" w:type="dxa"/>
        </w:tcPr>
        <w:p w:rsidR="000E290E" w:rsidRDefault="000E290E" w:rsidP="00CE2E08">
          <w:pPr>
            <w:pStyle w:val="Footer"/>
            <w:tabs>
              <w:tab w:val="right" w:pos="6372"/>
            </w:tabs>
            <w:spacing w:after="0"/>
            <w:rPr>
              <w:rFonts w:cs="Arial"/>
              <w:b/>
              <w:sz w:val="20"/>
              <w:szCs w:val="20"/>
            </w:rPr>
          </w:pPr>
          <w:r>
            <w:rPr>
              <w:rFonts w:cs="Arial"/>
              <w:sz w:val="20"/>
              <w:szCs w:val="20"/>
              <w:lang w:val="fr-CA"/>
            </w:rPr>
            <w:t xml:space="preserve">© </w:t>
          </w:r>
          <w:r w:rsidR="00E60A4A">
            <w:rPr>
              <w:rFonts w:cs="Arial"/>
              <w:sz w:val="20"/>
              <w:szCs w:val="20"/>
              <w:lang w:val="fr-CA"/>
            </w:rPr>
            <w:t>20</w:t>
          </w:r>
          <w:r w:rsidR="00CC1617">
            <w:rPr>
              <w:rFonts w:cs="Arial"/>
              <w:sz w:val="20"/>
              <w:szCs w:val="20"/>
              <w:lang w:val="fr-CA"/>
            </w:rPr>
            <w:t>2</w:t>
          </w:r>
          <w:r w:rsidR="00CE2E08">
            <w:rPr>
              <w:rFonts w:cs="Arial"/>
              <w:sz w:val="20"/>
              <w:szCs w:val="20"/>
              <w:lang w:val="fr-CA"/>
            </w:rPr>
            <w:t>4</w:t>
          </w:r>
          <w:r>
            <w:rPr>
              <w:rFonts w:cs="Arial"/>
              <w:sz w:val="20"/>
              <w:szCs w:val="20"/>
              <w:lang w:val="fr-CA"/>
            </w:rPr>
            <w:t>, TSX Inc.</w:t>
          </w:r>
          <w:r>
            <w:rPr>
              <w:rFonts w:cs="Arial"/>
              <w:sz w:val="20"/>
              <w:szCs w:val="20"/>
              <w:lang w:val="fr-CA"/>
            </w:rPr>
            <w:tab/>
          </w:r>
          <w:r>
            <w:rPr>
              <w:rFonts w:cs="Arial"/>
              <w:sz w:val="20"/>
              <w:szCs w:val="20"/>
              <w:lang w:val="fr-CA"/>
            </w:rPr>
            <w:tab/>
            <w:t>© 2011, TSX Inc.</w:t>
          </w:r>
        </w:p>
      </w:tc>
      <w:tc>
        <w:tcPr>
          <w:tcW w:w="6588" w:type="dxa"/>
        </w:tcPr>
        <w:p w:rsidR="000E290E" w:rsidRDefault="000E290E">
          <w:pPr>
            <w:pStyle w:val="Footer"/>
            <w:spacing w:after="0"/>
            <w:jc w:val="left"/>
            <w:rPr>
              <w:rFonts w:cs="Arial"/>
              <w:b/>
              <w:sz w:val="20"/>
              <w:szCs w:val="20"/>
              <w:lang w:val="fr-CA"/>
            </w:rPr>
          </w:pPr>
        </w:p>
      </w:tc>
      <w:tc>
        <w:tcPr>
          <w:tcW w:w="2912" w:type="dxa"/>
        </w:tcPr>
        <w:p w:rsidR="000E290E" w:rsidRDefault="000E290E">
          <w:pPr>
            <w:pStyle w:val="Footer"/>
            <w:spacing w:after="0"/>
            <w:jc w:val="right"/>
            <w:rPr>
              <w:rFonts w:cs="Arial"/>
              <w:b/>
              <w:sz w:val="20"/>
              <w:szCs w:val="20"/>
            </w:rPr>
          </w:pPr>
        </w:p>
      </w:tc>
    </w:tr>
  </w:tbl>
  <w:p w:rsidR="00EB3ABD" w:rsidRDefault="00EB3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A0" w:firstRow="1" w:lastRow="0" w:firstColumn="1" w:lastColumn="0" w:noHBand="0" w:noVBand="0"/>
    </w:tblPr>
    <w:tblGrid>
      <w:gridCol w:w="6490"/>
      <w:gridCol w:w="2870"/>
    </w:tblGrid>
    <w:tr w:rsidR="00EB3ABD">
      <w:tc>
        <w:tcPr>
          <w:tcW w:w="6588" w:type="dxa"/>
        </w:tcPr>
        <w:p w:rsidR="00EB3ABD" w:rsidRPr="00CE2E08" w:rsidRDefault="00EB3ABD" w:rsidP="00CE2E08">
          <w:pPr>
            <w:pStyle w:val="Footer"/>
            <w:jc w:val="left"/>
            <w:rPr>
              <w:rFonts w:cs="Arial"/>
              <w:b/>
              <w:sz w:val="19"/>
              <w:szCs w:val="19"/>
              <w:lang w:val="fr-FR"/>
            </w:rPr>
          </w:pPr>
          <w:r w:rsidRPr="006D5844">
            <w:rPr>
              <w:rFonts w:cs="Arial"/>
              <w:b/>
              <w:sz w:val="19"/>
              <w:szCs w:val="19"/>
              <w:lang w:val="fr-CA"/>
            </w:rPr>
            <w:t>Formulaire 12 – Avis d’intention de procéder à une offre publique de rachat dans l</w:t>
          </w:r>
          <w:r w:rsidR="000E290E" w:rsidRPr="006D5844">
            <w:rPr>
              <w:rFonts w:cs="Arial"/>
              <w:b/>
              <w:sz w:val="19"/>
              <w:szCs w:val="19"/>
              <w:lang w:val="fr-CA"/>
            </w:rPr>
            <w:t>e</w:t>
          </w:r>
          <w:r w:rsidR="00CC1617">
            <w:rPr>
              <w:rFonts w:cs="Arial"/>
              <w:b/>
              <w:sz w:val="19"/>
              <w:szCs w:val="19"/>
              <w:lang w:val="fr-CA"/>
            </w:rPr>
            <w:t xml:space="preserve"> cours normal des activités (au </w:t>
          </w:r>
          <w:r w:rsidR="00CE2E08">
            <w:rPr>
              <w:rFonts w:cs="Arial"/>
              <w:b/>
              <w:sz w:val="19"/>
              <w:szCs w:val="19"/>
              <w:lang w:val="fr-CA"/>
            </w:rPr>
            <w:t xml:space="preserve">29 </w:t>
          </w:r>
          <w:r w:rsidR="00CE2E08" w:rsidRPr="00CE2E08">
            <w:rPr>
              <w:rFonts w:cs="Arial"/>
              <w:b/>
              <w:sz w:val="19"/>
              <w:szCs w:val="19"/>
              <w:lang w:val="fr-FR"/>
            </w:rPr>
            <w:t>février</w:t>
          </w:r>
          <w:r w:rsidR="00CE2E08">
            <w:rPr>
              <w:rFonts w:cs="Arial"/>
              <w:b/>
              <w:sz w:val="19"/>
              <w:szCs w:val="19"/>
              <w:lang w:val="fr-FR"/>
            </w:rPr>
            <w:t xml:space="preserve"> </w:t>
          </w:r>
          <w:r w:rsidR="00CC1617">
            <w:rPr>
              <w:rFonts w:cs="Arial"/>
              <w:b/>
              <w:sz w:val="19"/>
              <w:szCs w:val="19"/>
              <w:lang w:val="fr-CA"/>
            </w:rPr>
            <w:t>202</w:t>
          </w:r>
          <w:r w:rsidR="00CE2E08">
            <w:rPr>
              <w:rFonts w:cs="Arial"/>
              <w:b/>
              <w:sz w:val="19"/>
              <w:szCs w:val="19"/>
              <w:lang w:val="fr-CA"/>
            </w:rPr>
            <w:t>4</w:t>
          </w:r>
          <w:r w:rsidRPr="006D5844">
            <w:rPr>
              <w:rFonts w:cs="Arial"/>
              <w:b/>
              <w:sz w:val="19"/>
              <w:szCs w:val="19"/>
              <w:lang w:val="fr-CA"/>
            </w:rPr>
            <w:t>)</w:t>
          </w:r>
        </w:p>
      </w:tc>
      <w:tc>
        <w:tcPr>
          <w:tcW w:w="2912" w:type="dxa"/>
        </w:tcPr>
        <w:p w:rsidR="00EB3ABD" w:rsidRDefault="00EB3ABD" w:rsidP="00CC1617">
          <w:pPr>
            <w:pStyle w:val="Footer"/>
            <w:spacing w:after="0"/>
            <w:jc w:val="right"/>
            <w:rPr>
              <w:rFonts w:cs="Arial"/>
              <w:b/>
              <w:sz w:val="20"/>
              <w:szCs w:val="20"/>
            </w:rPr>
          </w:pPr>
          <w:r>
            <w:rPr>
              <w:rFonts w:cs="Arial"/>
              <w:sz w:val="20"/>
              <w:szCs w:val="20"/>
              <w:lang w:val="fr-CA"/>
            </w:rPr>
            <w:t>©</w:t>
          </w:r>
          <w:r w:rsidR="000E290E">
            <w:rPr>
              <w:rFonts w:cs="Arial"/>
              <w:sz w:val="20"/>
              <w:szCs w:val="20"/>
              <w:lang w:val="fr-CA"/>
            </w:rPr>
            <w:t xml:space="preserve"> </w:t>
          </w:r>
          <w:r w:rsidR="00CE2E08">
            <w:rPr>
              <w:rFonts w:cs="Arial"/>
              <w:sz w:val="20"/>
              <w:szCs w:val="20"/>
              <w:lang w:val="fr-CA"/>
            </w:rPr>
            <w:t>2024</w:t>
          </w:r>
          <w:r w:rsidR="000E290E">
            <w:rPr>
              <w:rFonts w:cs="Arial"/>
              <w:sz w:val="20"/>
              <w:szCs w:val="20"/>
              <w:lang w:val="fr-CA"/>
            </w:rPr>
            <w:t>,</w:t>
          </w:r>
          <w:r>
            <w:rPr>
              <w:rFonts w:cs="Arial"/>
              <w:sz w:val="20"/>
              <w:szCs w:val="20"/>
              <w:lang w:val="fr-CA"/>
            </w:rPr>
            <w:t xml:space="preserve"> TSX Inc.</w:t>
          </w:r>
        </w:p>
      </w:tc>
    </w:tr>
  </w:tbl>
  <w:p w:rsidR="00EB3ABD" w:rsidRDefault="00EB3ABD">
    <w:pPr>
      <w:pStyle w:val="Footer"/>
      <w:spacing w:after="0"/>
      <w:jc w:val="left"/>
      <w:rPr>
        <w:sz w:val="20"/>
        <w:szCs w:val="20"/>
        <w:lang w:val="fr-C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BD" w:rsidRDefault="00EB3A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BD" w:rsidRDefault="00EB3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075" w:rsidRDefault="00297075">
      <w:r>
        <w:separator/>
      </w:r>
    </w:p>
  </w:footnote>
  <w:footnote w:type="continuationSeparator" w:id="0">
    <w:p w:rsidR="00297075" w:rsidRDefault="00297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8"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1855"/>
      <w:gridCol w:w="3758"/>
      <w:gridCol w:w="3747"/>
    </w:tblGrid>
    <w:tr w:rsidR="00EB3ABD">
      <w:tc>
        <w:tcPr>
          <w:tcW w:w="1870" w:type="dxa"/>
          <w:tcBorders>
            <w:top w:val="nil"/>
            <w:bottom w:val="nil"/>
          </w:tcBorders>
        </w:tcPr>
        <w:p w:rsidR="00EB3ABD" w:rsidRDefault="00EB3ABD">
          <w:pPr>
            <w:tabs>
              <w:tab w:val="center" w:pos="5040"/>
              <w:tab w:val="right" w:pos="9360"/>
            </w:tabs>
            <w:spacing w:after="60"/>
            <w:jc w:val="left"/>
            <w:rPr>
              <w:rFonts w:cs="Arial"/>
              <w:b/>
              <w:bCs/>
              <w:szCs w:val="22"/>
              <w:lang w:val="fr-CA"/>
            </w:rPr>
          </w:pPr>
          <w:r>
            <w:rPr>
              <w:rFonts w:cs="Arial"/>
              <w:szCs w:val="22"/>
              <w:lang w:val="fr-CA"/>
            </w:rPr>
            <w:br w:type="page"/>
          </w:r>
          <w:r>
            <w:rPr>
              <w:lang w:val="fr-CA"/>
            </w:rPr>
            <w:br w:type="page"/>
          </w:r>
          <w:r>
            <w:rPr>
              <w:lang w:val="fr-CA"/>
            </w:rPr>
            <w:br w:type="page"/>
          </w:r>
          <w:r>
            <w:rPr>
              <w:rFonts w:cs="Arial"/>
              <w:b/>
              <w:bCs/>
              <w:szCs w:val="22"/>
              <w:lang w:val="fr-CA"/>
            </w:rPr>
            <w:t>Formulaire 12</w:t>
          </w:r>
        </w:p>
      </w:tc>
      <w:tc>
        <w:tcPr>
          <w:tcW w:w="3815" w:type="dxa"/>
          <w:tcBorders>
            <w:top w:val="nil"/>
            <w:bottom w:val="nil"/>
            <w:right w:val="nil"/>
          </w:tcBorders>
        </w:tcPr>
        <w:p w:rsidR="00EB3ABD" w:rsidRDefault="00EB3ABD">
          <w:pPr>
            <w:tabs>
              <w:tab w:val="center" w:pos="5040"/>
              <w:tab w:val="right" w:pos="9360"/>
            </w:tabs>
            <w:spacing w:after="60"/>
            <w:jc w:val="left"/>
            <w:rPr>
              <w:rFonts w:cs="Arial"/>
              <w:b/>
              <w:bCs/>
              <w:szCs w:val="22"/>
              <w:lang w:val="fr-CA"/>
            </w:rPr>
          </w:pPr>
          <w:r>
            <w:rPr>
              <w:rFonts w:cs="Arial"/>
              <w:b/>
              <w:bCs/>
              <w:szCs w:val="22"/>
              <w:lang w:val="fr-CA"/>
            </w:rPr>
            <w:t>Dénomination de l’émetteur :</w:t>
          </w:r>
        </w:p>
      </w:tc>
      <w:tc>
        <w:tcPr>
          <w:tcW w:w="3815" w:type="dxa"/>
          <w:tcBorders>
            <w:top w:val="nil"/>
            <w:left w:val="nil"/>
            <w:bottom w:val="nil"/>
          </w:tcBorders>
        </w:tcPr>
        <w:p w:rsidR="00EB3ABD" w:rsidRDefault="00EB3ABD">
          <w:pPr>
            <w:tabs>
              <w:tab w:val="left" w:pos="2532"/>
              <w:tab w:val="center" w:pos="5040"/>
              <w:tab w:val="right" w:pos="9360"/>
            </w:tabs>
            <w:spacing w:after="60"/>
            <w:jc w:val="right"/>
            <w:rPr>
              <w:rFonts w:cs="Arial"/>
              <w:b/>
              <w:bCs/>
              <w:szCs w:val="22"/>
              <w:lang w:val="fr-CA"/>
            </w:rPr>
          </w:pPr>
          <w:r>
            <w:rPr>
              <w:rFonts w:cs="Arial"/>
              <w:b/>
              <w:bCs/>
              <w:szCs w:val="22"/>
              <w:lang w:val="fr-CA"/>
            </w:rPr>
            <w:t>Symbole boursier :</w:t>
          </w:r>
        </w:p>
      </w:tc>
    </w:tr>
    <w:tr w:rsidR="00EB3ABD">
      <w:tc>
        <w:tcPr>
          <w:tcW w:w="1870" w:type="dxa"/>
          <w:tcBorders>
            <w:top w:val="nil"/>
            <w:bottom w:val="single" w:sz="4" w:space="0" w:color="auto"/>
            <w:right w:val="nil"/>
          </w:tcBorders>
        </w:tcPr>
        <w:p w:rsidR="00EB3ABD" w:rsidRDefault="00EB3ABD">
          <w:pPr>
            <w:tabs>
              <w:tab w:val="center" w:pos="5040"/>
              <w:tab w:val="right" w:pos="9360"/>
            </w:tabs>
            <w:spacing w:after="40"/>
            <w:jc w:val="left"/>
            <w:rPr>
              <w:rFonts w:cs="Arial"/>
              <w:b/>
              <w:bCs/>
              <w:szCs w:val="22"/>
              <w:lang w:val="fr-CA"/>
            </w:rPr>
          </w:pPr>
        </w:p>
      </w:tc>
      <w:tc>
        <w:tcPr>
          <w:tcW w:w="3815" w:type="dxa"/>
          <w:tcBorders>
            <w:top w:val="nil"/>
            <w:left w:val="nil"/>
            <w:bottom w:val="single" w:sz="4" w:space="0" w:color="auto"/>
            <w:right w:val="nil"/>
          </w:tcBorders>
        </w:tcPr>
        <w:p w:rsidR="00EB3ABD" w:rsidRDefault="00EB3ABD">
          <w:pPr>
            <w:tabs>
              <w:tab w:val="center" w:pos="5040"/>
              <w:tab w:val="right" w:pos="9360"/>
            </w:tabs>
            <w:spacing w:after="40"/>
            <w:jc w:val="left"/>
            <w:rPr>
              <w:rFonts w:cs="Arial"/>
              <w:b/>
              <w:bCs/>
              <w:szCs w:val="22"/>
              <w:lang w:val="fr-CA"/>
            </w:rPr>
          </w:pPr>
        </w:p>
      </w:tc>
      <w:tc>
        <w:tcPr>
          <w:tcW w:w="3815" w:type="dxa"/>
          <w:tcBorders>
            <w:top w:val="nil"/>
            <w:left w:val="nil"/>
            <w:bottom w:val="single" w:sz="4" w:space="0" w:color="auto"/>
          </w:tcBorders>
        </w:tcPr>
        <w:p w:rsidR="00EB3ABD" w:rsidRDefault="00EB3ABD">
          <w:pPr>
            <w:tabs>
              <w:tab w:val="left" w:pos="2532"/>
              <w:tab w:val="center" w:pos="5040"/>
              <w:tab w:val="right" w:pos="9360"/>
            </w:tabs>
            <w:spacing w:after="40"/>
            <w:ind w:right="576"/>
            <w:jc w:val="right"/>
            <w:rPr>
              <w:rFonts w:cs="Arial"/>
              <w:b/>
              <w:bCs/>
              <w:szCs w:val="22"/>
              <w:lang w:val="fr-CA"/>
            </w:rPr>
          </w:pPr>
        </w:p>
      </w:tc>
    </w:tr>
  </w:tbl>
  <w:p w:rsidR="00EB3ABD" w:rsidRDefault="00EB3ABD">
    <w:pPr>
      <w:pStyle w:val="Heade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8" w:space="0" w:color="auto"/>
        <w:insideH w:val="single" w:sz="4" w:space="0" w:color="auto"/>
        <w:insideV w:val="single" w:sz="8" w:space="0" w:color="auto"/>
      </w:tblBorders>
      <w:tblCellMar>
        <w:left w:w="70" w:type="dxa"/>
        <w:right w:w="70" w:type="dxa"/>
      </w:tblCellMar>
      <w:tblLook w:val="0000" w:firstRow="0" w:lastRow="0" w:firstColumn="0" w:lastColumn="0" w:noHBand="0" w:noVBand="0"/>
    </w:tblPr>
    <w:tblGrid>
      <w:gridCol w:w="1855"/>
      <w:gridCol w:w="3758"/>
      <w:gridCol w:w="3747"/>
    </w:tblGrid>
    <w:tr w:rsidR="00EB3ABD">
      <w:tc>
        <w:tcPr>
          <w:tcW w:w="1870" w:type="dxa"/>
          <w:tcBorders>
            <w:top w:val="nil"/>
            <w:bottom w:val="nil"/>
          </w:tcBorders>
        </w:tcPr>
        <w:p w:rsidR="00EB3ABD" w:rsidRDefault="00EB3ABD">
          <w:pPr>
            <w:tabs>
              <w:tab w:val="center" w:pos="5040"/>
              <w:tab w:val="right" w:pos="9360"/>
            </w:tabs>
            <w:spacing w:after="60"/>
            <w:jc w:val="left"/>
            <w:rPr>
              <w:rFonts w:cs="Arial"/>
              <w:b/>
              <w:bCs/>
              <w:szCs w:val="22"/>
              <w:lang w:val="fr-CA"/>
            </w:rPr>
          </w:pPr>
          <w:r>
            <w:rPr>
              <w:rFonts w:cs="Arial"/>
              <w:szCs w:val="22"/>
              <w:lang w:val="fr-CA"/>
            </w:rPr>
            <w:br w:type="page"/>
          </w:r>
          <w:r>
            <w:rPr>
              <w:lang w:val="fr-CA"/>
            </w:rPr>
            <w:br w:type="page"/>
          </w:r>
          <w:r>
            <w:rPr>
              <w:lang w:val="fr-CA"/>
            </w:rPr>
            <w:br w:type="page"/>
          </w:r>
          <w:r>
            <w:rPr>
              <w:rFonts w:cs="Arial"/>
              <w:b/>
              <w:bCs/>
              <w:szCs w:val="22"/>
              <w:lang w:val="fr-CA"/>
            </w:rPr>
            <w:t>Formulaire 12</w:t>
          </w:r>
        </w:p>
      </w:tc>
      <w:tc>
        <w:tcPr>
          <w:tcW w:w="3815" w:type="dxa"/>
          <w:tcBorders>
            <w:top w:val="nil"/>
            <w:bottom w:val="nil"/>
            <w:right w:val="nil"/>
          </w:tcBorders>
        </w:tcPr>
        <w:p w:rsidR="00EB3ABD" w:rsidRDefault="00EB3ABD">
          <w:pPr>
            <w:tabs>
              <w:tab w:val="center" w:pos="5040"/>
              <w:tab w:val="right" w:pos="9360"/>
            </w:tabs>
            <w:spacing w:after="60"/>
            <w:jc w:val="left"/>
            <w:rPr>
              <w:rFonts w:cs="Arial"/>
              <w:b/>
              <w:bCs/>
              <w:szCs w:val="22"/>
              <w:lang w:val="fr-CA"/>
            </w:rPr>
          </w:pPr>
          <w:r>
            <w:rPr>
              <w:rFonts w:cs="Arial"/>
              <w:b/>
              <w:bCs/>
              <w:szCs w:val="22"/>
              <w:lang w:val="fr-CA"/>
            </w:rPr>
            <w:t>Dénomination de l’émetteur :</w:t>
          </w:r>
        </w:p>
      </w:tc>
      <w:tc>
        <w:tcPr>
          <w:tcW w:w="3815" w:type="dxa"/>
          <w:tcBorders>
            <w:top w:val="nil"/>
            <w:left w:val="nil"/>
            <w:bottom w:val="nil"/>
          </w:tcBorders>
        </w:tcPr>
        <w:p w:rsidR="00EB3ABD" w:rsidRDefault="00EB3ABD">
          <w:pPr>
            <w:tabs>
              <w:tab w:val="left" w:pos="2532"/>
              <w:tab w:val="center" w:pos="5040"/>
              <w:tab w:val="right" w:pos="9360"/>
            </w:tabs>
            <w:spacing w:after="60"/>
            <w:jc w:val="right"/>
            <w:rPr>
              <w:rFonts w:cs="Arial"/>
              <w:b/>
              <w:bCs/>
              <w:szCs w:val="22"/>
              <w:lang w:val="fr-CA"/>
            </w:rPr>
          </w:pPr>
          <w:r>
            <w:rPr>
              <w:rFonts w:cs="Arial"/>
              <w:b/>
              <w:bCs/>
              <w:szCs w:val="22"/>
              <w:lang w:val="fr-CA"/>
            </w:rPr>
            <w:t>Symbole boursier :</w:t>
          </w:r>
        </w:p>
      </w:tc>
    </w:tr>
    <w:tr w:rsidR="00EB3ABD">
      <w:tc>
        <w:tcPr>
          <w:tcW w:w="1870" w:type="dxa"/>
          <w:tcBorders>
            <w:top w:val="nil"/>
            <w:bottom w:val="single" w:sz="4" w:space="0" w:color="auto"/>
            <w:right w:val="nil"/>
          </w:tcBorders>
        </w:tcPr>
        <w:p w:rsidR="00EB3ABD" w:rsidRDefault="00EB3ABD">
          <w:pPr>
            <w:tabs>
              <w:tab w:val="center" w:pos="5040"/>
              <w:tab w:val="right" w:pos="9360"/>
            </w:tabs>
            <w:spacing w:after="40"/>
            <w:jc w:val="left"/>
            <w:rPr>
              <w:rFonts w:cs="Arial"/>
              <w:b/>
              <w:bCs/>
              <w:szCs w:val="22"/>
              <w:lang w:val="fr-CA"/>
            </w:rPr>
          </w:pPr>
        </w:p>
      </w:tc>
      <w:tc>
        <w:tcPr>
          <w:tcW w:w="3815" w:type="dxa"/>
          <w:tcBorders>
            <w:top w:val="nil"/>
            <w:left w:val="nil"/>
            <w:bottom w:val="single" w:sz="4" w:space="0" w:color="auto"/>
            <w:right w:val="nil"/>
          </w:tcBorders>
        </w:tcPr>
        <w:p w:rsidR="00EB3ABD" w:rsidRDefault="00EB3ABD">
          <w:pPr>
            <w:tabs>
              <w:tab w:val="center" w:pos="5040"/>
              <w:tab w:val="right" w:pos="9360"/>
            </w:tabs>
            <w:spacing w:after="40"/>
            <w:jc w:val="left"/>
            <w:rPr>
              <w:rFonts w:cs="Arial"/>
              <w:b/>
              <w:bCs/>
              <w:szCs w:val="22"/>
              <w:lang w:val="fr-CA"/>
            </w:rPr>
          </w:pPr>
        </w:p>
      </w:tc>
      <w:tc>
        <w:tcPr>
          <w:tcW w:w="3815" w:type="dxa"/>
          <w:tcBorders>
            <w:top w:val="nil"/>
            <w:left w:val="nil"/>
            <w:bottom w:val="single" w:sz="4" w:space="0" w:color="auto"/>
          </w:tcBorders>
        </w:tcPr>
        <w:p w:rsidR="00EB3ABD" w:rsidRDefault="00EB3ABD">
          <w:pPr>
            <w:tabs>
              <w:tab w:val="left" w:pos="2532"/>
              <w:tab w:val="center" w:pos="5040"/>
              <w:tab w:val="right" w:pos="9360"/>
            </w:tabs>
            <w:spacing w:after="40"/>
            <w:ind w:right="576"/>
            <w:jc w:val="right"/>
            <w:rPr>
              <w:rFonts w:cs="Arial"/>
              <w:b/>
              <w:bCs/>
              <w:szCs w:val="22"/>
              <w:lang w:val="fr-CA"/>
            </w:rPr>
          </w:pPr>
        </w:p>
      </w:tc>
    </w:tr>
  </w:tbl>
  <w:p w:rsidR="00EB3ABD" w:rsidRDefault="00EB3ABD">
    <w:pPr>
      <w:pStyle w:val="Header"/>
      <w:tabs>
        <w:tab w:val="left" w:pos="360"/>
      </w:tabs>
      <w:spacing w:after="0"/>
      <w:jc w:val="center"/>
      <w:rPr>
        <w:rFonts w:cs="Arial"/>
        <w:caps/>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BD" w:rsidRDefault="00EB3ABD">
    <w:pPr>
      <w:pStyle w:val="Header"/>
      <w:spacing w:after="360"/>
      <w:jc w:val="center"/>
    </w:pPr>
    <w:r>
      <w:t xml:space="preserve">Annexe B </w:t>
    </w:r>
    <w:r>
      <w:rPr>
        <w:rFonts w:cs="Arial"/>
      </w:rPr>
      <w:t>—</w:t>
    </w:r>
    <w:r>
      <w:t xml:space="preserve"> Page </w:t>
    </w:r>
    <w:r>
      <w:rPr>
        <w:rStyle w:val="PageNumber"/>
      </w:rPr>
      <w:fldChar w:fldCharType="begin"/>
    </w:r>
    <w:r>
      <w:rPr>
        <w:rStyle w:val="PageNumber"/>
      </w:rPr>
      <w:instrText xml:space="preserve"> PAGE </w:instrText>
    </w:r>
    <w:r>
      <w:rPr>
        <w:rStyle w:val="PageNumber"/>
      </w:rPr>
      <w:fldChar w:fldCharType="separate"/>
    </w:r>
    <w:r w:rsidR="009C346F">
      <w:rPr>
        <w:rStyle w:val="PageNumber"/>
        <w:noProof/>
      </w:rPr>
      <w:t>4</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ABD" w:rsidRDefault="00EB3ABD">
    <w:pPr>
      <w:pStyle w:val="Header"/>
      <w:tabs>
        <w:tab w:val="left" w:pos="360"/>
      </w:tabs>
      <w:spacing w:after="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03A37"/>
    <w:multiLevelType w:val="multilevel"/>
    <w:tmpl w:val="31B09CBA"/>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3E61CBB"/>
    <w:multiLevelType w:val="hybridMultilevel"/>
    <w:tmpl w:val="774C44C0"/>
    <w:lvl w:ilvl="0" w:tplc="0F86C440">
      <w:start w:val="1"/>
      <w:numFmt w:val="lowerRoman"/>
      <w:lvlText w:val="(%1)"/>
      <w:lvlJc w:val="left"/>
      <w:pPr>
        <w:tabs>
          <w:tab w:val="num" w:pos="2160"/>
        </w:tabs>
        <w:ind w:left="2160" w:hanging="720"/>
      </w:pPr>
      <w:rPr>
        <w:rFonts w:hint="default"/>
        <w:u w:val="none"/>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 w15:restartNumberingAfterBreak="0">
    <w:nsid w:val="215F67F6"/>
    <w:multiLevelType w:val="hybridMultilevel"/>
    <w:tmpl w:val="72FA7CD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0294D"/>
    <w:multiLevelType w:val="hybridMultilevel"/>
    <w:tmpl w:val="E1B45436"/>
    <w:lvl w:ilvl="0" w:tplc="941677BC">
      <w:start w:val="2"/>
      <w:numFmt w:val="lowerRoman"/>
      <w:lvlText w:val="(%1)"/>
      <w:lvlJc w:val="left"/>
      <w:pPr>
        <w:tabs>
          <w:tab w:val="num" w:pos="2160"/>
        </w:tabs>
        <w:ind w:left="2160" w:hanging="72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4" w15:restartNumberingAfterBreak="0">
    <w:nsid w:val="24767E01"/>
    <w:multiLevelType w:val="multilevel"/>
    <w:tmpl w:val="9646A3B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08E5BCE"/>
    <w:multiLevelType w:val="hybridMultilevel"/>
    <w:tmpl w:val="7CECD664"/>
    <w:lvl w:ilvl="0" w:tplc="219CA0A6">
      <w:start w:val="1"/>
      <w:numFmt w:val="lowerRoman"/>
      <w:lvlText w:val="(%1)"/>
      <w:lvlJc w:val="left"/>
      <w:pPr>
        <w:tabs>
          <w:tab w:val="num" w:pos="2160"/>
        </w:tabs>
        <w:ind w:left="2160" w:hanging="720"/>
      </w:pPr>
      <w:rPr>
        <w:rFonts w:hint="default"/>
      </w:rPr>
    </w:lvl>
    <w:lvl w:ilvl="1" w:tplc="040C0019" w:tentative="1">
      <w:start w:val="1"/>
      <w:numFmt w:val="lowerLetter"/>
      <w:lvlText w:val="%2."/>
      <w:lvlJc w:val="left"/>
      <w:pPr>
        <w:tabs>
          <w:tab w:val="num" w:pos="2520"/>
        </w:tabs>
        <w:ind w:left="2520" w:hanging="360"/>
      </w:p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6" w15:restartNumberingAfterBreak="0">
    <w:nsid w:val="742E67C6"/>
    <w:multiLevelType w:val="multilevel"/>
    <w:tmpl w:val="9646A3B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5"/>
  </w:num>
  <w:num w:numId="3">
    <w:abstractNumId w:val="1"/>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0E"/>
    <w:rsid w:val="00041C6C"/>
    <w:rsid w:val="000B502B"/>
    <w:rsid w:val="000E290E"/>
    <w:rsid w:val="001211B8"/>
    <w:rsid w:val="001A08AC"/>
    <w:rsid w:val="001E5896"/>
    <w:rsid w:val="002041DD"/>
    <w:rsid w:val="00207B62"/>
    <w:rsid w:val="0021085B"/>
    <w:rsid w:val="00221B11"/>
    <w:rsid w:val="00226272"/>
    <w:rsid w:val="002868EB"/>
    <w:rsid w:val="00297075"/>
    <w:rsid w:val="002A24B5"/>
    <w:rsid w:val="002C6868"/>
    <w:rsid w:val="002E5E9A"/>
    <w:rsid w:val="002F5219"/>
    <w:rsid w:val="0036132A"/>
    <w:rsid w:val="0038440C"/>
    <w:rsid w:val="00386E19"/>
    <w:rsid w:val="00390DC7"/>
    <w:rsid w:val="00392893"/>
    <w:rsid w:val="003A1D4D"/>
    <w:rsid w:val="003B24F1"/>
    <w:rsid w:val="003D7A76"/>
    <w:rsid w:val="003E1D6B"/>
    <w:rsid w:val="004E0A8C"/>
    <w:rsid w:val="00570269"/>
    <w:rsid w:val="005816B3"/>
    <w:rsid w:val="006502FE"/>
    <w:rsid w:val="006921CD"/>
    <w:rsid w:val="006B22E0"/>
    <w:rsid w:val="006D5844"/>
    <w:rsid w:val="006E70F0"/>
    <w:rsid w:val="006E7C62"/>
    <w:rsid w:val="00717032"/>
    <w:rsid w:val="00736068"/>
    <w:rsid w:val="007B32D5"/>
    <w:rsid w:val="007C38D7"/>
    <w:rsid w:val="007E2C0B"/>
    <w:rsid w:val="007F3D44"/>
    <w:rsid w:val="007F7E4E"/>
    <w:rsid w:val="0081457F"/>
    <w:rsid w:val="008619CF"/>
    <w:rsid w:val="00874299"/>
    <w:rsid w:val="008A3F67"/>
    <w:rsid w:val="008D0883"/>
    <w:rsid w:val="00995FAA"/>
    <w:rsid w:val="009A00DE"/>
    <w:rsid w:val="009A2B04"/>
    <w:rsid w:val="009C346F"/>
    <w:rsid w:val="009C557C"/>
    <w:rsid w:val="00AC5AAF"/>
    <w:rsid w:val="00AD6FCF"/>
    <w:rsid w:val="00B01F5D"/>
    <w:rsid w:val="00B6574D"/>
    <w:rsid w:val="00B74462"/>
    <w:rsid w:val="00CC1617"/>
    <w:rsid w:val="00CE2168"/>
    <w:rsid w:val="00CE2E08"/>
    <w:rsid w:val="00CF17A4"/>
    <w:rsid w:val="00CF6B3C"/>
    <w:rsid w:val="00D27617"/>
    <w:rsid w:val="00D3106F"/>
    <w:rsid w:val="00D4791D"/>
    <w:rsid w:val="00D74F05"/>
    <w:rsid w:val="00D831DF"/>
    <w:rsid w:val="00D940F9"/>
    <w:rsid w:val="00E60A4A"/>
    <w:rsid w:val="00E62CB3"/>
    <w:rsid w:val="00E64422"/>
    <w:rsid w:val="00E71D0C"/>
    <w:rsid w:val="00E91282"/>
    <w:rsid w:val="00EA30FD"/>
    <w:rsid w:val="00EB3ABD"/>
    <w:rsid w:val="00F11FBD"/>
    <w:rsid w:val="00F61E40"/>
    <w:rsid w:val="00F90624"/>
    <w:rsid w:val="00FE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90E"/>
    <w:pPr>
      <w:autoSpaceDE w:val="0"/>
      <w:autoSpaceDN w:val="0"/>
      <w:adjustRightInd w:val="0"/>
      <w:spacing w:after="240"/>
      <w:jc w:val="both"/>
    </w:pPr>
    <w:rPr>
      <w:rFonts w:ascii="Arial" w:hAnsi="Arial"/>
      <w:sz w:val="22"/>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290E"/>
    <w:pPr>
      <w:tabs>
        <w:tab w:val="center" w:pos="4320"/>
        <w:tab w:val="right" w:pos="8640"/>
      </w:tabs>
    </w:pPr>
  </w:style>
  <w:style w:type="paragraph" w:styleId="Footer">
    <w:name w:val="footer"/>
    <w:basedOn w:val="Normal"/>
    <w:rsid w:val="000E290E"/>
    <w:pPr>
      <w:tabs>
        <w:tab w:val="center" w:pos="4320"/>
        <w:tab w:val="right" w:pos="8640"/>
      </w:tabs>
    </w:pPr>
  </w:style>
  <w:style w:type="character" w:styleId="PageNumber">
    <w:name w:val="page number"/>
    <w:basedOn w:val="DefaultParagraphFont"/>
    <w:rsid w:val="000E290E"/>
  </w:style>
  <w:style w:type="character" w:customStyle="1" w:styleId="DeltaViewInsertion">
    <w:name w:val="DeltaView Insertion"/>
    <w:rsid w:val="000E290E"/>
    <w:rPr>
      <w:color w:val="0000FF"/>
      <w:spacing w:val="0"/>
      <w:u w:val="double"/>
    </w:rPr>
  </w:style>
  <w:style w:type="character" w:customStyle="1" w:styleId="DeltaViewDeletion">
    <w:name w:val="DeltaView Deletion"/>
    <w:rsid w:val="000E290E"/>
    <w:rPr>
      <w:strike/>
      <w:color w:val="FF0000"/>
      <w:spacing w:val="0"/>
    </w:rPr>
  </w:style>
  <w:style w:type="paragraph" w:customStyle="1" w:styleId="OHHpara">
    <w:name w:val="OHHpara"/>
    <w:aliases w:val="P"/>
    <w:basedOn w:val="Normal"/>
    <w:rsid w:val="000E290E"/>
    <w:rPr>
      <w:szCs w:val="20"/>
    </w:rPr>
  </w:style>
  <w:style w:type="paragraph" w:styleId="BalloonText">
    <w:name w:val="Balloon Text"/>
    <w:basedOn w:val="Normal"/>
    <w:link w:val="BalloonTextChar"/>
    <w:rsid w:val="00D831DF"/>
    <w:pPr>
      <w:spacing w:after="0"/>
    </w:pPr>
    <w:rPr>
      <w:rFonts w:ascii="Segoe UI" w:hAnsi="Segoe UI"/>
      <w:sz w:val="18"/>
      <w:szCs w:val="18"/>
    </w:rPr>
  </w:style>
  <w:style w:type="character" w:customStyle="1" w:styleId="BalloonTextChar">
    <w:name w:val="Balloon Text Char"/>
    <w:link w:val="BalloonText"/>
    <w:rsid w:val="00D831DF"/>
    <w:rPr>
      <w:rFonts w:ascii="Segoe UI" w:hAnsi="Segoe UI"/>
      <w:sz w:val="18"/>
      <w:szCs w:val="18"/>
      <w:lang w:val="en-CA"/>
    </w:rPr>
  </w:style>
  <w:style w:type="paragraph" w:styleId="Revision">
    <w:name w:val="Revision"/>
    <w:hidden/>
    <w:uiPriority w:val="99"/>
    <w:semiHidden/>
    <w:rsid w:val="00226272"/>
    <w:rPr>
      <w:rFonts w:ascii="Arial" w:hAnsi="Arial"/>
      <w:sz w:val="22"/>
      <w:szCs w:val="24"/>
      <w:lang w:val="en-CA"/>
    </w:rPr>
  </w:style>
  <w:style w:type="paragraph" w:styleId="ListParagraph">
    <w:name w:val="List Paragraph"/>
    <w:basedOn w:val="Normal"/>
    <w:uiPriority w:val="34"/>
    <w:qFormat/>
    <w:rsid w:val="00221B11"/>
    <w:pPr>
      <w:widowControl w:val="0"/>
      <w:spacing w:after="200" w:line="276" w:lineRule="auto"/>
      <w:ind w:left="720"/>
      <w:contextualSpacing/>
      <w:jc w:val="left"/>
    </w:pPr>
    <w:rPr>
      <w:rFonts w:ascii="Times New Roman" w:eastAsia="MS Mincho" w:hAnsi="Times New Roman"/>
      <w:szCs w:val="22"/>
      <w:lang w:val="en-US"/>
    </w:rPr>
  </w:style>
  <w:style w:type="paragraph" w:styleId="HTMLPreformatted">
    <w:name w:val="HTML Preformatted"/>
    <w:basedOn w:val="Normal"/>
    <w:link w:val="HTMLPreformattedChar"/>
    <w:semiHidden/>
    <w:unhideWhenUsed/>
    <w:rsid w:val="00CE2E08"/>
    <w:pPr>
      <w:spacing w:after="0"/>
    </w:pPr>
    <w:rPr>
      <w:rFonts w:ascii="Consolas" w:hAnsi="Consolas"/>
      <w:sz w:val="20"/>
      <w:szCs w:val="20"/>
    </w:rPr>
  </w:style>
  <w:style w:type="character" w:customStyle="1" w:styleId="HTMLPreformattedChar">
    <w:name w:val="HTML Preformatted Char"/>
    <w:basedOn w:val="DefaultParagraphFont"/>
    <w:link w:val="HTMLPreformatted"/>
    <w:semiHidden/>
    <w:rsid w:val="00CE2E08"/>
    <w:rPr>
      <w:rFonts w:ascii="Consolas" w:hAnsi="Consola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6725">
      <w:bodyDiv w:val="1"/>
      <w:marLeft w:val="0"/>
      <w:marRight w:val="0"/>
      <w:marTop w:val="0"/>
      <w:marBottom w:val="0"/>
      <w:divBdr>
        <w:top w:val="none" w:sz="0" w:space="0" w:color="auto"/>
        <w:left w:val="none" w:sz="0" w:space="0" w:color="auto"/>
        <w:bottom w:val="none" w:sz="0" w:space="0" w:color="auto"/>
        <w:right w:val="none" w:sz="0" w:space="0" w:color="auto"/>
      </w:divBdr>
    </w:div>
    <w:div w:id="1205866668">
      <w:bodyDiv w:val="1"/>
      <w:marLeft w:val="0"/>
      <w:marRight w:val="0"/>
      <w:marTop w:val="0"/>
      <w:marBottom w:val="0"/>
      <w:divBdr>
        <w:top w:val="none" w:sz="0" w:space="0" w:color="auto"/>
        <w:left w:val="none" w:sz="0" w:space="0" w:color="auto"/>
        <w:bottom w:val="none" w:sz="0" w:space="0" w:color="auto"/>
        <w:right w:val="none" w:sz="0" w:space="0" w:color="auto"/>
      </w:divBdr>
    </w:div>
    <w:div w:id="1966541797">
      <w:bodyDiv w:val="1"/>
      <w:marLeft w:val="0"/>
      <w:marRight w:val="0"/>
      <w:marTop w:val="0"/>
      <w:marBottom w:val="0"/>
      <w:divBdr>
        <w:top w:val="none" w:sz="0" w:space="0" w:color="auto"/>
        <w:left w:val="none" w:sz="0" w:space="0" w:color="auto"/>
        <w:bottom w:val="none" w:sz="0" w:space="0" w:color="auto"/>
        <w:right w:val="none" w:sz="0" w:space="0" w:color="auto"/>
      </w:divBdr>
    </w:div>
    <w:div w:id="211990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isia.lexum.com/tsx/f/fr/nav_date.do"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8821-0ED5-4959-98D7-21717FAB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977</Words>
  <Characters>5573</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2024-02-27T17:59:00Z</dcterms:created>
  <dcterms:modified xsi:type="dcterms:W3CDTF">2024-02-29T03:19:00Z</dcterms:modified>
</cp:coreProperties>
</file>